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Theory questions: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Derive the design chart limit for maximum Mach number and qualitatively sketch it, find admitted design region between this limit and a given gust limit. / Derive the max Mach number limit: Draw it in the Design Chart. Given Gust load factor.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Describe 4 features and their purpose from a picture of an aircraft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Describe rounded wingtips and their effect, sketch the isobar lines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Describe stability measure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Cm over alpha for stable/unstable/neutral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down the equation for trimmed condition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compare under-wing/over-wing engine mounting wrt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 the 3 phases of aircraft design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Growth Factor: mass increase 1000kg, how does it affect the Mto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Drag reduction factors: streamlining, laminarization, winglets etc.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measures are taken on airfoil/aircraft level at transonic speeds?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 Tail 2 pros and 2 cons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diagram relates vertical loads and speed (V-n diagram), name two kind of loads (maneuver and gust), sketch the combined diagram and highlight the speed that is limited by stall (Vs)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Transonic airfoils and wings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Exercise tasks: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 aspect ratio and fuel consumption during cruise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Calculate cd0 using the equivalent parasitic drag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b) calculate k for low angle of attack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c) calculate L/D during cruise (for L, the average wing loading during cruise was given)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calculate cLmax in clean configuration and in configuration with deflected flaps (given stalk speed in clean config, and deltaCl due to flap deflection)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b) calculate Cl_alpha using polhamus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c) given Cl0, draw the cl-alpha diagram highlighting typical features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given loiter time, calculate weight fraction (w76) during loiter (just like tutorial 5, task 4)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b) calculate weight fraction w54 during cruise for two different mass configurations (1 -&gt; max range for max payload, 2 -&gt; max fuel mass) (given weight fractions during different phases of flight, like tutorial 5, task 5) and the respective ranges R1 and R2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c) draw the payload-range diagram with R1, R2 and given freight range, highlight the different masses (operating empty, payload and fuel)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