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0B2545"/>
          <w:sz w:val="52"/>
        </w:rPr>
        <w:t>AMAZON 广告活动总览</w:t>
      </w:r>
    </w:p>
    <w:p>
      <w:pPr>
        <w:spacing w:after="240"/>
      </w:pPr>
      <w:r>
        <w:rPr>
          <w:rFonts w:ascii="Calibri" w:hAnsi="Calibri" w:eastAsia="Microsoft YaHei"/>
          <w:b/>
          <w:color w:val="2E74B5"/>
          <w:sz w:val="30"/>
        </w:rPr>
        <w:t>远程数据联动与完整交互 · 2 小时验收实施计划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 w:val="true"/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计划总量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F172A"/>
                <w:sz w:val="19"/>
              </w:rPr>
              <w:t>40 个验收单元 × 2 小时 = 80 小时净实施时间；每个单元到点必须可独立演示、测试或审阅。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输入基线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F172A"/>
                <w:sz w:val="19"/>
              </w:rPr>
              <w:t>C:\Users\admin\Desktop\广告智能投放系统\广告智能投放系统\index.html 与用户截图。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工程基线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F172A"/>
                <w:sz w:val="19"/>
              </w:rPr>
              <w:t>C:\QSZ\技术方案；遵守主规格、PLANS.md、docs/15-decision-log.md 与 AGENTS.md。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数据原则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F172A"/>
                <w:sz w:val="19"/>
              </w:rPr>
              <w:t>浏览器只调用 Django /api/v1；Django 使用只读远程数据库别名查询；远程库不得迁移、写入或直接暴露。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F172A"/>
                <w:sz w:val="19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0F172A"/>
                <w:sz w:val="19"/>
              </w:rPr>
              <w:t>2026-08-04（Asia/Shanghai）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0B2545"/>
              </w:rPr>
              <w:t xml:space="preserve">关键结论  </w:t>
            </w:r>
            <w:r>
              <w:rPr>
                <w:rFonts w:ascii="Calibri" w:hAnsi="Calibri" w:eastAsia="Microsoft YaHei"/>
                <w:color w:val="0B2545"/>
              </w:rPr>
              <w:t>目标 HTML 是 2,416 行的静态原型：没有远程请求，约 10 条 Campaign 内嵌在脚本中，日期趋势由前端模拟拆分。现有工程中另一个任务已开始实现远程 Campaign 列表接口和表格组件；本计划以先验收/接管该成果为门槛，再补齐 KPI、图表、全局搜索、数值筛选、风险、详情和导出。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1. 范围与强制边界</w:t>
      </w:r>
    </w:p>
    <w:p>
      <w:r>
        <w:rPr>
          <w:rFonts w:ascii="Calibri" w:hAnsi="Calibri" w:eastAsia="Microsoft YaHei"/>
          <w:b/>
          <w:color w:val="0F172A"/>
        </w:rPr>
        <w:t>范围：</w:t>
      </w:r>
      <w:r>
        <w:rPr>
          <w:rFonts w:ascii="Calibri" w:hAnsi="Calibri" w:eastAsia="Microsoft YaHei"/>
          <w:color w:val="0F172A"/>
        </w:rPr>
        <w:t>复刻目标页面中可见的搜索、KPI、趋势图、风险评估、筛选标签、活动工具栏、日期选择、条件筛选、字段表格、合计、分页、详情弹窗/抽屉，并让全部业务数据来自远程数据库经后端 API 的受控读取。</w:t>
      </w:r>
    </w:p>
    <w:p>
      <w:r>
        <w:rPr>
          <w:rFonts w:ascii="Calibri" w:hAnsi="Calibri" w:eastAsia="Microsoft YaHei"/>
          <w:b/>
          <w:color w:val="0F172A"/>
        </w:rPr>
        <w:t>真实写操作边界：</w:t>
      </w:r>
      <w:r>
        <w:rPr>
          <w:rFonts w:ascii="Calibri" w:hAnsi="Calibri" w:eastAsia="Microsoft YaHei"/>
          <w:color w:val="0F172A"/>
        </w:rPr>
        <w:t>V1 不调用 Amazon Ads API，也不允许改写现有远程库。因此“创建广告活动”和“启用/暂停”只能做权限化禁用说明，或跳转到已经存在的 Action Preview / 人工执行链路；绝不能弹出硬编码成功或即时改变远程状态。</w:t>
      </w:r>
    </w:p>
    <w:p>
      <w:r>
        <w:rPr>
          <w:rFonts w:ascii="Calibri" w:hAnsi="Calibri" w:eastAsia="Microsoft YaHei"/>
          <w:b/>
          <w:color w:val="0F172A"/>
        </w:rPr>
        <w:t>一致性边界：</w:t>
      </w:r>
      <w:r>
        <w:rPr>
          <w:rFonts w:ascii="Calibri" w:hAnsi="Calibri" w:eastAsia="Microsoft YaHei"/>
          <w:color w:val="0F172A"/>
        </w:rPr>
        <w:t>KPI、图表、风险和列表必须使用同一 Tenant → Store → Marketplace → AdvertisingProfile、同一日期范围和同一筛选集合。金额不跨币种汇总，业务日期使用 Marketplace 语义。</w:t>
      </w:r>
    </w:p>
    <w:p>
      <w:r>
        <w:rPr>
          <w:rFonts w:ascii="Calibri" w:hAnsi="Calibri" w:eastAsia="Microsoft YaHei"/>
          <w:b/>
          <w:color w:val="0F172A"/>
        </w:rPr>
        <w:t>并行协作边界：</w:t>
      </w:r>
      <w:r>
        <w:rPr>
          <w:rFonts w:ascii="Calibri" w:hAnsi="Calibri" w:eastAsia="Microsoft YaHei"/>
          <w:color w:val="0F172A"/>
        </w:rPr>
        <w:t>另一个任务当前占用 advertising selectors/serializers/views、remote_databases、remote advertising tests 以及 AdvertisingOverviewPage、CampaignSection/API/types。U02 未完成前禁止多人同时编辑这些文件。</w:t>
      </w:r>
    </w:p>
    <w:p>
      <w:pPr>
        <w:pStyle w:val="Heading1"/>
        <w:keepNext/>
        <w:keepLines/>
      </w:pPr>
      <w:r>
        <w:t>2. 已核对的 HTML 功能现状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00"/>
        <w:gridCol w:w="4260"/>
      </w:tblGrid>
      <w:tr>
        <w:trPr>
          <w:cantSplit w:val="true"/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原型现状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落地要求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顶部搜索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仅 console.log；Ctrl/Cmd+K 能聚焦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真实搜索/命令面板；与 Campaign 服务端搜索共享状态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8 个 KPI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由 generateMockData 计算；含假 delta/小趋势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远程聚合；null/币种/比较周期语义真实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表现概览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原生 SVG；4 槽可切 8 指标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ECharts；每日真实趋势、双轴、tooltip、resize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风险评估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静态 RISK_EXCEPTIONS/ATTRIBUTION_DATA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确定性规则、数据门槛、版本与证据可追溯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日期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7/14/30 天和自定义；前端模拟刷新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服务端 inclusive 日期；90 日上限；Profile 业务日期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条件筛选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数值规则本地过滤；状态分支仍为占位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远程全量聚合后服务端筛选；chips 全联动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活动表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约 10 条内嵌数据；前端分页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远程服务端搜索、筛选、排序、分页、合计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创建/启停/导出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创建 alert；开关只改内存；导出无事件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写操作不伪造；导出真实筛选结果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指标详情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通用抽屉可演示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复用远程趋势与 Campaign 排名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推荐数据流与接口分工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0B2545"/>
              </w:rPr>
              <w:t xml:space="preserve">推荐最小接口组合  </w:t>
            </w:r>
            <w:r>
              <w:rPr>
                <w:rFonts w:ascii="Calibri" w:hAnsi="Calibri" w:eastAsia="Microsoft YaHei"/>
                <w:color w:val="0B2545"/>
              </w:rPr>
              <w:t>保留正在实现的 Campaign 列表接口，再新增 1 个 campaign-dashboard 聚合接口；导出使用独立下载路由但复用相同筛选 Serializer。这样不会让分页表格承担每日趋势，也避免前端把远程事实重新汇总。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cantSplit w:val="true"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接口/数据流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关键要求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GET …/campaigns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表格 items、筛选后 summary、分页、meta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服务端搜索/筛选/排序；summary 是全部筛选结果，不是当前页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GET …/campaign-dashboard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8 KPI、每日 trend、riskLevels/有限异常摘要、meta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与 campaigns 共用查询条件；比率由原始分子分母重算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GET …/campaigns/export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当前筛选的全量 CSV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流式、规模上限、公式注入防护、UTF-8 规则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前端统一查询状态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协调两个读取接口、URL、取消与局部重试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后发请求胜出；切 Profile 不显示旧数据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远程数据库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scm_remote 元数据 + ads_analysis_remote 日事实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SELECT only；mer_id+mer_code 强制范围；无前端直连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字段、KPI 与公式验收口径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cantSplit w:val="true"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页面字段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来源/公式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显示与空值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启用/状态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SCM state 优先，分析状态回退并规范化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只读开关；状态标签；未知值不猜测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活动名称/代码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SCM name/code，分析 campaign_name/code 回退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名称主行、代码辅行；可搜索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投放类型/竞价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SCM type/bidding_strategy，分析字段回退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AUTO/MANUAL 与竞价枚举中文化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开始/结束日期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SCM 当前元数据；分析创建日回退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Profile 业务日期；无结束日期单独文案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日预算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SCM 当前预算优先，分析最新快照回退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Money{amount,currencyCode}；不得跨日求和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展示量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SUM(impressions/远程实际列)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整数千分位；有数据的 0 显示 0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点击量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SUM(clicks)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整数千分位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花费/总成本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SUM(spend)；总成本为 spend 别名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货币格式；契约显式标 SPEND_ALIAS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购买量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SUM(orders)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整数；需标注远程归因字段语义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销售额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SUM(sales)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KPI/图表/详情使用同一币种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首页位置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远程 top-of-search 字段按已确认口径聚合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口径未验证时标记 REMOTE_FIELDS_UNVERIFIED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CTR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clicks ÷ impressions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分母 0 → null/—；百分比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CPC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spend ÷ clicks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分母 0 → null/—；货币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CVR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orders ÷ clicks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分母 0 → null/—；百分比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ACOS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spend ÷ sales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分母 0 → null/—；百分比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5. 80 小时逐单元实施与验收计划</w:t>
      </w:r>
    </w:p>
    <w:p>
      <w:r>
        <w:rPr>
          <w:rFonts w:ascii="Calibri" w:hAnsi="Calibri" w:eastAsia="Microsoft YaHei"/>
          <w:color w:val="0F172A"/>
        </w:rPr>
        <w:t>执行规则：每个单元严格 2 小时。到点若未满足验收，不把未完成内容悄悄带入下一单元；记录失败证据、缩小范围或重新排期。U01—U10 是在途成果的接管与纵向链路门槛，后续单元不得绕过。</w:t>
      </w:r>
    </w:p>
    <w:p>
      <w:r>
        <w:br w:type="page"/>
      </w:r>
    </w:p>
    <w:p>
      <w:pPr>
        <w:pStyle w:val="Heading2"/>
        <w:keepNext/>
        <w:keepLines/>
      </w:pPr>
      <w:r>
        <w:t>工作包 A｜基线、并行任务接管与契约冻结（U01—U05，共 10 小时）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4100"/>
        <w:gridCol w:w="4440"/>
      </w:tblGrid>
      <w:tr>
        <w:trPr>
          <w:cantSplit w:val="true"/>
          <w:tblHeader w:val="true"/>
        </w:trPr>
        <w:tc>
          <w:tcPr>
            <w:tcW w:type="dxa" w:w="8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2 小时内实施内容与产物</w:t>
            </w:r>
          </w:p>
        </w:tc>
        <w:tc>
          <w:tcPr>
            <w:tcW w:type="dxa" w:w="44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到点验收（必须留证）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U01</w:t>
              <w:br/>
              <w:t>第 1—2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目标：建立页面验收基线。</w:t>
              <w:br/>
              <w:t>实施：对目标 HTML、用户截图与现有 Vue 页面逐项对照，固定模块、字段、交互和视觉参照；保存脱敏截图与差距清单，不读取隔离目录。</w:t>
              <w:br/>
              <w:t>产物：《页面基线与差距矩阵》：搜索栏、8 个 KPI、表现概览、风险卡、筛选标签、活动工具栏、19 列表格、合计、分页、弹窗/抽屉。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矩阵每一项均有“HTML 现状 / 目标行为 / 数据来源 / 状态”；明确 HTML 当前无 fetch/axios、仅内置约 10 条数据并前端模拟日拆分。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U02</w:t>
              <w:br/>
              <w:t>第 3—4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目标：安全接管另一个对话的在途成果。</w:t>
              <w:br/>
              <w:t>实施：记录 Git dirty 文件、作者任务边界、已实现接口与未完成测试；在对方交付或明确移交前冻结同文件并行编辑。</w:t>
              <w:br/>
              <w:t>产物：交接清单与冲突所有权表，覆盖 backend advertising 四个文件、远程数据测试、AdvertisingOverviewPage 及新增 CampaignSection/API/types。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逐文件记录 commit/diff 状态；现有约 964 行变更可追溯；没有覆盖、格式化或误删用户/另一任务改动。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U03</w:t>
              <w:br/>
              <w:t>第 5—6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目标：验证远程数据能支持页面。</w:t>
              <w:br/>
              <w:t>实施：只读采样 scm_remote.eb_ad_campaign 与 ads_analysis_remote.bi_analyze_ad_campaign，核对字段、空值、日期范围、商户映射、基数与索引；禁止输出账号、密钥和未脱敏行。</w:t>
              <w:br/>
              <w:t>产物：远程字段可用性与数据质量报告。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至少验证 mer_id+mer_code 范围、campaign_id/code 回退、creation_date、impressions/click/spend/orders/sales/top-of-search 字段；异常只报告统计，不泄露真实明细。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U04</w:t>
              <w:br/>
              <w:t>第 7—8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目标：冻结字段与确定性公式。</w:t>
              <w:br/>
              <w:t>实施：把表格字段、KPI 和图表指标映射到远程列；固定金额 Decimal、业务日期、null 分母、币种与 Profile 时区语义。</w:t>
              <w:br/>
              <w:t>产物：字段/公式/格式化契约表。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CTR=clicks/impressions、CPC=spend/clicks、CVR=orders/clicks、ACOS=spend/sales；分母无效返回 null/—；比例不得平均日百分比，金额不得跨币种相加。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U05</w:t>
              <w:br/>
              <w:t>第 9—10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目标：冻结 API 边界。</w:t>
              <w:br/>
              <w:t>实施：复核现有 campaigns 列表接口；推荐只新增一个 campaign-dashboard 聚合接口承载 KPI、每日趋势与风险摘要，导出复用同一筛选契约；写入 OpenAPI 草案。</w:t>
              <w:br/>
              <w:t>产物：接口决策记录、请求/响应样例和错误码。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前端不直连远程库；所有请求带 tenant/profile 范围；列表与仪表盘使用同一日期/筛选；400/403/404/409/503 的展示行为明确。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keepLines/>
      </w:pPr>
      <w:r>
        <w:t>工作包 B｜远程 Campaign 列表纵向链路验收（U06—U10，共 10 小时）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4100"/>
        <w:gridCol w:w="4440"/>
      </w:tblGrid>
      <w:tr>
        <w:trPr>
          <w:cantSplit w:val="true"/>
          <w:tblHeader w:val="true"/>
        </w:trPr>
        <w:tc>
          <w:tcPr>
            <w:tcW w:type="dxa" w:w="8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2 小时内实施内容与产物</w:t>
            </w:r>
          </w:p>
        </w:tc>
        <w:tc>
          <w:tcPr>
            <w:tcW w:type="dxa" w:w="44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到点验收（必须留证）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U06</w:t>
              <w:br/>
              <w:t>第 11—12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目标：验收列表请求参数和权限。</w:t>
              <w:br/>
              <w:t>实施：完成/复核 DRF QuerySerializer：成对日期、90 个自然日上限、enabled/status/targetingType/search/ordering/page/pageSize/includeSummary；执行 Tenant、Store、Profile 授权。</w:t>
              <w:br/>
              <w:t>产物：稳定的请求校验层与边界测试。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跨 Tenant/Profile 返回 404，范围内无权限返回 403；非法日期与排序字段在查询远程库前 400；pageSize 最大 100。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U07</w:t>
              <w:br/>
              <w:t>第 13—14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目标：验收远程聚合和元数据拼接。</w:t>
              <w:br/>
              <w:t>实施：按 mer_id+mer_code+campaign_id/code 聚合分析事实，用 SCM 补名称、状态、预算、竞价、开始/结束日期；远程库只读。</w:t>
              <w:br/>
              <w:t>产物：Selector/Adapter 聚合链路。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无裸 campaign_id 越权查询；SCM 缺失时受控回退并标 metadataMatched/partialFields；远程异常统一为 503 且含 requestId。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U08</w:t>
              <w:br/>
              <w:t>第 15—16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目标：验收服务端搜索、枚举筛选和排序。</w:t>
              <w:br/>
              <w:t>实施：实现参数化名称/代码搜索，状态、启用、自动/手动投放筛选，以及白名单排序；验证 LIKE 通配符转义。</w:t>
              <w:br/>
              <w:t>产物：受控 SQL 筛选与排序测试。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搜索 % 和 _ 不扩大范围；排序表达式只能来自白名单；同值使用 campaignKey 稳定排序；没有字符串拼接注入路径。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U09</w:t>
              <w:br/>
              <w:t>第 17—18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目标：验收分页、合计与元信息。</w:t>
              <w:br/>
              <w:t>实施：总数、当前页与筛选后 summary 分开查询；返回 source/currency/timezone/dataThroughDate/日期范围/语义标记。</w:t>
              <w:br/>
              <w:t>产物：CampaignListResponse 完整契约。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分页合计针对全部筛选结果而非当前页；空结果 summary 为 null；totalPages/page 边界稳定；总成本明确为 spend 别名。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U10</w:t>
              <w:br/>
              <w:t>第 19—20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目标：验收现有 CampaignSection 前端基础。</w:t>
              <w:br/>
              <w:t>实施：接入 Axios 统一客户端、AbortController、URL 查询参数、loading/refreshing/empty/error/permission/partial 状态，核对 19 列与合计行。</w:t>
              <w:br/>
              <w:t>产物：可独立演示的远程活动表格。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真实 API 返回渲染；刷新不闪空；后发请求胜出；空值显示 —；货币用 currency；前端测试通过且没有静态演示数组。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keepLines/>
      </w:pPr>
      <w:r>
        <w:t>工作包 C｜统一日期、搜索与条件筛选（U11—U15，共 10 小时）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4100"/>
        <w:gridCol w:w="4440"/>
      </w:tblGrid>
      <w:tr>
        <w:trPr>
          <w:cantSplit w:val="true"/>
          <w:tblHeader w:val="true"/>
        </w:trPr>
        <w:tc>
          <w:tcPr>
            <w:tcW w:type="dxa" w:w="8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2 小时内实施内容与产物</w:t>
            </w:r>
          </w:p>
        </w:tc>
        <w:tc>
          <w:tcPr>
            <w:tcW w:type="dxa" w:w="44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到点验收（必须留证）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U11</w:t>
              <w:br/>
              <w:t>第 21—22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目标：建立页面唯一查询状态。</w:t>
              <w:br/>
              <w:t>实施：将 tenant/store/marketplace/profile、日期、搜索、筛选、排序和页码收敛为单一查询模型；表格、KPI、图表、风险共用。</w:t>
              <w:br/>
              <w:t>产物：useCampaignOverviewQuery composable 或等价状态层。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任一筛选只触发一轮协调刷新；URL 可复制恢复；切换 Profile 清空旧数据和选择；Pinia 不长期缓存业务事实。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U12</w:t>
              <w:br/>
              <w:t>第 23—24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目标：实现日期快捷与自定义筛选。</w:t>
              <w:br/>
              <w:t>实施：实现最近 7/14/30 天、自定义起止、包含首尾、90 天上限、无数据日期；按 Marketplace 本地业务日期提交。</w:t>
              <w:br/>
              <w:t>产物：可访问日期弹层与校验提示。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开始晚于结束、缺一端、超上限均不发请求；选择后 KPI/图表/表格/风险日期一致；刷新 URL 后范围不丢失。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U13</w:t>
              <w:br/>
              <w:t>第 25—26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目标：完成表内广告活动搜索。</w:t>
              <w:br/>
              <w:t>实施：名称/代码搜索 300ms 防抖，Enter 立即提交，清空恢复，页码归 1；服务端查询，不在当前页本地过滤。</w:t>
              <w:br/>
              <w:t>产物：可验收的“查找广告活动”控件。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快速输入只保留最后请求；中文、字母数字、空格和通配字符用例通过；搜索 chip 与 URL 同步。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U14</w:t>
              <w:br/>
              <w:t>第 27—28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目标：让顶部搜索栏成为真实交互。</w:t>
              <w:br/>
              <w:t>实施：实现 Ctrl/Cmd+K 聚焦和轻量命令/搜索面板：可定位 KPI、日期、筛选设置，并可提交 Campaign 名称/代码搜索；不伪装全站能力。</w:t>
              <w:br/>
              <w:t>产物：顶部搜索建议列表、键盘导航和无结果态。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上下键/Enter/Escape 可用，焦点返回正确；提交 Campaign 搜索与表内搜索共用状态；未实现模块不返回假结果。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U15</w:t>
              <w:br/>
              <w:t>第 29—30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目标：完成条件筛选和筛选标签。</w:t>
              <w:br/>
              <w:t>实施：实现展示量、点击量、花费、订单、CPC、ACOS、CTR、CVR 的 &gt;=、&lt;=、&gt;、&lt;、=、between；后端参数化 HAVING/外层筛选；支持逐项删除与删除所有。</w:t>
              <w:br/>
              <w:t>产物：数值规则弹窗、动态 chips、OpenAPI 参数与测试。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between 校验最小值&lt;=最大值；比率输入/传输单位一致；所有条件作用于远程全量聚合而非当前页；删除后 KPI/图表/表格同步恢复。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keepLines/>
      </w:pPr>
      <w:r>
        <w:t>工作包 D｜顶部 KPI 仪表盘（U16—U20，共 10 小时）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4100"/>
        <w:gridCol w:w="4440"/>
      </w:tblGrid>
      <w:tr>
        <w:trPr>
          <w:cantSplit w:val="true"/>
          <w:tblHeader w:val="true"/>
        </w:trPr>
        <w:tc>
          <w:tcPr>
            <w:tcW w:type="dxa" w:w="8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2 小时内实施内容与产物</w:t>
            </w:r>
          </w:p>
        </w:tc>
        <w:tc>
          <w:tcPr>
            <w:tcW w:type="dxa" w:w="44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到点验收（必须留证）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U16</w:t>
              <w:br/>
              <w:t>第 31—32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目标：定义额外仪表盘接口。</w:t>
              <w:br/>
              <w:t>实施：完成 GET campaign-dashboard 契约：summary、trend、riskLevels、meta；请求复用列表日期和全部筛选，不接受任意商户参数。</w:t>
              <w:br/>
              <w:t>产物：OpenAPI、Serializer、TypeScript 生成类型。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响应 camelCase；ID/金额/比例/null 语义固定；同一 Profile 单一币种；生成类型无未审查差异。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U17</w:t>
              <w:br/>
              <w:t>第 33—34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目标：实现 KPI 后端聚合。</w:t>
              <w:br/>
              <w:t>实施：从远程日事实汇总 impressions/clicks/orders/sales/spend，并由汇总值重算 CTR/CVR/ACOS/CPC；支持所有筛选。</w:t>
              <w:br/>
              <w:t>产物：仪表盘 summary Selector 与公式测试。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结果与同筛选 Campaign 列表合计逐项相等；null 分母不返回 0/Infinity；Decimal 精度与币种正确。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U18</w:t>
              <w:br/>
              <w:t>第 35—36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目标：实现 8 个 KPI 卡片。</w:t>
              <w:br/>
              <w:t>实施：复刻展示量、点击量、购买量、销售额、花费、ACOS、CTR、CVR；补 tooltip、查看详情、骨架、空值与错误状态。</w:t>
              <w:br/>
              <w:t>产物：CampaignKpiBar 组件与单元测试。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金额本地化且显示币种；比例保留约定小数；0 与无数据区分；没有任何 HTML 硬编码数字。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U19</w:t>
              <w:br/>
              <w:t>第 37—38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目标：处理趋势小图和对比语义。</w:t>
              <w:br/>
              <w:t>实施：仅当接口提供同长度前一周期数据时显示 delta/sparkline；否则隐藏比较，不沿用原型中的假上升箭头。</w:t>
              <w:br/>
              <w:t>产物：可选 comparison 契约与 KPI 趋势渲染。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前期区间按业务日期正确推导且不越数据范围；正负/无变化样式正确；无比较数据时页面不暗示涨跌。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U20</w:t>
              <w:br/>
              <w:t>第 39—40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目标：验证 KPI 全量联动。</w:t>
              <w:br/>
              <w:t>实施：覆盖日期、搜索、状态、启用、类型、数值条件和 Profile 切换，验证请求竞态与局部失败。</w:t>
              <w:br/>
              <w:t>产物：KPI 联动集成测试和证据截图。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任何条件变化后的 KPI 与表格合计一致；旧请求不能覆盖新范围；503 显示可重试，不保留旧日期的 KPI 冒充新结果。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keepLines/>
      </w:pPr>
      <w:r>
        <w:t>工作包 E｜中部表现概览趋势图（U21—U25，共 10 小时）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4100"/>
        <w:gridCol w:w="4440"/>
      </w:tblGrid>
      <w:tr>
        <w:trPr>
          <w:cantSplit w:val="true"/>
          <w:tblHeader w:val="true"/>
        </w:trPr>
        <w:tc>
          <w:tcPr>
            <w:tcW w:type="dxa" w:w="8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2 小时内实施内容与产物</w:t>
            </w:r>
          </w:p>
        </w:tc>
        <w:tc>
          <w:tcPr>
            <w:tcW w:type="dxa" w:w="44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到点验收（必须留证）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U21</w:t>
              <w:br/>
              <w:t>第 41—42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目标：实现每日趋势聚合。</w:t>
              <w:br/>
              <w:t>实施：按 Profile 业务日期生成连续日期桶；绝对值求和，比率由每日日原始分子分母重算；缺失日定义为 0 或 null 并记录语义。</w:t>
              <w:br/>
              <w:t>产物：daily trend Selector 与边界测试。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包含起止日；跨月、闰日、无数据日正确；绝不把总量均摊到每天；日比例不做平均。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U22</w:t>
              <w:br/>
              <w:t>第 43—44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目标：完成趋势接口序列化和性能界限。</w:t>
              <w:br/>
              <w:t>实施：返回 date、impressions、clicks、orders、sales、spend、ctr/cvr/acos/cpc；复用权限与筛选；限制 90 个点。</w:t>
              <w:br/>
              <w:t>产物：dashboard trend API 与查询次数/耗时基线。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固定数量 SQL、无 N+1；空区间返回空数组；取消请求安全；敏感远程映射不出现在响应。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U23</w:t>
              <w:br/>
              <w:t>第 45—46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目标：搭建 ECharts 表现概览。</w:t>
              <w:br/>
              <w:t>实施：创建可销毁/可 resize 的图表组件，默认 4 个指标，展示日期范围、图例、双轴与 tooltip。</w:t>
              <w:br/>
              <w:t>产物：CampaignPerformanceChart 基础组件。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首次加载、容器缩放、路由离开均无控制台错误或实例泄漏；空数据/加载/失败态不叠图。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U24</w:t>
              <w:br/>
              <w:t>第 47—48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目标：实现四槽指标选择。</w:t>
              <w:br/>
              <w:t>实施：8 个指标可切换到 4 个槽位；金额、计数和比例使用匹配轴/格式；颜色与图例稳定，避免重复选择歧义。</w:t>
              <w:br/>
              <w:t>产物：指标选择器、系列配置与测试。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切换不重新请求数据；tooltip 数字单位正确；左右轴不会把百分比与金额混为一轴；图例总值与 KPI 一致。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U25</w:t>
              <w:br/>
              <w:t>第 49—50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目标：完成图表交互与可访问性。</w:t>
              <w:br/>
              <w:t>实施：实现显示全部/仅图表/全部隐藏、放大视图、键盘可操作说明和数据表替代视图。</w:t>
              <w:br/>
              <w:t>产物：完整表现概览交互。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三种视图切换可恢复；放大不改变数据；键盘和读屏可获取指标/日期/值；小屏不截断关键控件。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keepLines/>
      </w:pPr>
      <w:r>
        <w:t>工作包 F｜广告活动表格完整交互（U26—U30，共 10 小时）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4100"/>
        <w:gridCol w:w="4440"/>
      </w:tblGrid>
      <w:tr>
        <w:trPr>
          <w:cantSplit w:val="true"/>
          <w:tblHeader w:val="true"/>
        </w:trPr>
        <w:tc>
          <w:tcPr>
            <w:tcW w:type="dxa" w:w="8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2 小时内实施内容与产物</w:t>
            </w:r>
          </w:p>
        </w:tc>
        <w:tc>
          <w:tcPr>
            <w:tcW w:type="dxa" w:w="44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到点验收（必须留证）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U26</w:t>
              <w:br/>
              <w:t>第 51—52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目标：完成字段与提示文案。</w:t>
              <w:br/>
              <w:t>实施：对齐选择框、启用、名称/代码、投放类型、状态、竞价、起止、日预算、展示、首页位置、花费、点击、CTR、总成本、订单、CPC、ACOS、CVR；表头 tooltip 解释口径。</w:t>
              <w:br/>
              <w:t>产物：字段齐全的横向滚动表格。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19 列顺序和截图/HTML 对齐；短值不换行，名称可省略并可查看全文；表头与合计行滚动对齐。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U27</w:t>
              <w:br/>
              <w:t>第 53—54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目标：完成排序、分页和行选择。</w:t>
              <w:br/>
              <w:t>实施：白名单表头排序、15/30/50 页大小、上一页/下一页/页码、当前页全选与跨页选择说明。</w:t>
              <w:br/>
              <w:t>产物：稳定表格状态与选择状态测试。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排序/筛选后页码归 1；全选只选择当前页或明确提示跨页策略；选择不改变 KPI；无越界页。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U28</w:t>
              <w:br/>
              <w:t>第 55—56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目标：实现行级详情入口。</w:t>
              <w:br/>
              <w:t>实施：名称/展开图标进入 Campaign 详情或侧栏；服务端 campaignKey 再次绑定 tenant/profile/mer_id/mer_code；显示部分字段来源状态。</w:t>
              <w:br/>
              <w:t>产物：安全的详情导航/抽屉骨架。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篡改 campaignKey 返回 404；返回页面保留查询条件与滚动位置；无 SCM 元数据时仍能展示分析数据。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U29</w:t>
              <w:br/>
              <w:t>第 57—58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目标：正确处理创建和启停按钮。</w:t>
              <w:br/>
              <w:t>实施：依据 V1 禁止真实 Amazon Ads 写入：创建按钮和开关不得硬编码成功；采用禁用+原因，或在已有 Action Preview/人工执行链路授权时跳转。</w:t>
              <w:br/>
              <w:t>产物：明确的只读/动作预览交互。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点击不会写远程库或伪造状态；权限不足按钮隐藏/禁用但后端仍校验；页面清楚标识只读数据源。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U30</w:t>
              <w:br/>
              <w:t>第 59—60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目标：实现按当前条件导出。</w:t>
              <w:br/>
              <w:t>实施：后端流式导出筛选后全量字段，前端携带同一日期/搜索/筛选/排序；限制规模并记录 requestId。</w:t>
              <w:br/>
              <w:t>产物：CSV 导出接口与下载交互。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导出行数/合计与页面筛选一致；CSV UTF-8 BOM/表头/金额/日期规则明确；公式注入字符被安全处理；超限给出可操作错误。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keepLines/>
      </w:pPr>
      <w:r>
        <w:t>工作包 G｜指标详情、风险评估与异常联动（U31—U35，共 10 小时）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4100"/>
        <w:gridCol w:w="4440"/>
      </w:tblGrid>
      <w:tr>
        <w:trPr>
          <w:cantSplit w:val="true"/>
          <w:tblHeader w:val="true"/>
        </w:trPr>
        <w:tc>
          <w:tcPr>
            <w:tcW w:type="dxa" w:w="8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2 小时内实施内容与产物</w:t>
            </w:r>
          </w:p>
        </w:tc>
        <w:tc>
          <w:tcPr>
            <w:tcW w:type="dxa" w:w="44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到点验收（必须留证）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U31</w:t>
              <w:br/>
              <w:t>第 61—62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目标：实现 KPI 查看详情抽屉。</w:t>
              <w:br/>
              <w:t>实施：复用 trend 数据展示选定指标趋势、总值和 Campaign 排名；7 个/8 个 KPI 共用一个配置化抽屉。</w:t>
              <w:br/>
              <w:t>产物：MetricDetailDrawer 与配置表。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标题、图标、单位、排名字段随指标正确变化；日期/筛选与主页面一致；打开抽屉不额外重复拉取可复用数据。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U32</w:t>
              <w:br/>
              <w:t>第 63—64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目标：冻结风险规则与数据门槛。</w:t>
              <w:br/>
              <w:t>实施：只使用确定性规则和已确认阈值，定义 LOW/MEDIUM/HIGH、INSUFFICIENT_DATA、证据字段和配置版本；AI 只解释。</w:t>
              <w:br/>
              <w:t>产物：风险规则契约、阈值来源和版本化测试夹具。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无足够点击/花费/订单时不判正常或异常；每项风险能追溯到 Campaign、日期、公式、阈值和配置版本。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U33</w:t>
              <w:br/>
              <w:t>第 65—66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目标：实现风险汇总与异常详情数据。</w:t>
              <w:br/>
              <w:t>实施：在 campaign-dashboard 返回风险等级计数/占比和有限异常摘要；详情按需查询且仍受 Profile 范围。</w:t>
              <w:br/>
              <w:t>产物：风险 Selector/API 与隔离测试。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风险数等于筛选范围内规则结果；无异常显示 0 而非静态示例；跨 Tenant 404；查询受上限和稳定排序保护。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U34</w:t>
              <w:br/>
              <w:t>第 67—68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目标：复刻风险卡、异常弹窗和归因。</w:t>
              <w:br/>
              <w:t>实施：实现等级条、查看全部、Campaign 跳转、归因证据列表；修复建议仅连接现有 Recommendation/Action Preview 能力。</w:t>
              <w:br/>
              <w:t>产物：RiskAssessmentCard、RiskModal、AttributionModal。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等级颜色与文案一致；点击风险可定位对应活动；没有 LLM 隐藏思维；无建议能力时明确不可用而非 alert 演示。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U35</w:t>
              <w:br/>
              <w:t>第 69—70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目标：验证页面各模块一致性和部分失败。</w:t>
              <w:br/>
              <w:t>实施：模拟列表成功/仪表盘失败、仪表盘成功/风险失败、远程超时和 Profile 切换，定义局部重试。</w:t>
              <w:br/>
              <w:t>产物：页面状态机与故障矩阵。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一个模块失败不抹掉其他已确认模块；旧范围数据不会在新范围下继续显示；每个错误显示 requestId 与重试入口。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  <w:keepLines/>
      </w:pPr>
      <w:r>
        <w:t>工作包 H｜自动化验收、性能、安全与交付（U36—U40，共 10 小时）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4100"/>
        <w:gridCol w:w="4440"/>
      </w:tblGrid>
      <w:tr>
        <w:trPr>
          <w:cantSplit w:val="true"/>
          <w:tblHeader w:val="true"/>
        </w:trPr>
        <w:tc>
          <w:tcPr>
            <w:tcW w:type="dxa" w:w="82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2 小时内实施内容与产物</w:t>
            </w:r>
          </w:p>
        </w:tc>
        <w:tc>
          <w:tcPr>
            <w:tcW w:type="dxa" w:w="444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到点验收（必须留证）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U36</w:t>
              <w:br/>
              <w:t>第 71—72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目标：补齐前端单元与组件测试。</w:t>
              <w:br/>
              <w:t>实施：覆盖日期、搜索防抖、条件筛选、chips、KPI、图表选择、表格排序分页、抽屉/弹窗、空/错/权限/竞态。</w:t>
              <w:br/>
              <w:t>产物：Vitest 测试集。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pnpm --dir frontend test、typecheck、lint 通过；每类核心交互至少有成功与失败断言；无依赖真实远程库的前端测试。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U37</w:t>
              <w:br/>
              <w:t>第 73—74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目标：补齐后端 API 与隔离测试。</w:t>
              <w:br/>
              <w:t>实施：覆盖参数、公式、null、币种、日期、搜索转义、数值 HAVING、排序、分页、summary/trend/risk/export、远程故障与权限。</w:t>
              <w:br/>
              <w:t>产物：pytest 契约/安全/数据语义测试。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目标测试通过；同时断言远程数据库路由禁止迁移/写入；SQL 注入与跨租户用例通过。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U38</w:t>
              <w:br/>
              <w:t>第 75—76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目标：完成契约、构建和查询性能门槛。</w:t>
              <w:br/>
              <w:t>实施：生成 OpenAPI/TS 类型并检查差异；执行 Django check、迁移检查、前端 build；对典型 30/90 天查询记录 EXPLAIN 与上限。</w:t>
              <w:br/>
              <w:t>产物：自动化命令日志、类型差异和性能证据。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标准检查全绿；固定查询数、无 N+1/无界扫描；未验证项明确标 NOT VERIFIED，不虚构毫秒或 QPS。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U39</w:t>
              <w:br/>
              <w:t>第 77—78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目标：完成真实浏览器视觉与交互验收。</w:t>
              <w:br/>
              <w:t>实施：在 1656×707 参照尺寸及常见桌面宽度执行 Playwright/浏览器验收，检查横向滚动、粘性表头、弹层、键盘、刷新恢复和截图对比。</w:t>
              <w:br/>
              <w:t>产物：E2E 脚本、通过/失败统计与视觉证据。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截图核心布局一致；无重叠、裁切、控制台错误；日期→KPI→图表→表格→风险完整链路真实走通。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172A"/>
                <w:sz w:val="17"/>
              </w:rPr>
              <w:t>U40</w:t>
              <w:br/>
              <w:t>第 79—80 小时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目标：完成文档、演示和交付收口。</w:t>
              <w:br/>
              <w:t>实施：更新 OpenAPI、决策日志、页面字段口径、远程数据说明、测试报告、启动方法、演示脚本和遗留风险；与另一任务最终 diff 复核。</w:t>
              <w:br/>
              <w:t>产物：可交接发布包和阶段报告。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7"/>
              </w:rPr>
              <w:t>按 AGENTS.md 17 项报告格式交付；代码/测试/文档状态一致；所有未执行项有原因；不提前宣称真实 Amazon 写操作已完成。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6. 每个 2 小时单元的统一验收证据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 w:val="true"/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最低要求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变更边界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列出实际修改/新增文件；确认未进入 amazon-ads-operations-0.1.1；说明是否与并行任务重叠。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可运行结果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给出可访问页面/API，真实返回成功、空数据和失败至少一类；不得使用静态成功响应。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自动化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记录实际命令、退出码、通过/失败/跳过数量；未执行必须写原因。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契约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请求参数、响应字段、null/金额/币种/日期/分页语义与 OpenAPI 一致。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Tenant/Store/Profile 范围、远程 SELECT-only、无秘密/真实明细泄露、无字符串拼接 SQL。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视觉/交互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页面状态、键盘、焦点、横向滚动、弹层、错误和 requestId 实际可见。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交接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下一单元依赖、遗留风险和需要人工确认的决策不超过三条，且有明确负责人。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阶段性放行门槛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cantSplit w:val="true"/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里程碑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完成单元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放行条件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M1 在途成果可接管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U01—U10 / 20h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远程列表纵向链路、权限、分页、合计、基础表格测试可重复；并行编辑冲突解除。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M2 查询联动可用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U11—U15 / 30h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日期、顶部/表内搜索、状态/类型/启用/数值条件统一作用于远程全量。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M3 仪表盘可用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U16—U25 / 50h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8 KPI 与每日趋势真实、同筛选一致、无模拟拆日或假涨跌。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M4 页面完整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U26—U35 / 70h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表格字段/导出/详情/风险/抽屉和局部失败处理闭环。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M5 可交付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U36—U40 / 80h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测试、类型、构建、OpenAPI、性能/安全、浏览器与文档证据齐全。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8. 必须提前确认或持续标注的风险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5200"/>
        <w:gridCol w:w="1660"/>
      </w:tblGrid>
      <w:tr>
        <w:trPr>
          <w:cantSplit w:val="true"/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风险/决策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处理原则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阻断点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另一个任务尚未交付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只审阅，不并行覆盖；U02 建立交接点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U06 前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远程字段拼写/空值/归因未知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U03 用只读统计验证；未验证字段在 UI/meta 显式标识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相关 KPI/风险放行前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top-of-search 聚合口径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不得猜 MAX/AVG/SUM；以真实字段语义和样例确认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U04/U17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风险阈值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必须来自已确认配置/规则版本；数据不足返回 INSUFFICIENT_DATA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U32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创建/启停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V1 不写 Amazon/远程库；只允许禁用说明或 Action Preview/人工执行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U29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导出规模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先设置可观测上限和流式策略，不做无界全库导出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U30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不同币种/Marketplace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按 Profile 分开显示，不直接相加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全程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真实性能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记录真实 EXPLAIN/耗时，未跑压测不得写 QPS 或延迟结论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U38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9. 最终标准检查命令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rPr>
          <w:cantSplit w:val="true"/>
          <w:tblHeader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8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命令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uv sync --project backend --frozen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uv run --project backend python backend/manage.py check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uv run --project backend python backend/manage.py makemigrations --check --dry-run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uv run --project backend python backend/manage.py migrate --check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uv run --project backend pytest backend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6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pnpm --dir frontend install --frozen-lockfile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7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pnpm --dir frontend generate:api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8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pnpm --dir frontend lint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9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pnpm --dir frontend typecheck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10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pnpm --dir frontend test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11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pnpm --dir frontend build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12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pnpm --dir frontend test:e2e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13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docker compose -f compose.local.yml config --quiet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14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docker compose -f compose.test.yml config --quiet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15</w:t>
            </w:r>
          </w:p>
        </w:tc>
        <w:tc>
          <w:tcPr>
            <w:tcW w:type="dxa" w:w="8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0F172A"/>
                <w:sz w:val="18"/>
              </w:rPr>
              <w:t>docker compose --env-file .env.example -f compose.prod.yml config --quiet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C7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92400E"/>
              </w:rPr>
              <w:t xml:space="preserve">交付纪律  </w:t>
            </w:r>
            <w:r>
              <w:rPr>
                <w:rFonts w:ascii="Calibri" w:hAnsi="Calibri" w:eastAsia="Microsoft YaHei"/>
                <w:color w:val="92400E"/>
              </w:rPr>
              <w:t>以上命令只有实际执行并记录真实结果后才能写“通过”。若远程环境、凭据或服务不可用，应写明 NOT VERIFIED 与原因，不得以 mock 或原型页面替代远程数据库联调证据。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8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4748B"/>
        <w:sz w:val="18"/>
      </w:rPr>
      <w:t>AMAZON 广告活动总览  |  实施计划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广告活动总览远程数据联动 2 小时验收实施计划</dc:title>
  <dc:subject>基于指定 HTML 与截图的 80 小时实施与验收拆解</dc:subject>
  <dc:creator>Codex</dc:creator>
  <cp:keywords>Amazon Ads, Campaign, Remote MySQL, Dashboard, KPI, ECharts, 2-hour acceptance</cp:keywords>
  <dc:description>compact_reference_guide preset; CJK font override: Microsoft YaHei; schedule table compact override: 8.8pt.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