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Lab 3: Component Modelling &amp; Architectural Pattern Selection</w:t>
      </w:r>
    </w:p>
    <w:p>
      <w:pPr>
        <w:jc w:val="center"/>
      </w:pPr>
      <w:r>
        <w:rPr>
          <w:b/>
          <w:sz w:val="19"/>
        </w:rPr>
        <w:t>Hospital Bed &amp; ICU Allocation Dashboard</w:t>
        <w:br/>
        <w:t>Rudra Dhadhal | PES1UG24CS146 | Problem Statement #20</w:t>
      </w:r>
    </w:p>
    <w:p>
      <w:pPr>
        <w:spacing w:after="100" w:line="240" w:lineRule="auto"/>
      </w:pPr>
      <w:r>
        <w:rPr>
          <w:b/>
          <w:sz w:val="19"/>
        </w:rPr>
        <w:t xml:space="preserve">Architecture Selection: </w:t>
      </w:r>
      <w:r>
        <w:rPr>
          <w:sz w:val="19"/>
        </w:rPr>
        <w:t>We chose Layered Architecture for the Hospital Bed &amp; ICU Allocation Dashboard.</w:t>
      </w:r>
    </w:p>
    <w:p>
      <w:pPr>
        <w:spacing w:after="100" w:line="240" w:lineRule="auto"/>
      </w:pPr>
      <w:r>
        <w:rPr>
          <w:b/>
          <w:sz w:val="19"/>
        </w:rPr>
        <w:t xml:space="preserve">Reason 1 — Separation of concerns: </w:t>
      </w:r>
      <w:r>
        <w:rPr>
          <w:sz w:val="19"/>
        </w:rPr>
        <w:t>The system separates the dashboard presentation from core functions such as triage scoring, bed allocation, ambulance transfer, authentication, and notifications. This keeps hospital workflow logic organized and maintainable.</w:t>
      </w:r>
    </w:p>
    <w:p>
      <w:pPr>
        <w:spacing w:after="100" w:line="240" w:lineRule="auto"/>
      </w:pPr>
      <w:r>
        <w:rPr>
          <w:b/>
          <w:sz w:val="19"/>
        </w:rPr>
        <w:t xml:space="preserve">Reason 2 — Real-time hospital workflow: </w:t>
      </w:r>
      <w:r>
        <w:rPr>
          <w:sz w:val="19"/>
        </w:rPr>
        <w:t>The architecture gives a clear path from dashboard requests to allocation and bed-status services. Occupied, Cleaning, and Available states can be pushed to connected clients using WebSockets, matching the scenario's real-time requirement.</w:t>
      </w:r>
    </w:p>
    <w:p>
      <w:pPr>
        <w:spacing w:after="100" w:line="240" w:lineRule="auto"/>
      </w:pPr>
      <w:r>
        <w:rPr>
          <w:b/>
          <w:sz w:val="19"/>
        </w:rPr>
        <w:t xml:space="preserve">Security Advantage: </w:t>
      </w:r>
      <w:r>
        <w:rPr>
          <w:sz w:val="19"/>
        </w:rPr>
        <w:t>Authentication and authorization can be enforced at the service boundary before users access allocation or transfer operations. Separating these responsibilities also makes security controls easier to maintain.</w:t>
      </w:r>
    </w:p>
    <w:p>
      <w:pPr>
        <w:spacing w:after="100" w:line="240" w:lineRule="auto"/>
      </w:pPr>
      <w:r>
        <w:rPr>
          <w:b/>
          <w:sz w:val="19"/>
        </w:rPr>
        <w:t xml:space="preserve">Performance Benefit: </w:t>
      </w:r>
      <w:r>
        <w:rPr>
          <w:sz w:val="19"/>
        </w:rPr>
        <w:t>Dedicated bed-status and allocation services avoid unnecessary processing in the user interface. WebSockets push status changes instead of repeated polling, helping support the required under-1-second propagation target.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