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ПРАВИТЕЛЬСТВЕ РОССИЙСКОЙ ФЕДЕРАЦИИ»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анализа данных, принятия решений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 финансовых технологий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Милованов Д.М., Хасаншин И.Я.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материалы по выполнению курсовой работы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“Современные технологии программирования”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студентов, 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обучающихся по направлению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09.03.03 «Прикладная информатика», 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(программа подготовки бакалавра),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2021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Общее задание на курсовую работу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требования к курсовой работе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пояснительной записки.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и сроки выполнения курсовой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Показатели оценивания курсовой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Рекомендации по выполнению курсовой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 разработке программы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 пользовательскому интерфейсу.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 защите работы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VII.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Список примерных тем курсовых работ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VIII.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Рекомендуемая литература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1"/>
        </w:numPr>
        <w:spacing w:line="360" w:lineRule="auto"/>
        <w:ind w:left="709" w:hanging="349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Общее задание на курсовую работу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кросс-платформенное приложение (Клиент) и приложение, которое занимается хранением и обработкой информации, (Сервер), выполняющее учет и отображение объектов предметной области, хранящихся в базе данных (БД), и предоставляющее справочную и статистическую информацию.  Информационная модель предметной области должна быть не проще двухуровневой структуры данных типа «родитель-дочка». 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должен быть с графическим интерфейсом. Реализация допускается на языке программирования Java (графический интерфейс реализуется при помощи Swing или JavaFX). Клиент должен уметь соединяться с сервером при помощи запросов к API Сервера.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может не иметь интерфейса. Задача сервера, обрабатывать данные, полученные от Клиента, сохранять их в БД, делать запросы к БД. Сервер должен иметь реализацию RESTful API для взаимодействия с клиентом.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1"/>
        </w:numPr>
        <w:spacing w:line="360" w:lineRule="auto"/>
        <w:ind w:left="709" w:hanging="349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Общие требования к курсовой работе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курсовом проекте должна быть разработана информационная модель предметной области, представленная в виде пользовательских классов и таблиц БД. Взаимодействие с БД должно быть реализовано при помощи ORM.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Должно быть разработано несколько форм пользовательского интерфейса для клиента.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Разработчик самостоятельно определяет интерфейс программы и ее функциональность, однако для получения максимальной оценки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Отображать в таблице данные предметной области: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информационной модели, основанной на БД, таблицы должны быть предварительно заполнены записями.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добавление в БД нового объекта, удаление объекта, редактирование объекта.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фильтрацию записей БД, удовлетворяющих введенному пользователем сложному критерию.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сортировку записей.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Обновлять изменения источника данных в базе данных.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сохранения данных при запуске программы загрузить данные из БД.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пункт меню «Об авторе».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несколько полезных пользователю функций для отображения статистических данных, например, средних, максимальных или минимальных значений, данных для построения гистограммы или графика и т.п.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Программа должна иметь содержательные комментарии, которые могут генерировать автоматически составляемую документацию при помощи инструмента JavaDoc.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Структура пояснительной записки.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Описание предметной области 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Актуальность автоматизации 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Описание программы 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Алгоритмические решения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Описание интерфейса программы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Состав приложения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Назначение и состав классов программы 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Приложение. 1. Исходный код программы 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Порядок и сроки выполнения курсовой работы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от ответственного за КР список тем с фамилиями руководителей.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темы согласовывается со старостой – на одну тему – один исполнитель в группе. Староста передает ответственному за КР список группы.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 передает список тем КР на подпись. Изменить тему после утверждения нельзя.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утверждения тем, на информационно-образовательном портале (ИОП) университета каждому студенту станет доступна таблица с полями: тема, результат проверки на плагиат, загрузка работы, отзыв, допуск к защите, оценка и др.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разрабатывает программу, пояснительную записку и презентацию.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должна быть сброшюрована по правилам.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 работ руководителю, исправление ошибок и получение разрешение на загрузку работы на ИОП.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работы (Пояснительной записки) и результаты проверки работы на плагиат на портал.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формирует отзыв и загружает его в таблицу.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 отзыва и работы в распечатанном виде специальному ответственному за КР от департамента.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допуска к защите. Назначается место, дата и время защиты.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защита работ в назначенное дату и время.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выставляет оценку.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Рекомендуемые контрольные сроки: в конце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апреля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работа должна быть готова к защите.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подготовки и защиты курсовых работ (см. на портале fa.ru)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темы курсовой работы студентами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19 февраля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Закрепление темы курсовой работы за студентом и назначение руководителя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25 февраля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плана курсовой работы руководителем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05 марта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выполненной курсовой работы в департамент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05 мая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курсовых работ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26 мая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Показатели оценивания курсовой работы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за курсовую работу (О) складывается из: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оценки за качество и полноту реализации приложения (Опр);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оценки за пояснительную записку (Опз);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оценки за презентацию и защиту КП (Оз).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 вычисляется по формуле: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О=0,6 Опр + 0,25 Опз+0,15 Оз.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1695"/>
        <w:tblGridChange w:id="0">
          <w:tblGrid>
            <w:gridCol w:w="7650"/>
            <w:gridCol w:w="1695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Показатели оценивания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Макс. балл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Качество и полнота реализации приложения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на оценку «отлично»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полностью соответствует заданию.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реализована в трехзвенной архитектуре (слой клиента – слой сервера – слой данных)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ни при каких обстоятельствах не завершается аварийно.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 эргономичен и интуитивно понятен.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Алгоритмы обработки данных эффективны и рациональны.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соответствует требованиям объектно-ориентированного и структурного программирования.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читабельна и задокументирована.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задокументирована по стандарту JavaDoc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Обнаружены отдельные недостатки по п. 1-6, но программа имеет повышенную сложность и/или большой объем.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86-100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на оценку «хорошо»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выполнены полностью требования на оценку «отлично» по одному или нескольким критериям, при этом выявлены один или несколько недостатков: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в основном соответствует заданию. Допущены несущественные отклонения от условия.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завершается аварийно только при вводе некорректных данных или выполнении второстепенных функций.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 недостаточно эргономичен.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Существуют более эффективные алгоритмы обработки данных и/или более простой способ решения задачи.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Обнаружены отдельные недоработки.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129" w:right="0" w:hanging="4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Обнаружены отдельные недостатки по п. 1-5, но программа имеет повышенную сложность и/или большой объем.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70-85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на оценку «удовлетворительно»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выполнены требования на оценку «хорошо» по одному или нескольким критериям, но программа может быть выполнена и при этом будут выявлены дополнительные недостатки: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выполнено частично.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написана некачественно, содержит ошибки.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 аварийно завершается при выполнении некоторых функций.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50-69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«неудовлетворительно» выставляется в остальных случаях: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целом задание не выполнено.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Отсутствует выполнимая программа.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6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Отсутствует проект.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Курсовая работа не допускается к защите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0-49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Качество пояснительной записки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Соответствие оглавления пояснительной записки требованиям.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Полнота раскрытия вопросов.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Соответствие текста пояснительной записки предъявляемым требованиям к оформлению.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Наличие аргументированной точки зрения и обоснований принятия решений.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Аккуратность оформления, отсутствие орфографических и стилистических ошибок.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114" w:right="0" w:hanging="40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Соответствие схем ГОСТу.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0-100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 Защита курсовой работы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Качество доклада.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Качество презентации.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Ответы на вопросы.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Сроки представления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0-100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Рекомендации по выполнению курсовой работы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Рекомендации носят необязательный характер, однако их необоснованное игнорирование может привести к снижению оценки за КР.</w:t>
      </w:r>
    </w:p>
    <w:p w:rsidR="00000000" w:rsidDel="00000000" w:rsidP="00000000" w:rsidRDefault="00000000" w:rsidRPr="00000000" w14:paraId="000000AA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 по разработке программы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ни при каких условиях не должна аварийно завершаться или выдавать неверный результат из-за ошибок пользователя! Везде, где это необходимо, использовать обработку исключений и проверки. Проверять преобразование исходных данных.</w:t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должны быть эффективными и простыми. Программа должна быть читабельной и содержать комментарии. В идеале соответствовать концепции «Чистый код».</w:t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концепция ООП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Запоминать, если необходимо, параметры программы в ресурсах, а при запуске программы автоматически считывать файл и производить ее настройку на эти параметры. В качестве параметров могут быть запомнены: имя файла объектов, в котором при выходе из программы была сохранена информация; состояние переключателей и флажков, настройки окна,и т.д. При запуске программы автоматически открывать запомненный файл.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работу с программой пользователей разного уровня (администратор, пользователь). Если в программе необходимо вводить логины и пароли, то они должны быть отображены рядом с полями ввода. В БД они должны храниться в хешированном виде.</w:t>
      </w:r>
    </w:p>
    <w:p w:rsidR="00000000" w:rsidDel="00000000" w:rsidP="00000000" w:rsidRDefault="00000000" w:rsidRPr="00000000" w14:paraId="000000B0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 по пользовательскому интерфейсу.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должен быть эргономичным, интуитивно понятным и эстетичным. Цветовая палитра формы должна соответствовать хорошему стилю.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столбце таблицы отображаются фиксированные данные, например названия факультетов, то столбец должен быть преобразован в виде элемента выбора comboBox.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отображать не менее 4-х взаимосвязанных по данным окон. Окна не должны быть перегружены элементами управления: редко используемые возможности необходимо концентрировать в других окнах или вкладках.</w:t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быть минимизирован: если что-то можно сделать автоматически или за одно действие вместо нескольких, надо такой интерфейс и реализовывать. Например, вместо использования кнопок, можно автоматически отображать количественные данные в строке состояния.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формах рекомендуется использовать элементы управления: меню, панель инструментов, кнопки, надписи, сетку, подсказки, полосу состояния и т.д.</w:t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элементов управления должно отвечать требованиям эргономики.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управления, которые в данный момент не могут использоваться, должны быть либо неактивны, либо невидимы.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Известные значения должны быть представлены счетчиками, переключателями и списками, допускающими добавление и удаление элементов. К известным значениям могут быть отнесены: текущая дата; наиболее предполагаемое значение; списки фамилий, названий и т.д.. Если эти значения не являются заранее известными, то их можно динамически выделить из хранилища объектов.</w:t>
      </w:r>
    </w:p>
    <w:p w:rsidR="00000000" w:rsidDel="00000000" w:rsidP="00000000" w:rsidRDefault="00000000" w:rsidRPr="00000000" w14:paraId="000000B9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 по защите работы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допуска студента к защите, защита выполняется в дни и часы, назначенные руководителем. Студент выполняет доклад по выполненной работе. Время, отводимое на доклад: 10 минут. В докладе необходимо отразить постановку задачи с данными о разработчике, иллюстрацию предметной области, диаграмму или схему информационной модели предметной области, основные окна программы, примеры выполнения основных функций.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докладу должно быть подготовлено 7-10 слайдов в формате PowerPoint по освещаемым вопросам доклада. Основным содержимым слайдов должны быть схемы, рисунки, таблицы, графики. Отображать на слайде текст доклада не рекомендуется</w:t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Список примерных тем курсовых работ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туристического агентства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жд вокзала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аэропорта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ресторана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библиотеки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магазина цифровой техники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обработки и доставки заказов пиццерии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кинотеатра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театра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диллерского магазина автомобилей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таксопарка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кинопроката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автосервиса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автопроката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перевозки грузов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фитнес-клуба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барбершопа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массажного салона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центра повышения квалификации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для проведения научно-практических конференций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для проведения конкурсов профессионального мастерства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учебно-методических и правовых материалов компании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учета инцидентов информационной безопасности в организации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девелоперской компании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по предоставлению услуг жилищно-коммунального хозяйства (ЖКХ)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товарищества собственников жилья (ТСЖ)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агентства недвижимости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70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Информационно-справочная система автотранспортного предприятия</w:t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1"/>
        </w:numPr>
        <w:tabs>
          <w:tab w:val="left" w:pos="993"/>
        </w:tabs>
        <w:spacing w:line="360" w:lineRule="auto"/>
        <w:ind w:left="993" w:hanging="63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Рекомендуемая литература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Козмина Ю., Харроп Р. Spring 5 для профессионалов. - Киев: Диалектика-Вильямс,  2019. - 1120 с.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Коузен К. Современный Java. Рецепты программирования . - М.: ДМК Пресс,  2018. - 274 с.</w:t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Мартин Роберт К. Чистый код. Создание анализ и рефакторинг. - СПб: Питер,  2019. - 464 с.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Прохоренок Н.А. JavaFX. - СПб: БХВ-Петербург,  2020. - 768 с.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Шилдт Г. Java. Полное руководство. - Киев: Диалектика,  2018. - 1488 с.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129" w:hanging="42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114" w:hanging="405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7F33"/>
  </w:style>
  <w:style w:type="paragraph" w:styleId="1">
    <w:name w:val="heading 1"/>
    <w:basedOn w:val="a"/>
    <w:next w:val="a"/>
    <w:link w:val="10"/>
    <w:uiPriority w:val="9"/>
    <w:qFormat w:val="1"/>
    <w:rsid w:val="000B35D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17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42C43"/>
    <w:pPr>
      <w:ind w:left="720"/>
      <w:contextualSpacing w:val="1"/>
    </w:pPr>
  </w:style>
  <w:style w:type="table" w:styleId="a4">
    <w:name w:val="Table Grid"/>
    <w:basedOn w:val="a1"/>
    <w:uiPriority w:val="39"/>
    <w:rsid w:val="00C42C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0B35D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5">
    <w:name w:val="TOC Heading"/>
    <w:basedOn w:val="1"/>
    <w:next w:val="a"/>
    <w:uiPriority w:val="39"/>
    <w:unhideWhenUsed w:val="1"/>
    <w:qFormat w:val="1"/>
    <w:rsid w:val="000B35D0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617DD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11">
    <w:name w:val="toc 1"/>
    <w:basedOn w:val="a"/>
    <w:next w:val="a"/>
    <w:autoRedefine w:val="1"/>
    <w:uiPriority w:val="39"/>
    <w:unhideWhenUsed w:val="1"/>
    <w:rsid w:val="00617DD2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617DD2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617DD2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617D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 w:val="1"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800E14"/>
  </w:style>
  <w:style w:type="paragraph" w:styleId="aa">
    <w:name w:val="footer"/>
    <w:basedOn w:val="a"/>
    <w:link w:val="ab"/>
    <w:uiPriority w:val="99"/>
    <w:unhideWhenUsed w:val="1"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800E1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tt+gBal++z+CzKJ/OgtgjIsAA==">AMUW2mX7+n20Pg6XlcmC4pug6ShoENuzTEdkLBKzyr5IOOXspJ51Lpmtg+kJNsP0psY3lbo1GiU8A28iFdkWxxXO55Cmd2ScnhQoSFWFJUvEkc3voFlBjBISi575kzP0IntZFm35kob1xmUmzbPGQI+76oJJrZdLzI6oubdG8mnKPSopXf4K6xtaFP7e+8uexOgK671a21/wV9oxZba/icae526/UV+DsuI6yUTSQQ+vyPnaRSW2sbqVwwBq2NGiU8XDTs+B+pqqqZwGWnCdd4ELMgadBFZO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2020-12-23T11:20:00Z</dcterms:created>
  <dc:creator>Милованов Даниил Михайлович</dc:creator>
</cp:coreProperties>
</file>