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4E79"/>
          <w:sz w:val="44"/>
        </w:rPr>
        <w:t>Amazon Product Rating Prediction &amp; Machine Learning Audit Report</w:t>
      </w:r>
    </w:p>
    <w:p>
      <w:pPr>
        <w:spacing w:after="320"/>
      </w:pPr>
      <w:r>
        <w:rPr>
          <w:i/>
          <w:color w:val="7F8C8D"/>
          <w:sz w:val="19"/>
        </w:rPr>
        <w:t>Orchestra Autonomous Analytics Studio  |  Dataset: amazon.csv (1,465 items)  |  Date: October 26, 2026</w:t>
      </w:r>
    </w:p>
    <w:p>
      <w:pPr>
        <w:pStyle w:val="Heading1"/>
        <w:keepNext/>
        <w:spacing w:before="360" w:after="120"/>
      </w:pPr>
      <w:r>
        <w:rPr>
          <w:color w:val="1F4E79"/>
          <w:sz w:val="32"/>
        </w:rPr>
        <w:t>1. Executive Summary &amp; Verdict</w:t>
      </w:r>
    </w:p>
    <w:tbl>
      <w:tblPr>
        <w:tblW w:type="auto" w:w="0"/>
        <w:jc w:val="center"/>
        <w:tblLayout w:type="fixed"/>
        <w:tblLook w:firstColumn="1" w:firstRow="1" w:lastColumn="0" w:lastRow="0" w:noHBand="0" w:noVBand="1" w:val="04A0"/>
      </w:tblPr>
      <w:tblGrid>
        <w:gridCol w:w="9360"/>
      </w:tblGrid>
      <w:tr>
        <w:tc>
          <w:tcPr>
            <w:tcW w:type="dxa" w:w="9360"/>
            <w:shd w:fill="EAFaf1"/>
            <w:tcMar>
              <w:top w:w="140" w:type="dxa"/>
              <w:bottom w:w="140" w:type="dxa"/>
              <w:left w:w="200" w:type="dxa"/>
              <w:right w:w="200" w:type="dxa"/>
            </w:tcMar>
            <w:tcBorders>
              <w:left w:val="single" w:sz="36" w:space="0" w:color="27AE60"/>
              <w:top w:val="none"/>
              <w:right w:val="none"/>
              <w:bottom w:val="none"/>
            </w:tcBorders>
          </w:tcPr>
          <w:p>
            <w:pPr>
              <w:spacing w:before="40" w:after="80"/>
            </w:pPr>
            <w:r>
              <w:rPr>
                <w:b/>
                <w:color w:val="1F4E79"/>
                <w:sz w:val="22"/>
              </w:rPr>
              <w:t>[PRODUCTION GOVERNANCE: APPROVED FOR DEPLOYMENT]</w:t>
              <w:br/>
            </w:r>
            <w:r>
              <w:rPr>
                <w:color w:val="2C3E50"/>
                <w:sz w:val="20"/>
              </w:rPr>
              <w:t>The end-to-end machine learning pipeline has evaluated the Amazon product catalog to predict consumer satisfaction ratings (1.0 - 5.0 scale). The Champion Random Forest model achieved a Holdout Test RMSE of 0.2562 with 75.4% of predictions falling within ±0.25 rating points. No train/test data leakage was detected. The model is approved for experimental production scoring and inventory recommendation.</w:t>
            </w:r>
          </w:p>
        </w:tc>
      </w:tr>
    </w:tbl>
    <w:p>
      <w:r>
        <w:t>This evaluation was conducted collaboratively by the 5 Orchestra Domain Expert Agents: Maya (Data Understanding), Leo (Data Cleaning), Priya (Feature Engineering), Julian (Model Building &amp; Optuna Tuning), and Elena (Validation Audit).</w:t>
      </w:r>
    </w:p>
    <w:p>
      <w:pPr>
        <w:pStyle w:val="Heading1"/>
        <w:keepNext/>
        <w:spacing w:before="360" w:after="120"/>
      </w:pPr>
      <w:r>
        <w:rPr>
          <w:color w:val="1F4E79"/>
          <w:sz w:val="32"/>
        </w:rPr>
        <w:t>2. Data Understanding &amp; Exploratory Profiling</w:t>
      </w:r>
    </w:p>
    <w:p>
      <w:r>
        <w:t>Maya profiled 1,465 product listings across 16 raw features. Target variable 'rating' exhibited a left-skewed distribution with a mean of 4.10 and standard deviation of 0.29. Significant formatting anomalies were discovered and cataloged.</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F4E79"/>
            <w:tcMar>
              <w:top w:w="120" w:type="dxa"/>
              <w:bottom w:w="120" w:type="dxa"/>
              <w:left w:w="140" w:type="dxa"/>
              <w:right w:w="140" w:type="dxa"/>
            </w:tcMar>
          </w:tcPr>
          <w:p>
            <w:pPr>
              <w:jc w:val="center"/>
            </w:pPr>
            <w:r>
              <w:rPr>
                <w:b/>
                <w:color w:val="FFFFFF"/>
                <w:sz w:val="19"/>
              </w:rPr>
              <w:t>Metric / Attribute</w:t>
            </w:r>
          </w:p>
        </w:tc>
        <w:tc>
          <w:tcPr>
            <w:tcW w:type="dxa" w:w="2880"/>
            <w:shd w:fill="1F4E79"/>
            <w:tcMar>
              <w:top w:w="120" w:type="dxa"/>
              <w:bottom w:w="120" w:type="dxa"/>
              <w:left w:w="140" w:type="dxa"/>
              <w:right w:w="140" w:type="dxa"/>
            </w:tcMar>
          </w:tcPr>
          <w:p>
            <w:pPr>
              <w:jc w:val="center"/>
            </w:pPr>
            <w:r>
              <w:rPr>
                <w:b/>
                <w:color w:val="FFFFFF"/>
                <w:sz w:val="19"/>
              </w:rPr>
              <w:t>Raw Observation</w:t>
            </w:r>
          </w:p>
        </w:tc>
        <w:tc>
          <w:tcPr>
            <w:tcW w:type="dxa" w:w="3600"/>
            <w:shd w:fill="1F4E79"/>
            <w:tcMar>
              <w:top w:w="120" w:type="dxa"/>
              <w:bottom w:w="120" w:type="dxa"/>
              <w:left w:w="140" w:type="dxa"/>
              <w:right w:w="140" w:type="dxa"/>
            </w:tcMar>
          </w:tcPr>
          <w:p>
            <w:pPr>
              <w:jc w:val="center"/>
            </w:pPr>
            <w:r>
              <w:rPr>
                <w:b/>
                <w:color w:val="FFFFFF"/>
                <w:sz w:val="19"/>
              </w:rPr>
              <w:t>Statistical Diagnostic</w:t>
            </w:r>
          </w:p>
        </w:tc>
      </w:tr>
      <w:tr>
        <w:tc>
          <w:tcPr>
            <w:tcW w:type="dxa" w:w="2880"/>
            <w:shd w:fill="FFFFFF"/>
            <w:tcMar>
              <w:top w:w="90" w:type="dxa"/>
              <w:bottom w:w="90" w:type="dxa"/>
              <w:left w:w="130" w:type="dxa"/>
              <w:right w:w="130" w:type="dxa"/>
            </w:tcMar>
          </w:tcPr>
          <w:p>
            <w:pPr>
              <w:jc w:val="left"/>
            </w:pPr>
            <w:r>
              <w:rPr>
                <w:b/>
                <w:color w:val="333333"/>
                <w:sz w:val="18"/>
              </w:rPr>
              <w:t>Total Catalog Items</w:t>
            </w:r>
          </w:p>
        </w:tc>
        <w:tc>
          <w:tcPr>
            <w:tcW w:type="dxa" w:w="2880"/>
            <w:shd w:fill="FFFFFF"/>
            <w:tcMar>
              <w:top w:w="90" w:type="dxa"/>
              <w:bottom w:w="90" w:type="dxa"/>
              <w:left w:w="130" w:type="dxa"/>
              <w:right w:w="130" w:type="dxa"/>
            </w:tcMar>
          </w:tcPr>
          <w:p>
            <w:pPr>
              <w:jc w:val="center"/>
            </w:pPr>
            <w:r>
              <w:rPr>
                <w:color w:val="333333"/>
                <w:sz w:val="18"/>
              </w:rPr>
              <w:t>1,465 products</w:t>
            </w:r>
          </w:p>
        </w:tc>
        <w:tc>
          <w:tcPr>
            <w:tcW w:type="dxa" w:w="3600"/>
            <w:shd w:fill="FFFFFF"/>
            <w:tcMar>
              <w:top w:w="90" w:type="dxa"/>
              <w:bottom w:w="90" w:type="dxa"/>
              <w:left w:w="130" w:type="dxa"/>
              <w:right w:w="130" w:type="dxa"/>
            </w:tcMar>
          </w:tcPr>
          <w:p>
            <w:pPr>
              <w:jc w:val="center"/>
            </w:pPr>
            <w:r>
              <w:rPr>
                <w:color w:val="333333"/>
                <w:sz w:val="18"/>
              </w:rPr>
              <w:t>16 raw attributes across hardware, home, and accessories</w:t>
            </w:r>
          </w:p>
        </w:tc>
      </w:tr>
      <w:tr>
        <w:tc>
          <w:tcPr>
            <w:tcW w:type="dxa" w:w="2880"/>
            <w:shd w:fill="F8F9FA"/>
            <w:tcMar>
              <w:top w:w="90" w:type="dxa"/>
              <w:bottom w:w="90" w:type="dxa"/>
              <w:left w:w="130" w:type="dxa"/>
              <w:right w:w="130" w:type="dxa"/>
            </w:tcMar>
          </w:tcPr>
          <w:p>
            <w:pPr>
              <w:jc w:val="left"/>
            </w:pPr>
            <w:r>
              <w:rPr>
                <w:b/>
                <w:color w:val="333333"/>
                <w:sz w:val="18"/>
              </w:rPr>
              <w:t>Target 'rating' Mean</w:t>
            </w:r>
          </w:p>
        </w:tc>
        <w:tc>
          <w:tcPr>
            <w:tcW w:type="dxa" w:w="2880"/>
            <w:shd w:fill="F8F9FA"/>
            <w:tcMar>
              <w:top w:w="90" w:type="dxa"/>
              <w:bottom w:w="90" w:type="dxa"/>
              <w:left w:w="130" w:type="dxa"/>
              <w:right w:w="130" w:type="dxa"/>
            </w:tcMar>
          </w:tcPr>
          <w:p>
            <w:pPr>
              <w:jc w:val="center"/>
            </w:pPr>
            <w:r>
              <w:rPr>
                <w:color w:val="333333"/>
                <w:sz w:val="18"/>
              </w:rPr>
              <w:t>4.10 / 5.00</w:t>
            </w:r>
          </w:p>
        </w:tc>
        <w:tc>
          <w:tcPr>
            <w:tcW w:type="dxa" w:w="3600"/>
            <w:shd w:fill="F8F9FA"/>
            <w:tcMar>
              <w:top w:w="90" w:type="dxa"/>
              <w:bottom w:w="90" w:type="dxa"/>
              <w:left w:w="130" w:type="dxa"/>
              <w:right w:w="130" w:type="dxa"/>
            </w:tcMar>
          </w:tcPr>
          <w:p>
            <w:pPr>
              <w:jc w:val="center"/>
            </w:pPr>
            <w:r>
              <w:rPr>
                <w:color w:val="333333"/>
                <w:sz w:val="18"/>
              </w:rPr>
              <w:t>Median: 4.10, Std: 0.29, Skewness: -1.24</w:t>
            </w:r>
          </w:p>
        </w:tc>
      </w:tr>
      <w:tr>
        <w:tc>
          <w:tcPr>
            <w:tcW w:type="dxa" w:w="2880"/>
            <w:shd w:fill="FFFFFF"/>
            <w:tcMar>
              <w:top w:w="90" w:type="dxa"/>
              <w:bottom w:w="90" w:type="dxa"/>
              <w:left w:w="130" w:type="dxa"/>
              <w:right w:w="130" w:type="dxa"/>
            </w:tcMar>
          </w:tcPr>
          <w:p>
            <w:pPr>
              <w:jc w:val="left"/>
            </w:pPr>
            <w:r>
              <w:rPr>
                <w:b/>
                <w:color w:val="333333"/>
                <w:sz w:val="18"/>
              </w:rPr>
              <w:t>Currency Pollution</w:t>
            </w:r>
          </w:p>
        </w:tc>
        <w:tc>
          <w:tcPr>
            <w:tcW w:type="dxa" w:w="2880"/>
            <w:shd w:fill="FFFFFF"/>
            <w:tcMar>
              <w:top w:w="90" w:type="dxa"/>
              <w:bottom w:w="90" w:type="dxa"/>
              <w:left w:w="130" w:type="dxa"/>
              <w:right w:w="130" w:type="dxa"/>
            </w:tcMar>
          </w:tcPr>
          <w:p>
            <w:pPr>
              <w:jc w:val="center"/>
            </w:pPr>
            <w:r>
              <w:rPr>
                <w:color w:val="333333"/>
                <w:sz w:val="18"/>
              </w:rPr>
              <w:t>₹ symbol + commas</w:t>
            </w:r>
          </w:p>
        </w:tc>
        <w:tc>
          <w:tcPr>
            <w:tcW w:type="dxa" w:w="3600"/>
            <w:shd w:fill="FFFFFF"/>
            <w:tcMar>
              <w:top w:w="90" w:type="dxa"/>
              <w:bottom w:w="90" w:type="dxa"/>
              <w:left w:w="130" w:type="dxa"/>
              <w:right w:w="130" w:type="dxa"/>
            </w:tcMar>
          </w:tcPr>
          <w:p>
            <w:pPr>
              <w:jc w:val="center"/>
            </w:pPr>
            <w:r>
              <w:rPr>
                <w:color w:val="333333"/>
                <w:sz w:val="18"/>
              </w:rPr>
              <w:t>Present in discounted_price &amp; actual_price; requires float parsing</w:t>
            </w:r>
          </w:p>
        </w:tc>
      </w:tr>
      <w:tr>
        <w:tc>
          <w:tcPr>
            <w:tcW w:type="dxa" w:w="2880"/>
            <w:shd w:fill="F8F9FA"/>
            <w:tcMar>
              <w:top w:w="90" w:type="dxa"/>
              <w:bottom w:w="90" w:type="dxa"/>
              <w:left w:w="130" w:type="dxa"/>
              <w:right w:w="130" w:type="dxa"/>
            </w:tcMar>
          </w:tcPr>
          <w:p>
            <w:pPr>
              <w:jc w:val="left"/>
            </w:pPr>
            <w:r>
              <w:rPr>
                <w:b/>
                <w:color w:val="333333"/>
                <w:sz w:val="18"/>
              </w:rPr>
              <w:t>Rating Count Missing</w:t>
            </w:r>
          </w:p>
        </w:tc>
        <w:tc>
          <w:tcPr>
            <w:tcW w:type="dxa" w:w="2880"/>
            <w:shd w:fill="F8F9FA"/>
            <w:tcMar>
              <w:top w:w="90" w:type="dxa"/>
              <w:bottom w:w="90" w:type="dxa"/>
              <w:left w:w="130" w:type="dxa"/>
              <w:right w:w="130" w:type="dxa"/>
            </w:tcMar>
          </w:tcPr>
          <w:p>
            <w:pPr>
              <w:jc w:val="center"/>
            </w:pPr>
            <w:r>
              <w:rPr>
                <w:color w:val="333333"/>
                <w:sz w:val="18"/>
              </w:rPr>
              <w:t>2 missing values</w:t>
            </w:r>
          </w:p>
        </w:tc>
        <w:tc>
          <w:tcPr>
            <w:tcW w:type="dxa" w:w="3600"/>
            <w:shd w:fill="F8F9FA"/>
            <w:tcMar>
              <w:top w:w="90" w:type="dxa"/>
              <w:bottom w:w="90" w:type="dxa"/>
              <w:left w:w="130" w:type="dxa"/>
              <w:right w:w="130" w:type="dxa"/>
            </w:tcMar>
          </w:tcPr>
          <w:p>
            <w:pPr>
              <w:jc w:val="center"/>
            </w:pPr>
            <w:r>
              <w:rPr>
                <w:color w:val="333333"/>
                <w:sz w:val="18"/>
              </w:rPr>
              <w:t>Formatted with commas; imputed with training median</w:t>
            </w:r>
          </w:p>
        </w:tc>
      </w:tr>
      <w:tr>
        <w:tc>
          <w:tcPr>
            <w:tcW w:type="dxa" w:w="2880"/>
            <w:shd w:fill="FFFFFF"/>
            <w:tcMar>
              <w:top w:w="90" w:type="dxa"/>
              <w:bottom w:w="90" w:type="dxa"/>
              <w:left w:w="130" w:type="dxa"/>
              <w:right w:w="130" w:type="dxa"/>
            </w:tcMar>
          </w:tcPr>
          <w:p>
            <w:pPr>
              <w:jc w:val="left"/>
            </w:pPr>
            <w:r>
              <w:rPr>
                <w:b/>
                <w:color w:val="333333"/>
                <w:sz w:val="18"/>
              </w:rPr>
              <w:t>Rogue Characters</w:t>
            </w:r>
          </w:p>
        </w:tc>
        <w:tc>
          <w:tcPr>
            <w:tcW w:type="dxa" w:w="2880"/>
            <w:shd w:fill="FFFFFF"/>
            <w:tcMar>
              <w:top w:w="90" w:type="dxa"/>
              <w:bottom w:w="90" w:type="dxa"/>
              <w:left w:w="130" w:type="dxa"/>
              <w:right w:w="130" w:type="dxa"/>
            </w:tcMar>
          </w:tcPr>
          <w:p>
            <w:pPr>
              <w:jc w:val="center"/>
            </w:pPr>
            <w:r>
              <w:rPr>
                <w:color w:val="333333"/>
                <w:sz w:val="18"/>
              </w:rPr>
              <w:t>Pipe '|' character</w:t>
            </w:r>
          </w:p>
        </w:tc>
        <w:tc>
          <w:tcPr>
            <w:tcW w:type="dxa" w:w="3600"/>
            <w:shd w:fill="FFFFFF"/>
            <w:tcMar>
              <w:top w:w="90" w:type="dxa"/>
              <w:bottom w:w="90" w:type="dxa"/>
              <w:left w:w="130" w:type="dxa"/>
              <w:right w:w="130" w:type="dxa"/>
            </w:tcMar>
          </w:tcPr>
          <w:p>
            <w:pPr>
              <w:jc w:val="center"/>
            </w:pPr>
            <w:r>
              <w:rPr>
                <w:color w:val="333333"/>
                <w:sz w:val="18"/>
              </w:rPr>
              <w:t>Found in 1 rogue product record; isolated and dropped</w:t>
            </w:r>
          </w:p>
        </w:tc>
      </w:tr>
    </w:tbl>
    <w:p>
      <w:pPr>
        <w:spacing w:before="240" w:after="40"/>
        <w:jc w:val="center"/>
      </w:pPr>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eda_rating_distribution.png"/>
                    <pic:cNvPicPr/>
                  </pic:nvPicPr>
                  <pic:blipFill>
                    <a:blip r:embed="rId9"/>
                    <a:stretch>
                      <a:fillRect/>
                    </a:stretch>
                  </pic:blipFill>
                  <pic:spPr>
                    <a:xfrm>
                      <a:off x="0" y="0"/>
                      <a:ext cx="5029200" cy="2794000"/>
                    </a:xfrm>
                    <a:prstGeom prst="rect"/>
                  </pic:spPr>
                </pic:pic>
              </a:graphicData>
            </a:graphic>
          </wp:inline>
        </w:drawing>
      </w:r>
    </w:p>
    <w:p>
      <w:pPr>
        <w:spacing w:after="280"/>
        <w:jc w:val="center"/>
      </w:pPr>
      <w:r>
        <w:rPr>
          <w:i/>
          <w:color w:val="7F8C8D"/>
          <w:sz w:val="18"/>
        </w:rPr>
        <w:t>Figure 1: Distribution of Amazon Product Ratings (Mean: 4.10, Median: 4.10).</w:t>
      </w:r>
    </w:p>
    <w:p>
      <w:pPr>
        <w:pStyle w:val="Heading1"/>
        <w:keepNext/>
        <w:spacing w:before="360" w:after="120"/>
      </w:pPr>
      <w:r>
        <w:rPr>
          <w:color w:val="1F4E79"/>
          <w:sz w:val="32"/>
        </w:rPr>
        <w:t>3. Data Cleaning &amp; Leak-Free Preprocessing</w:t>
      </w:r>
    </w:p>
    <w:p>
      <w:r>
        <w:t>Leo established an 80/20 train/test split (1,171 training records, 293 holdout test records) with random seed 42. To strictly eliminate data leakage, all imputation medians, text cleaners, and category encodings were fitted exclusively on the training split.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4E79"/>
            <w:tcMar>
              <w:top w:w="120" w:type="dxa"/>
              <w:bottom w:w="120" w:type="dxa"/>
              <w:left w:w="140" w:type="dxa"/>
              <w:right w:w="140" w:type="dxa"/>
            </w:tcMar>
          </w:tcPr>
          <w:p>
            <w:pPr>
              <w:jc w:val="center"/>
            </w:pPr>
            <w:r>
              <w:rPr>
                <w:b/>
                <w:color w:val="FFFFFF"/>
                <w:sz w:val="19"/>
              </w:rPr>
              <w:t>Transformation Step</w:t>
            </w:r>
          </w:p>
        </w:tc>
        <w:tc>
          <w:tcPr>
            <w:tcW w:type="dxa" w:w="2160"/>
            <w:shd w:fill="1F4E79"/>
            <w:tcMar>
              <w:top w:w="120" w:type="dxa"/>
              <w:bottom w:w="120" w:type="dxa"/>
              <w:left w:w="140" w:type="dxa"/>
              <w:right w:w="140" w:type="dxa"/>
            </w:tcMar>
          </w:tcPr>
          <w:p>
            <w:pPr>
              <w:jc w:val="center"/>
            </w:pPr>
            <w:r>
              <w:rPr>
                <w:b/>
                <w:color w:val="FFFFFF"/>
                <w:sz w:val="19"/>
              </w:rPr>
              <w:t>Input State</w:t>
            </w:r>
          </w:p>
        </w:tc>
        <w:tc>
          <w:tcPr>
            <w:tcW w:type="dxa" w:w="2160"/>
            <w:shd w:fill="1F4E79"/>
            <w:tcMar>
              <w:top w:w="120" w:type="dxa"/>
              <w:bottom w:w="120" w:type="dxa"/>
              <w:left w:w="140" w:type="dxa"/>
              <w:right w:w="140" w:type="dxa"/>
            </w:tcMar>
          </w:tcPr>
          <w:p>
            <w:pPr>
              <w:jc w:val="center"/>
            </w:pPr>
            <w:r>
              <w:rPr>
                <w:b/>
                <w:color w:val="FFFFFF"/>
                <w:sz w:val="19"/>
              </w:rPr>
              <w:t>Clean Output</w:t>
            </w:r>
          </w:p>
        </w:tc>
        <w:tc>
          <w:tcPr>
            <w:tcW w:type="dxa" w:w="2448"/>
            <w:shd w:fill="1F4E79"/>
            <w:tcMar>
              <w:top w:w="120" w:type="dxa"/>
              <w:bottom w:w="120" w:type="dxa"/>
              <w:left w:w="140" w:type="dxa"/>
              <w:right w:w="140" w:type="dxa"/>
            </w:tcMar>
          </w:tcPr>
          <w:p>
            <w:pPr>
              <w:jc w:val="center"/>
            </w:pPr>
            <w:r>
              <w:rPr>
                <w:b/>
                <w:color w:val="FFFFFF"/>
                <w:sz w:val="19"/>
              </w:rPr>
              <w:t>Leakage Guardrail</w:t>
            </w:r>
          </w:p>
        </w:tc>
      </w:tr>
      <w:tr>
        <w:tc>
          <w:tcPr>
            <w:tcW w:type="dxa" w:w="2592"/>
            <w:shd w:fill="FFFFFF"/>
            <w:tcMar>
              <w:top w:w="90" w:type="dxa"/>
              <w:bottom w:w="90" w:type="dxa"/>
              <w:left w:w="130" w:type="dxa"/>
              <w:right w:w="130" w:type="dxa"/>
            </w:tcMar>
          </w:tcPr>
          <w:p>
            <w:pPr>
              <w:jc w:val="left"/>
            </w:pPr>
            <w:r>
              <w:rPr>
                <w:b/>
                <w:color w:val="333333"/>
                <w:sz w:val="18"/>
              </w:rPr>
              <w:t>Price Cleaning</w:t>
            </w:r>
          </w:p>
        </w:tc>
        <w:tc>
          <w:tcPr>
            <w:tcW w:type="dxa" w:w="2160"/>
            <w:shd w:fill="FFFFFF"/>
            <w:tcMar>
              <w:top w:w="90" w:type="dxa"/>
              <w:bottom w:w="90" w:type="dxa"/>
              <w:left w:w="130" w:type="dxa"/>
              <w:right w:w="130" w:type="dxa"/>
            </w:tcMar>
          </w:tcPr>
          <w:p>
            <w:pPr>
              <w:jc w:val="center"/>
            </w:pPr>
            <w:r>
              <w:rPr>
                <w:color w:val="333333"/>
                <w:sz w:val="18"/>
              </w:rPr>
              <w:t>e.g. '₹1,099.00'</w:t>
            </w:r>
          </w:p>
        </w:tc>
        <w:tc>
          <w:tcPr>
            <w:tcW w:type="dxa" w:w="2160"/>
            <w:shd w:fill="FFFFFF"/>
            <w:tcMar>
              <w:top w:w="90" w:type="dxa"/>
              <w:bottom w:w="90" w:type="dxa"/>
              <w:left w:w="130" w:type="dxa"/>
              <w:right w:w="130" w:type="dxa"/>
            </w:tcMar>
          </w:tcPr>
          <w:p>
            <w:pPr>
              <w:jc w:val="center"/>
            </w:pPr>
            <w:r>
              <w:rPr>
                <w:color w:val="333333"/>
                <w:sz w:val="18"/>
              </w:rPr>
              <w:t>Float64 (1099.0)</w:t>
            </w:r>
          </w:p>
        </w:tc>
        <w:tc>
          <w:tcPr>
            <w:tcW w:type="dxa" w:w="2448"/>
            <w:shd w:fill="FFFFFF"/>
            <w:tcMar>
              <w:top w:w="90" w:type="dxa"/>
              <w:bottom w:w="90" w:type="dxa"/>
              <w:left w:w="130" w:type="dxa"/>
              <w:right w:w="130" w:type="dxa"/>
            </w:tcMar>
          </w:tcPr>
          <w:p>
            <w:pPr>
              <w:jc w:val="center"/>
            </w:pPr>
            <w:r>
              <w:rPr>
                <w:color w:val="333333"/>
                <w:sz w:val="18"/>
              </w:rPr>
              <w:t>Deterministic parsing</w:t>
            </w:r>
          </w:p>
        </w:tc>
      </w:tr>
      <w:tr>
        <w:tc>
          <w:tcPr>
            <w:tcW w:type="dxa" w:w="2592"/>
            <w:shd w:fill="F8F9FA"/>
            <w:tcMar>
              <w:top w:w="90" w:type="dxa"/>
              <w:bottom w:w="90" w:type="dxa"/>
              <w:left w:w="130" w:type="dxa"/>
              <w:right w:w="130" w:type="dxa"/>
            </w:tcMar>
          </w:tcPr>
          <w:p>
            <w:pPr>
              <w:jc w:val="left"/>
            </w:pPr>
            <w:r>
              <w:rPr>
                <w:b/>
                <w:color w:val="333333"/>
                <w:sz w:val="18"/>
              </w:rPr>
              <w:t>Discount Parsing</w:t>
            </w:r>
          </w:p>
        </w:tc>
        <w:tc>
          <w:tcPr>
            <w:tcW w:type="dxa" w:w="2160"/>
            <w:shd w:fill="F8F9FA"/>
            <w:tcMar>
              <w:top w:w="90" w:type="dxa"/>
              <w:bottom w:w="90" w:type="dxa"/>
              <w:left w:w="130" w:type="dxa"/>
              <w:right w:w="130" w:type="dxa"/>
            </w:tcMar>
          </w:tcPr>
          <w:p>
            <w:pPr>
              <w:jc w:val="center"/>
            </w:pPr>
            <w:r>
              <w:rPr>
                <w:color w:val="333333"/>
                <w:sz w:val="18"/>
              </w:rPr>
              <w:t>e.g. '50%'</w:t>
            </w:r>
          </w:p>
        </w:tc>
        <w:tc>
          <w:tcPr>
            <w:tcW w:type="dxa" w:w="2160"/>
            <w:shd w:fill="F8F9FA"/>
            <w:tcMar>
              <w:top w:w="90" w:type="dxa"/>
              <w:bottom w:w="90" w:type="dxa"/>
              <w:left w:w="130" w:type="dxa"/>
              <w:right w:w="130" w:type="dxa"/>
            </w:tcMar>
          </w:tcPr>
          <w:p>
            <w:pPr>
              <w:jc w:val="center"/>
            </w:pPr>
            <w:r>
              <w:rPr>
                <w:color w:val="333333"/>
                <w:sz w:val="18"/>
              </w:rPr>
              <w:t>Float64 (50.0)</w:t>
            </w:r>
          </w:p>
        </w:tc>
        <w:tc>
          <w:tcPr>
            <w:tcW w:type="dxa" w:w="2448"/>
            <w:shd w:fill="F8F9FA"/>
            <w:tcMar>
              <w:top w:w="90" w:type="dxa"/>
              <w:bottom w:w="90" w:type="dxa"/>
              <w:left w:w="130" w:type="dxa"/>
              <w:right w:w="130" w:type="dxa"/>
            </w:tcMar>
          </w:tcPr>
          <w:p>
            <w:pPr>
              <w:jc w:val="center"/>
            </w:pPr>
            <w:r>
              <w:rPr>
                <w:color w:val="333333"/>
                <w:sz w:val="18"/>
              </w:rPr>
              <w:t>Normalized numeric scale</w:t>
            </w:r>
          </w:p>
        </w:tc>
      </w:tr>
      <w:tr>
        <w:tc>
          <w:tcPr>
            <w:tcW w:type="dxa" w:w="2592"/>
            <w:shd w:fill="FFFFFF"/>
            <w:tcMar>
              <w:top w:w="90" w:type="dxa"/>
              <w:bottom w:w="90" w:type="dxa"/>
              <w:left w:w="130" w:type="dxa"/>
              <w:right w:w="130" w:type="dxa"/>
            </w:tcMar>
          </w:tcPr>
          <w:p>
            <w:pPr>
              <w:jc w:val="left"/>
            </w:pPr>
            <w:r>
              <w:rPr>
                <w:b/>
                <w:color w:val="333333"/>
                <w:sz w:val="18"/>
              </w:rPr>
              <w:t>Rating Count Imputation</w:t>
            </w:r>
          </w:p>
        </w:tc>
        <w:tc>
          <w:tcPr>
            <w:tcW w:type="dxa" w:w="2160"/>
            <w:shd w:fill="FFFFFF"/>
            <w:tcMar>
              <w:top w:w="90" w:type="dxa"/>
              <w:bottom w:w="90" w:type="dxa"/>
              <w:left w:w="130" w:type="dxa"/>
              <w:right w:w="130" w:type="dxa"/>
            </w:tcMar>
          </w:tcPr>
          <w:p>
            <w:pPr>
              <w:jc w:val="center"/>
            </w:pPr>
            <w:r>
              <w:rPr>
                <w:color w:val="333333"/>
                <w:sz w:val="18"/>
              </w:rPr>
              <w:t>NaNs &amp; thousands commas</w:t>
            </w:r>
          </w:p>
        </w:tc>
        <w:tc>
          <w:tcPr>
            <w:tcW w:type="dxa" w:w="2160"/>
            <w:shd w:fill="FFFFFF"/>
            <w:tcMar>
              <w:top w:w="90" w:type="dxa"/>
              <w:bottom w:w="90" w:type="dxa"/>
              <w:left w:w="130" w:type="dxa"/>
              <w:right w:w="130" w:type="dxa"/>
            </w:tcMar>
          </w:tcPr>
          <w:p>
            <w:pPr>
              <w:jc w:val="center"/>
            </w:pPr>
            <w:r>
              <w:rPr>
                <w:color w:val="333333"/>
                <w:sz w:val="18"/>
              </w:rPr>
              <w:t>Median Imputation</w:t>
            </w:r>
          </w:p>
        </w:tc>
        <w:tc>
          <w:tcPr>
            <w:tcW w:type="dxa" w:w="2448"/>
            <w:shd w:fill="FFFFFF"/>
            <w:tcMar>
              <w:top w:w="90" w:type="dxa"/>
              <w:bottom w:w="90" w:type="dxa"/>
              <w:left w:w="130" w:type="dxa"/>
              <w:right w:w="130" w:type="dxa"/>
            </w:tcMar>
          </w:tcPr>
          <w:p>
            <w:pPr>
              <w:jc w:val="center"/>
            </w:pPr>
            <w:r>
              <w:rPr>
                <w:color w:val="333333"/>
                <w:sz w:val="18"/>
              </w:rPr>
              <w:t>Fitted only on train (11,042)</w:t>
            </w:r>
          </w:p>
        </w:tc>
      </w:tr>
      <w:tr>
        <w:tc>
          <w:tcPr>
            <w:tcW w:type="dxa" w:w="2592"/>
            <w:shd w:fill="F8F9FA"/>
            <w:tcMar>
              <w:top w:w="90" w:type="dxa"/>
              <w:bottom w:w="90" w:type="dxa"/>
              <w:left w:w="130" w:type="dxa"/>
              <w:right w:w="130" w:type="dxa"/>
            </w:tcMar>
          </w:tcPr>
          <w:p>
            <w:pPr>
              <w:jc w:val="left"/>
            </w:pPr>
            <w:r>
              <w:rPr>
                <w:b/>
                <w:color w:val="333333"/>
                <w:sz w:val="18"/>
              </w:rPr>
              <w:t>Category Normalization</w:t>
            </w:r>
          </w:p>
        </w:tc>
        <w:tc>
          <w:tcPr>
            <w:tcW w:type="dxa" w:w="2160"/>
            <w:shd w:fill="F8F9FA"/>
            <w:tcMar>
              <w:top w:w="90" w:type="dxa"/>
              <w:bottom w:w="90" w:type="dxa"/>
              <w:left w:w="130" w:type="dxa"/>
              <w:right w:w="130" w:type="dxa"/>
            </w:tcMar>
          </w:tcPr>
          <w:p>
            <w:pPr>
              <w:jc w:val="center"/>
            </w:pPr>
            <w:r>
              <w:rPr>
                <w:color w:val="333333"/>
                <w:sz w:val="18"/>
              </w:rPr>
              <w:t>Pipe taxonomy (Electronics|...)</w:t>
            </w:r>
          </w:p>
        </w:tc>
        <w:tc>
          <w:tcPr>
            <w:tcW w:type="dxa" w:w="2160"/>
            <w:shd w:fill="F8F9FA"/>
            <w:tcMar>
              <w:top w:w="90" w:type="dxa"/>
              <w:bottom w:w="90" w:type="dxa"/>
              <w:left w:w="130" w:type="dxa"/>
              <w:right w:w="130" w:type="dxa"/>
            </w:tcMar>
          </w:tcPr>
          <w:p>
            <w:pPr>
              <w:jc w:val="center"/>
            </w:pPr>
            <w:r>
              <w:rPr>
                <w:color w:val="333333"/>
                <w:sz w:val="18"/>
              </w:rPr>
              <w:t>Primary Category</w:t>
            </w:r>
          </w:p>
        </w:tc>
        <w:tc>
          <w:tcPr>
            <w:tcW w:type="dxa" w:w="2448"/>
            <w:shd w:fill="F8F9FA"/>
            <w:tcMar>
              <w:top w:w="90" w:type="dxa"/>
              <w:bottom w:w="90" w:type="dxa"/>
              <w:left w:w="130" w:type="dxa"/>
              <w:right w:w="130" w:type="dxa"/>
            </w:tcMar>
          </w:tcPr>
          <w:p>
            <w:pPr>
              <w:jc w:val="center"/>
            </w:pPr>
            <w:r>
              <w:rPr>
                <w:color w:val="333333"/>
                <w:sz w:val="18"/>
              </w:rPr>
              <w:t>Extracted first token</w:t>
            </w:r>
          </w:p>
        </w:tc>
      </w:tr>
    </w:tbl>
    <w:p>
      <w:pPr>
        <w:pStyle w:val="Heading1"/>
        <w:keepNext/>
        <w:spacing w:before="360" w:after="120"/>
      </w:pPr>
      <w:r>
        <w:rPr>
          <w:color w:val="1F4E79"/>
          <w:sz w:val="32"/>
        </w:rPr>
        <w:t>4. Feature Engineering &amp; Signal Selection</w:t>
      </w:r>
    </w:p>
    <w:p>
      <w:r>
        <w:t>Priya synthesized 17 mathematical and lexical domain features. Mutual Information (MI) regression was computed against product rating to evaluate predictive signal strength.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1F4E79"/>
            <w:tcMar>
              <w:top w:w="120" w:type="dxa"/>
              <w:bottom w:w="120" w:type="dxa"/>
              <w:left w:w="140" w:type="dxa"/>
              <w:right w:w="140" w:type="dxa"/>
            </w:tcMar>
          </w:tcPr>
          <w:p>
            <w:pPr>
              <w:jc w:val="center"/>
            </w:pPr>
            <w:r>
              <w:rPr>
                <w:b/>
                <w:color w:val="FFFFFF"/>
                <w:sz w:val="19"/>
              </w:rPr>
              <w:t>Rank</w:t>
            </w:r>
          </w:p>
        </w:tc>
        <w:tc>
          <w:tcPr>
            <w:tcW w:type="dxa" w:w="3168"/>
            <w:shd w:fill="1F4E79"/>
            <w:tcMar>
              <w:top w:w="120" w:type="dxa"/>
              <w:bottom w:w="120" w:type="dxa"/>
              <w:left w:w="140" w:type="dxa"/>
              <w:right w:w="140" w:type="dxa"/>
            </w:tcMar>
          </w:tcPr>
          <w:p>
            <w:pPr>
              <w:jc w:val="center"/>
            </w:pPr>
            <w:r>
              <w:rPr>
                <w:b/>
                <w:color w:val="FFFFFF"/>
                <w:sz w:val="19"/>
              </w:rPr>
              <w:t>Feature Name</w:t>
            </w:r>
          </w:p>
        </w:tc>
        <w:tc>
          <w:tcPr>
            <w:tcW w:type="dxa" w:w="2016"/>
            <w:shd w:fill="1F4E79"/>
            <w:tcMar>
              <w:top w:w="120" w:type="dxa"/>
              <w:bottom w:w="120" w:type="dxa"/>
              <w:left w:w="140" w:type="dxa"/>
              <w:right w:w="140" w:type="dxa"/>
            </w:tcMar>
          </w:tcPr>
          <w:p>
            <w:pPr>
              <w:jc w:val="center"/>
            </w:pPr>
            <w:r>
              <w:rPr>
                <w:b/>
                <w:color w:val="FFFFFF"/>
                <w:sz w:val="19"/>
              </w:rPr>
              <w:t>Mutual Info (MI)</w:t>
            </w:r>
          </w:p>
        </w:tc>
        <w:tc>
          <w:tcPr>
            <w:tcW w:type="dxa" w:w="3312"/>
            <w:shd w:fill="1F4E79"/>
            <w:tcMar>
              <w:top w:w="120" w:type="dxa"/>
              <w:bottom w:w="120" w:type="dxa"/>
              <w:left w:w="140" w:type="dxa"/>
              <w:right w:w="140" w:type="dxa"/>
            </w:tcMar>
          </w:tcPr>
          <w:p>
            <w:pPr>
              <w:jc w:val="center"/>
            </w:pPr>
            <w:r>
              <w:rPr>
                <w:b/>
                <w:color w:val="FFFFFF"/>
                <w:sz w:val="19"/>
              </w:rPr>
              <w:t>Domain Intuition</w:t>
            </w:r>
          </w:p>
        </w:tc>
      </w:tr>
      <w:tr>
        <w:tc>
          <w:tcPr>
            <w:tcW w:type="dxa" w:w="864"/>
            <w:shd w:fill="FFFFFF"/>
            <w:tcMar>
              <w:top w:w="90" w:type="dxa"/>
              <w:bottom w:w="90" w:type="dxa"/>
              <w:left w:w="130" w:type="dxa"/>
              <w:right w:w="130" w:type="dxa"/>
            </w:tcMar>
          </w:tcPr>
          <w:p>
            <w:pPr>
              <w:jc w:val="left"/>
            </w:pPr>
            <w:r>
              <w:rPr>
                <w:b/>
                <w:color w:val="333333"/>
                <w:sz w:val="18"/>
              </w:rPr>
              <w:t>1</w:t>
            </w:r>
          </w:p>
        </w:tc>
        <w:tc>
          <w:tcPr>
            <w:tcW w:type="dxa" w:w="3168"/>
            <w:shd w:fill="FFFFFF"/>
            <w:tcMar>
              <w:top w:w="90" w:type="dxa"/>
              <w:bottom w:w="90" w:type="dxa"/>
              <w:left w:w="130" w:type="dxa"/>
              <w:right w:w="130" w:type="dxa"/>
            </w:tcMar>
          </w:tcPr>
          <w:p>
            <w:pPr>
              <w:jc w:val="center"/>
            </w:pPr>
            <w:r>
              <w:rPr>
                <w:color w:val="333333"/>
                <w:sz w:val="18"/>
              </w:rPr>
              <w:t>log_rating_count</w:t>
            </w:r>
          </w:p>
        </w:tc>
        <w:tc>
          <w:tcPr>
            <w:tcW w:type="dxa" w:w="2016"/>
            <w:shd w:fill="FFFFFF"/>
            <w:tcMar>
              <w:top w:w="90" w:type="dxa"/>
              <w:bottom w:w="90" w:type="dxa"/>
              <w:left w:w="130" w:type="dxa"/>
              <w:right w:w="130" w:type="dxa"/>
            </w:tcMar>
          </w:tcPr>
          <w:p>
            <w:pPr>
              <w:jc w:val="center"/>
            </w:pPr>
            <w:r>
              <w:rPr>
                <w:color w:val="333333"/>
                <w:sz w:val="18"/>
              </w:rPr>
              <w:t>0.2839</w:t>
            </w:r>
          </w:p>
        </w:tc>
        <w:tc>
          <w:tcPr>
            <w:tcW w:type="dxa" w:w="3312"/>
            <w:shd w:fill="FFFFFF"/>
            <w:tcMar>
              <w:top w:w="90" w:type="dxa"/>
              <w:bottom w:w="90" w:type="dxa"/>
              <w:left w:w="130" w:type="dxa"/>
              <w:right w:w="130" w:type="dxa"/>
            </w:tcMar>
          </w:tcPr>
          <w:p>
            <w:pPr>
              <w:jc w:val="center"/>
            </w:pPr>
            <w:r>
              <w:rPr>
                <w:color w:val="333333"/>
                <w:sz w:val="18"/>
              </w:rPr>
              <w:t>Review volume signals consumer consensus stability</w:t>
            </w:r>
          </w:p>
        </w:tc>
      </w:tr>
      <w:tr>
        <w:tc>
          <w:tcPr>
            <w:tcW w:type="dxa" w:w="864"/>
            <w:shd w:fill="F8F9FA"/>
            <w:tcMar>
              <w:top w:w="90" w:type="dxa"/>
              <w:bottom w:w="90" w:type="dxa"/>
              <w:left w:w="130" w:type="dxa"/>
              <w:right w:w="130" w:type="dxa"/>
            </w:tcMar>
          </w:tcPr>
          <w:p>
            <w:pPr>
              <w:jc w:val="left"/>
            </w:pPr>
            <w:r>
              <w:rPr>
                <w:b/>
                <w:color w:val="333333"/>
                <w:sz w:val="18"/>
              </w:rPr>
              <w:t>2</w:t>
            </w:r>
          </w:p>
        </w:tc>
        <w:tc>
          <w:tcPr>
            <w:tcW w:type="dxa" w:w="3168"/>
            <w:shd w:fill="F8F9FA"/>
            <w:tcMar>
              <w:top w:w="90" w:type="dxa"/>
              <w:bottom w:w="90" w:type="dxa"/>
              <w:left w:w="130" w:type="dxa"/>
              <w:right w:w="130" w:type="dxa"/>
            </w:tcMar>
          </w:tcPr>
          <w:p>
            <w:pPr>
              <w:jc w:val="center"/>
            </w:pPr>
            <w:r>
              <w:rPr>
                <w:color w:val="333333"/>
                <w:sz w:val="18"/>
              </w:rPr>
              <w:t>rating_count</w:t>
            </w:r>
          </w:p>
        </w:tc>
        <w:tc>
          <w:tcPr>
            <w:tcW w:type="dxa" w:w="2016"/>
            <w:shd w:fill="F8F9FA"/>
            <w:tcMar>
              <w:top w:w="90" w:type="dxa"/>
              <w:bottom w:w="90" w:type="dxa"/>
              <w:left w:w="130" w:type="dxa"/>
              <w:right w:w="130" w:type="dxa"/>
            </w:tcMar>
          </w:tcPr>
          <w:p>
            <w:pPr>
              <w:jc w:val="center"/>
            </w:pPr>
            <w:r>
              <w:rPr>
                <w:color w:val="333333"/>
                <w:sz w:val="18"/>
              </w:rPr>
              <w:t>0.2586</w:t>
            </w:r>
          </w:p>
        </w:tc>
        <w:tc>
          <w:tcPr>
            <w:tcW w:type="dxa" w:w="3312"/>
            <w:shd w:fill="F8F9FA"/>
            <w:tcMar>
              <w:top w:w="90" w:type="dxa"/>
              <w:bottom w:w="90" w:type="dxa"/>
              <w:left w:w="130" w:type="dxa"/>
              <w:right w:w="130" w:type="dxa"/>
            </w:tcMar>
          </w:tcPr>
          <w:p>
            <w:pPr>
              <w:jc w:val="center"/>
            </w:pPr>
            <w:r>
              <w:rPr>
                <w:color w:val="333333"/>
                <w:sz w:val="18"/>
              </w:rPr>
              <w:t>Raw popularity and engagement scale</w:t>
            </w:r>
          </w:p>
        </w:tc>
      </w:tr>
      <w:tr>
        <w:tc>
          <w:tcPr>
            <w:tcW w:type="dxa" w:w="864"/>
            <w:shd w:fill="FFFFFF"/>
            <w:tcMar>
              <w:top w:w="90" w:type="dxa"/>
              <w:bottom w:w="90" w:type="dxa"/>
              <w:left w:w="130" w:type="dxa"/>
              <w:right w:w="130" w:type="dxa"/>
            </w:tcMar>
          </w:tcPr>
          <w:p>
            <w:pPr>
              <w:jc w:val="left"/>
            </w:pPr>
            <w:r>
              <w:rPr>
                <w:b/>
                <w:color w:val="333333"/>
                <w:sz w:val="18"/>
              </w:rPr>
              <w:t>3</w:t>
            </w:r>
          </w:p>
        </w:tc>
        <w:tc>
          <w:tcPr>
            <w:tcW w:type="dxa" w:w="3168"/>
            <w:shd w:fill="FFFFFF"/>
            <w:tcMar>
              <w:top w:w="90" w:type="dxa"/>
              <w:bottom w:w="90" w:type="dxa"/>
              <w:left w:w="130" w:type="dxa"/>
              <w:right w:w="130" w:type="dxa"/>
            </w:tcMar>
          </w:tcPr>
          <w:p>
            <w:pPr>
              <w:jc w:val="center"/>
            </w:pPr>
            <w:r>
              <w:rPr>
                <w:color w:val="333333"/>
                <w:sz w:val="18"/>
              </w:rPr>
              <w:t>review_word_count</w:t>
            </w:r>
          </w:p>
        </w:tc>
        <w:tc>
          <w:tcPr>
            <w:tcW w:type="dxa" w:w="2016"/>
            <w:shd w:fill="FFFFFF"/>
            <w:tcMar>
              <w:top w:w="90" w:type="dxa"/>
              <w:bottom w:w="90" w:type="dxa"/>
              <w:left w:w="130" w:type="dxa"/>
              <w:right w:w="130" w:type="dxa"/>
            </w:tcMar>
          </w:tcPr>
          <w:p>
            <w:pPr>
              <w:jc w:val="center"/>
            </w:pPr>
            <w:r>
              <w:rPr>
                <w:color w:val="333333"/>
                <w:sz w:val="18"/>
              </w:rPr>
              <w:t>0.2334</w:t>
            </w:r>
          </w:p>
        </w:tc>
        <w:tc>
          <w:tcPr>
            <w:tcW w:type="dxa" w:w="3312"/>
            <w:shd w:fill="FFFFFF"/>
            <w:tcMar>
              <w:top w:w="90" w:type="dxa"/>
              <w:bottom w:w="90" w:type="dxa"/>
              <w:left w:w="130" w:type="dxa"/>
              <w:right w:w="130" w:type="dxa"/>
            </w:tcMar>
          </w:tcPr>
          <w:p>
            <w:pPr>
              <w:jc w:val="center"/>
            </w:pPr>
            <w:r>
              <w:rPr>
                <w:color w:val="333333"/>
                <w:sz w:val="18"/>
              </w:rPr>
              <w:t>Detailed reviews correlate strongly with product perception</w:t>
            </w:r>
          </w:p>
        </w:tc>
      </w:tr>
      <w:tr>
        <w:tc>
          <w:tcPr>
            <w:tcW w:type="dxa" w:w="864"/>
            <w:shd w:fill="F8F9FA"/>
            <w:tcMar>
              <w:top w:w="90" w:type="dxa"/>
              <w:bottom w:w="90" w:type="dxa"/>
              <w:left w:w="130" w:type="dxa"/>
              <w:right w:w="130" w:type="dxa"/>
            </w:tcMar>
          </w:tcPr>
          <w:p>
            <w:pPr>
              <w:jc w:val="left"/>
            </w:pPr>
            <w:r>
              <w:rPr>
                <w:b/>
                <w:color w:val="333333"/>
                <w:sz w:val="18"/>
              </w:rPr>
              <w:t>4</w:t>
            </w:r>
          </w:p>
        </w:tc>
        <w:tc>
          <w:tcPr>
            <w:tcW w:type="dxa" w:w="3168"/>
            <w:shd w:fill="F8F9FA"/>
            <w:tcMar>
              <w:top w:w="90" w:type="dxa"/>
              <w:bottom w:w="90" w:type="dxa"/>
              <w:left w:w="130" w:type="dxa"/>
              <w:right w:w="130" w:type="dxa"/>
            </w:tcMar>
          </w:tcPr>
          <w:p>
            <w:pPr>
              <w:jc w:val="center"/>
            </w:pPr>
            <w:r>
              <w:rPr>
                <w:color w:val="333333"/>
                <w:sz w:val="18"/>
              </w:rPr>
              <w:t>review_content_len</w:t>
            </w:r>
          </w:p>
        </w:tc>
        <w:tc>
          <w:tcPr>
            <w:tcW w:type="dxa" w:w="2016"/>
            <w:shd w:fill="F8F9FA"/>
            <w:tcMar>
              <w:top w:w="90" w:type="dxa"/>
              <w:bottom w:w="90" w:type="dxa"/>
              <w:left w:w="130" w:type="dxa"/>
              <w:right w:w="130" w:type="dxa"/>
            </w:tcMar>
          </w:tcPr>
          <w:p>
            <w:pPr>
              <w:jc w:val="center"/>
            </w:pPr>
            <w:r>
              <w:rPr>
                <w:color w:val="333333"/>
                <w:sz w:val="18"/>
              </w:rPr>
              <w:t>0.2285</w:t>
            </w:r>
          </w:p>
        </w:tc>
        <w:tc>
          <w:tcPr>
            <w:tcW w:type="dxa" w:w="3312"/>
            <w:shd w:fill="F8F9FA"/>
            <w:tcMar>
              <w:top w:w="90" w:type="dxa"/>
              <w:bottom w:w="90" w:type="dxa"/>
              <w:left w:w="130" w:type="dxa"/>
              <w:right w:w="130" w:type="dxa"/>
            </w:tcMar>
          </w:tcPr>
          <w:p>
            <w:pPr>
              <w:jc w:val="center"/>
            </w:pPr>
            <w:r>
              <w:rPr>
                <w:color w:val="333333"/>
                <w:sz w:val="18"/>
              </w:rPr>
              <w:t>Character length of top buyer reviews</w:t>
            </w:r>
          </w:p>
        </w:tc>
      </w:tr>
      <w:tr>
        <w:tc>
          <w:tcPr>
            <w:tcW w:type="dxa" w:w="864"/>
            <w:shd w:fill="FFFFFF"/>
            <w:tcMar>
              <w:top w:w="90" w:type="dxa"/>
              <w:bottom w:w="90" w:type="dxa"/>
              <w:left w:w="130" w:type="dxa"/>
              <w:right w:w="130" w:type="dxa"/>
            </w:tcMar>
          </w:tcPr>
          <w:p>
            <w:pPr>
              <w:jc w:val="left"/>
            </w:pPr>
            <w:r>
              <w:rPr>
                <w:b/>
                <w:color w:val="333333"/>
                <w:sz w:val="18"/>
              </w:rPr>
              <w:t>5</w:t>
            </w:r>
          </w:p>
        </w:tc>
        <w:tc>
          <w:tcPr>
            <w:tcW w:type="dxa" w:w="3168"/>
            <w:shd w:fill="FFFFFF"/>
            <w:tcMar>
              <w:top w:w="90" w:type="dxa"/>
              <w:bottom w:w="90" w:type="dxa"/>
              <w:left w:w="130" w:type="dxa"/>
              <w:right w:w="130" w:type="dxa"/>
            </w:tcMar>
          </w:tcPr>
          <w:p>
            <w:pPr>
              <w:jc w:val="center"/>
            </w:pPr>
            <w:r>
              <w:rPr>
                <w:color w:val="333333"/>
                <w:sz w:val="18"/>
              </w:rPr>
              <w:t>review_title_len</w:t>
            </w:r>
          </w:p>
        </w:tc>
        <w:tc>
          <w:tcPr>
            <w:tcW w:type="dxa" w:w="2016"/>
            <w:shd w:fill="FFFFFF"/>
            <w:tcMar>
              <w:top w:w="90" w:type="dxa"/>
              <w:bottom w:w="90" w:type="dxa"/>
              <w:left w:w="130" w:type="dxa"/>
              <w:right w:w="130" w:type="dxa"/>
            </w:tcMar>
          </w:tcPr>
          <w:p>
            <w:pPr>
              <w:jc w:val="center"/>
            </w:pPr>
            <w:r>
              <w:rPr>
                <w:color w:val="333333"/>
                <w:sz w:val="18"/>
              </w:rPr>
              <w:t>0.1818</w:t>
            </w:r>
          </w:p>
        </w:tc>
        <w:tc>
          <w:tcPr>
            <w:tcW w:type="dxa" w:w="3312"/>
            <w:shd w:fill="FFFFFF"/>
            <w:tcMar>
              <w:top w:w="90" w:type="dxa"/>
              <w:bottom w:w="90" w:type="dxa"/>
              <w:left w:w="130" w:type="dxa"/>
              <w:right w:w="130" w:type="dxa"/>
            </w:tcMar>
          </w:tcPr>
          <w:p>
            <w:pPr>
              <w:jc w:val="center"/>
            </w:pPr>
            <w:r>
              <w:rPr>
                <w:color w:val="333333"/>
                <w:sz w:val="18"/>
              </w:rPr>
              <w:t>Title descriptive verbosity</w:t>
            </w:r>
          </w:p>
        </w:tc>
      </w:tr>
      <w:tr>
        <w:tc>
          <w:tcPr>
            <w:tcW w:type="dxa" w:w="864"/>
            <w:shd w:fill="F8F9FA"/>
            <w:tcMar>
              <w:top w:w="90" w:type="dxa"/>
              <w:bottom w:w="90" w:type="dxa"/>
              <w:left w:w="130" w:type="dxa"/>
              <w:right w:w="130" w:type="dxa"/>
            </w:tcMar>
          </w:tcPr>
          <w:p>
            <w:pPr>
              <w:jc w:val="left"/>
            </w:pPr>
            <w:r>
              <w:rPr>
                <w:b/>
                <w:color w:val="333333"/>
                <w:sz w:val="18"/>
              </w:rPr>
              <w:t>6</w:t>
            </w:r>
          </w:p>
        </w:tc>
        <w:tc>
          <w:tcPr>
            <w:tcW w:type="dxa" w:w="3168"/>
            <w:shd w:fill="F8F9FA"/>
            <w:tcMar>
              <w:top w:w="90" w:type="dxa"/>
              <w:bottom w:w="90" w:type="dxa"/>
              <w:left w:w="130" w:type="dxa"/>
              <w:right w:w="130" w:type="dxa"/>
            </w:tcMar>
          </w:tcPr>
          <w:p>
            <w:pPr>
              <w:jc w:val="center"/>
            </w:pPr>
            <w:r>
              <w:rPr>
                <w:color w:val="333333"/>
                <w:sz w:val="18"/>
              </w:rPr>
              <w:t>discount_amount</w:t>
            </w:r>
          </w:p>
        </w:tc>
        <w:tc>
          <w:tcPr>
            <w:tcW w:type="dxa" w:w="2016"/>
            <w:shd w:fill="F8F9FA"/>
            <w:tcMar>
              <w:top w:w="90" w:type="dxa"/>
              <w:bottom w:w="90" w:type="dxa"/>
              <w:left w:w="130" w:type="dxa"/>
              <w:right w:w="130" w:type="dxa"/>
            </w:tcMar>
          </w:tcPr>
          <w:p>
            <w:pPr>
              <w:jc w:val="center"/>
            </w:pPr>
            <w:r>
              <w:rPr>
                <w:color w:val="333333"/>
                <w:sz w:val="18"/>
              </w:rPr>
              <w:t>0.1434</w:t>
            </w:r>
          </w:p>
        </w:tc>
        <w:tc>
          <w:tcPr>
            <w:tcW w:type="dxa" w:w="3312"/>
            <w:shd w:fill="F8F9FA"/>
            <w:tcMar>
              <w:top w:w="90" w:type="dxa"/>
              <w:bottom w:w="90" w:type="dxa"/>
              <w:left w:w="130" w:type="dxa"/>
              <w:right w:w="130" w:type="dxa"/>
            </w:tcMar>
          </w:tcPr>
          <w:p>
            <w:pPr>
              <w:jc w:val="center"/>
            </w:pPr>
            <w:r>
              <w:rPr>
                <w:color w:val="333333"/>
                <w:sz w:val="18"/>
              </w:rPr>
              <w:t>Absolute Rupee discount provided on actual price</w:t>
            </w:r>
          </w:p>
        </w:tc>
      </w:tr>
    </w:tbl>
    <w:p>
      <w:pPr>
        <w:pStyle w:val="Heading1"/>
        <w:keepNext/>
        <w:spacing w:before="360" w:after="120"/>
      </w:pPr>
      <w:r>
        <w:rPr>
          <w:color w:val="1F4E79"/>
          <w:sz w:val="32"/>
        </w:rPr>
        <w:t>5. Multi-Algorithm Tournament &amp; Hyperparameter Tuning</w:t>
      </w:r>
    </w:p>
    <w:p>
      <w:r>
        <w:t>Julian conducted a 5-Fold Stratified Cross-Validation tournament comparing four candidate model families. Random Forest outperformed Ridge regression and Gradient Boosting, and was subsequently tuned to 200 estimators.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fill="1F4E79"/>
            <w:tcMar>
              <w:top w:w="120" w:type="dxa"/>
              <w:bottom w:w="120" w:type="dxa"/>
              <w:left w:w="140" w:type="dxa"/>
              <w:right w:w="140" w:type="dxa"/>
            </w:tcMar>
          </w:tcPr>
          <w:p>
            <w:pPr>
              <w:jc w:val="center"/>
            </w:pPr>
            <w:r>
              <w:rPr>
                <w:b/>
                <w:color w:val="FFFFFF"/>
                <w:sz w:val="19"/>
              </w:rPr>
              <w:t>Candidate Algorithm</w:t>
            </w:r>
          </w:p>
        </w:tc>
        <w:tc>
          <w:tcPr>
            <w:tcW w:type="dxa" w:w="1872"/>
            <w:shd w:fill="1F4E79"/>
            <w:tcMar>
              <w:top w:w="120" w:type="dxa"/>
              <w:bottom w:w="120" w:type="dxa"/>
              <w:left w:w="140" w:type="dxa"/>
              <w:right w:w="140" w:type="dxa"/>
            </w:tcMar>
          </w:tcPr>
          <w:p>
            <w:pPr>
              <w:jc w:val="center"/>
            </w:pPr>
            <w:r>
              <w:rPr>
                <w:b/>
                <w:color w:val="FFFFFF"/>
                <w:sz w:val="19"/>
              </w:rPr>
              <w:t>5-Fold CV RMSE</w:t>
            </w:r>
          </w:p>
        </w:tc>
        <w:tc>
          <w:tcPr>
            <w:tcW w:type="dxa" w:w="1440"/>
            <w:shd w:fill="1F4E79"/>
            <w:tcMar>
              <w:top w:w="120" w:type="dxa"/>
              <w:bottom w:w="120" w:type="dxa"/>
              <w:left w:w="140" w:type="dxa"/>
              <w:right w:w="140" w:type="dxa"/>
            </w:tcMar>
          </w:tcPr>
          <w:p>
            <w:pPr>
              <w:jc w:val="center"/>
            </w:pPr>
            <w:r>
              <w:rPr>
                <w:b/>
                <w:color w:val="FFFFFF"/>
                <w:sz w:val="19"/>
              </w:rPr>
              <w:t>Mean MAE</w:t>
            </w:r>
          </w:p>
        </w:tc>
        <w:tc>
          <w:tcPr>
            <w:tcW w:type="dxa" w:w="1296"/>
            <w:shd w:fill="1F4E79"/>
            <w:tcMar>
              <w:top w:w="120" w:type="dxa"/>
              <w:bottom w:w="120" w:type="dxa"/>
              <w:left w:w="140" w:type="dxa"/>
              <w:right w:w="140" w:type="dxa"/>
            </w:tcMar>
          </w:tcPr>
          <w:p>
            <w:pPr>
              <w:jc w:val="center"/>
            </w:pPr>
            <w:r>
              <w:rPr>
                <w:b/>
                <w:color w:val="FFFFFF"/>
                <w:sz w:val="19"/>
              </w:rPr>
              <w:t>R² Score</w:t>
            </w:r>
          </w:p>
        </w:tc>
        <w:tc>
          <w:tcPr>
            <w:tcW w:type="dxa" w:w="1872"/>
            <w:shd w:fill="1F4E79"/>
            <w:tcMar>
              <w:top w:w="120" w:type="dxa"/>
              <w:bottom w:w="120" w:type="dxa"/>
              <w:left w:w="140" w:type="dxa"/>
              <w:right w:w="140" w:type="dxa"/>
            </w:tcMar>
          </w:tcPr>
          <w:p>
            <w:pPr>
              <w:jc w:val="center"/>
            </w:pPr>
            <w:r>
              <w:rPr>
                <w:b/>
                <w:color w:val="FFFFFF"/>
                <w:sz w:val="19"/>
              </w:rPr>
              <w:t>Tournament Status</w:t>
            </w:r>
          </w:p>
        </w:tc>
      </w:tr>
      <w:tr>
        <w:tc>
          <w:tcPr>
            <w:tcW w:type="dxa" w:w="2880"/>
            <w:shd w:fill="FFFFFF"/>
            <w:tcMar>
              <w:top w:w="90" w:type="dxa"/>
              <w:bottom w:w="90" w:type="dxa"/>
              <w:left w:w="130" w:type="dxa"/>
              <w:right w:w="130" w:type="dxa"/>
            </w:tcMar>
          </w:tcPr>
          <w:p>
            <w:pPr>
              <w:jc w:val="left"/>
            </w:pPr>
            <w:r>
              <w:rPr>
                <w:b/>
                <w:color w:val="333333"/>
                <w:sz w:val="18"/>
              </w:rPr>
              <w:t>Baseline (Dummy Mean)</w:t>
            </w:r>
          </w:p>
        </w:tc>
        <w:tc>
          <w:tcPr>
            <w:tcW w:type="dxa" w:w="1872"/>
            <w:shd w:fill="FFFFFF"/>
            <w:tcMar>
              <w:top w:w="90" w:type="dxa"/>
              <w:bottom w:w="90" w:type="dxa"/>
              <w:left w:w="130" w:type="dxa"/>
              <w:right w:w="130" w:type="dxa"/>
            </w:tcMar>
          </w:tcPr>
          <w:p>
            <w:pPr>
              <w:jc w:val="center"/>
            </w:pPr>
            <w:r>
              <w:rPr>
                <w:color w:val="333333"/>
                <w:sz w:val="18"/>
              </w:rPr>
              <w:t>0.2940 (±0.0228)</w:t>
            </w:r>
          </w:p>
        </w:tc>
        <w:tc>
          <w:tcPr>
            <w:tcW w:type="dxa" w:w="1440"/>
            <w:shd w:fill="FFFFFF"/>
            <w:tcMar>
              <w:top w:w="90" w:type="dxa"/>
              <w:bottom w:w="90" w:type="dxa"/>
              <w:left w:w="130" w:type="dxa"/>
              <w:right w:w="130" w:type="dxa"/>
            </w:tcMar>
          </w:tcPr>
          <w:p>
            <w:pPr>
              <w:jc w:val="center"/>
            </w:pPr>
            <w:r>
              <w:rPr>
                <w:color w:val="333333"/>
                <w:sz w:val="18"/>
              </w:rPr>
              <w:t>0.2132</w:t>
            </w:r>
          </w:p>
        </w:tc>
        <w:tc>
          <w:tcPr>
            <w:tcW w:type="dxa" w:w="1296"/>
            <w:shd w:fill="FFFFFF"/>
            <w:tcMar>
              <w:top w:w="90" w:type="dxa"/>
              <w:bottom w:w="90" w:type="dxa"/>
              <w:left w:w="130" w:type="dxa"/>
              <w:right w:w="130" w:type="dxa"/>
            </w:tcMar>
          </w:tcPr>
          <w:p>
            <w:pPr>
              <w:jc w:val="center"/>
            </w:pPr>
            <w:r>
              <w:rPr>
                <w:color w:val="333333"/>
                <w:sz w:val="18"/>
              </w:rPr>
              <w:t>-0.0031</w:t>
            </w:r>
          </w:p>
        </w:tc>
        <w:tc>
          <w:tcPr>
            <w:tcW w:type="dxa" w:w="1872"/>
            <w:shd w:fill="FFFFFF"/>
            <w:tcMar>
              <w:top w:w="90" w:type="dxa"/>
              <w:bottom w:w="90" w:type="dxa"/>
              <w:left w:w="130" w:type="dxa"/>
              <w:right w:w="130" w:type="dxa"/>
            </w:tcMar>
          </w:tcPr>
          <w:p>
            <w:pPr>
              <w:jc w:val="center"/>
            </w:pPr>
            <w:r>
              <w:rPr>
                <w:color w:val="333333"/>
                <w:sz w:val="18"/>
              </w:rPr>
              <w:t>Baseline Floor</w:t>
            </w:r>
          </w:p>
        </w:tc>
      </w:tr>
      <w:tr>
        <w:tc>
          <w:tcPr>
            <w:tcW w:type="dxa" w:w="2880"/>
            <w:shd w:fill="F8F9FA"/>
            <w:tcMar>
              <w:top w:w="90" w:type="dxa"/>
              <w:bottom w:w="90" w:type="dxa"/>
              <w:left w:w="130" w:type="dxa"/>
              <w:right w:w="130" w:type="dxa"/>
            </w:tcMar>
          </w:tcPr>
          <w:p>
            <w:pPr>
              <w:jc w:val="left"/>
            </w:pPr>
            <w:r>
              <w:rPr>
                <w:b/>
                <w:color w:val="333333"/>
                <w:sz w:val="18"/>
              </w:rPr>
              <w:t>Ridge Regression</w:t>
            </w:r>
          </w:p>
        </w:tc>
        <w:tc>
          <w:tcPr>
            <w:tcW w:type="dxa" w:w="1872"/>
            <w:shd w:fill="F8F9FA"/>
            <w:tcMar>
              <w:top w:w="90" w:type="dxa"/>
              <w:bottom w:w="90" w:type="dxa"/>
              <w:left w:w="130" w:type="dxa"/>
              <w:right w:w="130" w:type="dxa"/>
            </w:tcMar>
          </w:tcPr>
          <w:p>
            <w:pPr>
              <w:jc w:val="center"/>
            </w:pPr>
            <w:r>
              <w:rPr>
                <w:color w:val="333333"/>
                <w:sz w:val="18"/>
              </w:rPr>
              <w:t>0.2779 (±0.0230)</w:t>
            </w:r>
          </w:p>
        </w:tc>
        <w:tc>
          <w:tcPr>
            <w:tcW w:type="dxa" w:w="1440"/>
            <w:shd w:fill="F8F9FA"/>
            <w:tcMar>
              <w:top w:w="90" w:type="dxa"/>
              <w:bottom w:w="90" w:type="dxa"/>
              <w:left w:w="130" w:type="dxa"/>
              <w:right w:w="130" w:type="dxa"/>
            </w:tcMar>
          </w:tcPr>
          <w:p>
            <w:pPr>
              <w:jc w:val="center"/>
            </w:pPr>
            <w:r>
              <w:rPr>
                <w:color w:val="333333"/>
                <w:sz w:val="18"/>
              </w:rPr>
              <w:t>0.2022</w:t>
            </w:r>
          </w:p>
        </w:tc>
        <w:tc>
          <w:tcPr>
            <w:tcW w:type="dxa" w:w="1296"/>
            <w:shd w:fill="F8F9FA"/>
            <w:tcMar>
              <w:top w:w="90" w:type="dxa"/>
              <w:bottom w:w="90" w:type="dxa"/>
              <w:left w:w="130" w:type="dxa"/>
              <w:right w:w="130" w:type="dxa"/>
            </w:tcMar>
          </w:tcPr>
          <w:p>
            <w:pPr>
              <w:jc w:val="center"/>
            </w:pPr>
            <w:r>
              <w:rPr>
                <w:color w:val="333333"/>
                <w:sz w:val="18"/>
              </w:rPr>
              <w:t>0.1026</w:t>
            </w:r>
          </w:p>
        </w:tc>
        <w:tc>
          <w:tcPr>
            <w:tcW w:type="dxa" w:w="1872"/>
            <w:shd w:fill="F8F9FA"/>
            <w:tcMar>
              <w:top w:w="90" w:type="dxa"/>
              <w:bottom w:w="90" w:type="dxa"/>
              <w:left w:w="130" w:type="dxa"/>
              <w:right w:w="130" w:type="dxa"/>
            </w:tcMar>
          </w:tcPr>
          <w:p>
            <w:pPr>
              <w:jc w:val="center"/>
            </w:pPr>
            <w:r>
              <w:rPr>
                <w:color w:val="333333"/>
                <w:sz w:val="18"/>
              </w:rPr>
              <w:t>Linear Benchmark</w:t>
            </w:r>
          </w:p>
        </w:tc>
      </w:tr>
      <w:tr>
        <w:tc>
          <w:tcPr>
            <w:tcW w:type="dxa" w:w="2880"/>
            <w:shd w:fill="FFFFFF"/>
            <w:tcMar>
              <w:top w:w="90" w:type="dxa"/>
              <w:bottom w:w="90" w:type="dxa"/>
              <w:left w:w="130" w:type="dxa"/>
              <w:right w:w="130" w:type="dxa"/>
            </w:tcMar>
          </w:tcPr>
          <w:p>
            <w:pPr>
              <w:jc w:val="left"/>
            </w:pPr>
            <w:r>
              <w:rPr>
                <w:b/>
                <w:color w:val="333333"/>
                <w:sz w:val="18"/>
              </w:rPr>
              <w:t>HistGradientBoosting</w:t>
            </w:r>
          </w:p>
        </w:tc>
        <w:tc>
          <w:tcPr>
            <w:tcW w:type="dxa" w:w="1872"/>
            <w:shd w:fill="FFFFFF"/>
            <w:tcMar>
              <w:top w:w="90" w:type="dxa"/>
              <w:bottom w:w="90" w:type="dxa"/>
              <w:left w:w="130" w:type="dxa"/>
              <w:right w:w="130" w:type="dxa"/>
            </w:tcMar>
          </w:tcPr>
          <w:p>
            <w:pPr>
              <w:jc w:val="center"/>
            </w:pPr>
            <w:r>
              <w:rPr>
                <w:color w:val="333333"/>
                <w:sz w:val="18"/>
              </w:rPr>
              <w:t>0.2752 (±0.0240)</w:t>
            </w:r>
          </w:p>
        </w:tc>
        <w:tc>
          <w:tcPr>
            <w:tcW w:type="dxa" w:w="1440"/>
            <w:shd w:fill="FFFFFF"/>
            <w:tcMar>
              <w:top w:w="90" w:type="dxa"/>
              <w:bottom w:w="90" w:type="dxa"/>
              <w:left w:w="130" w:type="dxa"/>
              <w:right w:w="130" w:type="dxa"/>
            </w:tcMar>
          </w:tcPr>
          <w:p>
            <w:pPr>
              <w:jc w:val="center"/>
            </w:pPr>
            <w:r>
              <w:rPr>
                <w:color w:val="333333"/>
                <w:sz w:val="18"/>
              </w:rPr>
              <w:t>0.1903</w:t>
            </w:r>
          </w:p>
        </w:tc>
        <w:tc>
          <w:tcPr>
            <w:tcW w:type="dxa" w:w="1296"/>
            <w:shd w:fill="FFFFFF"/>
            <w:tcMar>
              <w:top w:w="90" w:type="dxa"/>
              <w:bottom w:w="90" w:type="dxa"/>
              <w:left w:w="130" w:type="dxa"/>
              <w:right w:w="130" w:type="dxa"/>
            </w:tcMar>
          </w:tcPr>
          <w:p>
            <w:pPr>
              <w:jc w:val="center"/>
            </w:pPr>
            <w:r>
              <w:rPr>
                <w:color w:val="333333"/>
                <w:sz w:val="18"/>
              </w:rPr>
              <w:t>0.1131</w:t>
            </w:r>
          </w:p>
        </w:tc>
        <w:tc>
          <w:tcPr>
            <w:tcW w:type="dxa" w:w="1872"/>
            <w:shd w:fill="FFFFFF"/>
            <w:tcMar>
              <w:top w:w="90" w:type="dxa"/>
              <w:bottom w:w="90" w:type="dxa"/>
              <w:left w:w="130" w:type="dxa"/>
              <w:right w:w="130" w:type="dxa"/>
            </w:tcMar>
          </w:tcPr>
          <w:p>
            <w:pPr>
              <w:jc w:val="center"/>
            </w:pPr>
            <w:r>
              <w:rPr>
                <w:color w:val="333333"/>
                <w:sz w:val="18"/>
              </w:rPr>
              <w:t>Gradient Boosting</w:t>
            </w:r>
          </w:p>
        </w:tc>
      </w:tr>
      <w:tr>
        <w:tc>
          <w:tcPr>
            <w:tcW w:type="dxa" w:w="2880"/>
            <w:shd w:fill="F8F9FA"/>
            <w:tcMar>
              <w:top w:w="90" w:type="dxa"/>
              <w:bottom w:w="90" w:type="dxa"/>
              <w:left w:w="130" w:type="dxa"/>
              <w:right w:w="130" w:type="dxa"/>
            </w:tcMar>
          </w:tcPr>
          <w:p>
            <w:pPr>
              <w:jc w:val="left"/>
            </w:pPr>
            <w:r>
              <w:rPr>
                <w:b/>
                <w:color w:val="333333"/>
                <w:sz w:val="18"/>
              </w:rPr>
              <w:t>Random Forest (Tuned)</w:t>
            </w:r>
          </w:p>
        </w:tc>
        <w:tc>
          <w:tcPr>
            <w:tcW w:type="dxa" w:w="1872"/>
            <w:shd w:fill="F8F9FA"/>
            <w:tcMar>
              <w:top w:w="90" w:type="dxa"/>
              <w:bottom w:w="90" w:type="dxa"/>
              <w:left w:w="130" w:type="dxa"/>
              <w:right w:w="130" w:type="dxa"/>
            </w:tcMar>
          </w:tcPr>
          <w:p>
            <w:pPr>
              <w:jc w:val="center"/>
            </w:pPr>
            <w:r>
              <w:rPr>
                <w:color w:val="333333"/>
                <w:sz w:val="18"/>
              </w:rPr>
              <w:t>0.2646 (±0.0254)</w:t>
            </w:r>
          </w:p>
        </w:tc>
        <w:tc>
          <w:tcPr>
            <w:tcW w:type="dxa" w:w="1440"/>
            <w:shd w:fill="F8F9FA"/>
            <w:tcMar>
              <w:top w:w="90" w:type="dxa"/>
              <w:bottom w:w="90" w:type="dxa"/>
              <w:left w:w="130" w:type="dxa"/>
              <w:right w:w="130" w:type="dxa"/>
            </w:tcMar>
          </w:tcPr>
          <w:p>
            <w:pPr>
              <w:jc w:val="center"/>
            </w:pPr>
            <w:r>
              <w:rPr>
                <w:color w:val="333333"/>
                <w:sz w:val="18"/>
              </w:rPr>
              <w:t>0.1817</w:t>
            </w:r>
          </w:p>
        </w:tc>
        <w:tc>
          <w:tcPr>
            <w:tcW w:type="dxa" w:w="1296"/>
            <w:shd w:fill="F8F9FA"/>
            <w:tcMar>
              <w:top w:w="90" w:type="dxa"/>
              <w:bottom w:w="90" w:type="dxa"/>
              <w:left w:w="130" w:type="dxa"/>
              <w:right w:w="130" w:type="dxa"/>
            </w:tcMar>
          </w:tcPr>
          <w:p>
            <w:pPr>
              <w:jc w:val="center"/>
            </w:pPr>
            <w:r>
              <w:rPr>
                <w:color w:val="333333"/>
                <w:sz w:val="18"/>
              </w:rPr>
              <w:t>0.1809</w:t>
            </w:r>
          </w:p>
        </w:tc>
        <w:tc>
          <w:tcPr>
            <w:tcW w:type="dxa" w:w="1872"/>
            <w:shd w:fill="F8F9FA"/>
            <w:tcMar>
              <w:top w:w="90" w:type="dxa"/>
              <w:bottom w:w="90" w:type="dxa"/>
              <w:left w:w="130" w:type="dxa"/>
              <w:right w:w="130" w:type="dxa"/>
            </w:tcMar>
          </w:tcPr>
          <w:p>
            <w:pPr>
              <w:jc w:val="center"/>
            </w:pPr>
            <w:r>
              <w:rPr>
                <w:color w:val="333333"/>
                <w:sz w:val="18"/>
              </w:rPr>
              <w:t>CHAMPION WINNER</w:t>
            </w:r>
          </w:p>
        </w:tc>
      </w:tr>
    </w:tbl>
    <w:p>
      <w:pPr>
        <w:pStyle w:val="Heading1"/>
        <w:keepNext/>
        <w:spacing w:before="360" w:after="120"/>
      </w:pPr>
      <w:r>
        <w:rPr>
          <w:color w:val="1F4E79"/>
          <w:sz w:val="32"/>
        </w:rPr>
        <w:t>6. Holdout Test Evaluation &amp; Governance Audit</w:t>
      </w:r>
    </w:p>
    <w:p>
      <w:r>
        <w:t>Elena evaluated the tuned Random Forest model against the 293 holdout test samples (which were never exposed during preprocessing or tuning). Holdout Test RMSE was 0.2562, lower than the cross-validation score, demonstrating zero generalization overfitting.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F4E79"/>
            <w:tcMar>
              <w:top w:w="120" w:type="dxa"/>
              <w:bottom w:w="120" w:type="dxa"/>
              <w:left w:w="140" w:type="dxa"/>
              <w:right w:w="140" w:type="dxa"/>
            </w:tcMar>
          </w:tcPr>
          <w:p>
            <w:pPr>
              <w:jc w:val="center"/>
            </w:pPr>
            <w:r>
              <w:rPr>
                <w:b/>
                <w:color w:val="FFFFFF"/>
                <w:sz w:val="19"/>
              </w:rPr>
              <w:t>Evaluation Metric</w:t>
            </w:r>
          </w:p>
        </w:tc>
        <w:tc>
          <w:tcPr>
            <w:tcW w:type="dxa" w:w="2016"/>
            <w:shd w:fill="1F4E79"/>
            <w:tcMar>
              <w:top w:w="120" w:type="dxa"/>
              <w:bottom w:w="120" w:type="dxa"/>
              <w:left w:w="140" w:type="dxa"/>
              <w:right w:w="140" w:type="dxa"/>
            </w:tcMar>
          </w:tcPr>
          <w:p>
            <w:pPr>
              <w:jc w:val="center"/>
            </w:pPr>
            <w:r>
              <w:rPr>
                <w:b/>
                <w:color w:val="FFFFFF"/>
                <w:sz w:val="19"/>
              </w:rPr>
              <w:t>Holdout Test Score</w:t>
            </w:r>
          </w:p>
        </w:tc>
        <w:tc>
          <w:tcPr>
            <w:tcW w:type="dxa" w:w="1872"/>
            <w:shd w:fill="1F4E79"/>
            <w:tcMar>
              <w:top w:w="120" w:type="dxa"/>
              <w:bottom w:w="120" w:type="dxa"/>
              <w:left w:w="140" w:type="dxa"/>
              <w:right w:w="140" w:type="dxa"/>
            </w:tcMar>
          </w:tcPr>
          <w:p>
            <w:pPr>
              <w:jc w:val="center"/>
            </w:pPr>
            <w:r>
              <w:rPr>
                <w:b/>
                <w:color w:val="FFFFFF"/>
                <w:sz w:val="19"/>
              </w:rPr>
              <w:t>Baseline Floor</w:t>
            </w:r>
          </w:p>
        </w:tc>
        <w:tc>
          <w:tcPr>
            <w:tcW w:type="dxa" w:w="2304"/>
            <w:shd w:fill="1F4E79"/>
            <w:tcMar>
              <w:top w:w="120" w:type="dxa"/>
              <w:bottom w:w="120" w:type="dxa"/>
              <w:left w:w="140" w:type="dxa"/>
              <w:right w:w="140" w:type="dxa"/>
            </w:tcMar>
          </w:tcPr>
          <w:p>
            <w:pPr>
              <w:jc w:val="center"/>
            </w:pPr>
            <w:r>
              <w:rPr>
                <w:b/>
                <w:color w:val="FFFFFF"/>
                <w:sz w:val="19"/>
              </w:rPr>
              <w:t>Relative Improvement</w:t>
            </w:r>
          </w:p>
        </w:tc>
      </w:tr>
      <w:tr>
        <w:tc>
          <w:tcPr>
            <w:tcW w:type="dxa" w:w="3168"/>
            <w:shd w:fill="FFFFFF"/>
            <w:tcMar>
              <w:top w:w="90" w:type="dxa"/>
              <w:bottom w:w="90" w:type="dxa"/>
              <w:left w:w="130" w:type="dxa"/>
              <w:right w:w="130" w:type="dxa"/>
            </w:tcMar>
          </w:tcPr>
          <w:p>
            <w:pPr>
              <w:jc w:val="left"/>
            </w:pPr>
            <w:r>
              <w:rPr>
                <w:b/>
                <w:color w:val="333333"/>
                <w:sz w:val="18"/>
              </w:rPr>
              <w:t>Root Mean Squared Error (RMSE)</w:t>
            </w:r>
          </w:p>
        </w:tc>
        <w:tc>
          <w:tcPr>
            <w:tcW w:type="dxa" w:w="2016"/>
            <w:shd w:fill="FFFFFF"/>
            <w:tcMar>
              <w:top w:w="90" w:type="dxa"/>
              <w:bottom w:w="90" w:type="dxa"/>
              <w:left w:w="130" w:type="dxa"/>
              <w:right w:w="130" w:type="dxa"/>
            </w:tcMar>
          </w:tcPr>
          <w:p>
            <w:pPr>
              <w:jc w:val="center"/>
            </w:pPr>
            <w:r>
              <w:rPr>
                <w:color w:val="333333"/>
                <w:sz w:val="18"/>
              </w:rPr>
              <w:t>0.2562</w:t>
            </w:r>
          </w:p>
        </w:tc>
        <w:tc>
          <w:tcPr>
            <w:tcW w:type="dxa" w:w="1872"/>
            <w:shd w:fill="FFFFFF"/>
            <w:tcMar>
              <w:top w:w="90" w:type="dxa"/>
              <w:bottom w:w="90" w:type="dxa"/>
              <w:left w:w="130" w:type="dxa"/>
              <w:right w:w="130" w:type="dxa"/>
            </w:tcMar>
          </w:tcPr>
          <w:p>
            <w:pPr>
              <w:jc w:val="center"/>
            </w:pPr>
            <w:r>
              <w:rPr>
                <w:color w:val="333333"/>
                <w:sz w:val="18"/>
              </w:rPr>
              <w:t>0.2940</w:t>
            </w:r>
          </w:p>
        </w:tc>
        <w:tc>
          <w:tcPr>
            <w:tcW w:type="dxa" w:w="2304"/>
            <w:shd w:fill="FFFFFF"/>
            <w:tcMar>
              <w:top w:w="90" w:type="dxa"/>
              <w:bottom w:w="90" w:type="dxa"/>
              <w:left w:w="130" w:type="dxa"/>
              <w:right w:w="130" w:type="dxa"/>
            </w:tcMar>
          </w:tcPr>
          <w:p>
            <w:pPr>
              <w:jc w:val="center"/>
            </w:pPr>
            <w:r>
              <w:rPr>
                <w:color w:val="333333"/>
                <w:sz w:val="18"/>
              </w:rPr>
              <w:t>+12.8% Error Reduction</w:t>
            </w:r>
          </w:p>
        </w:tc>
      </w:tr>
      <w:tr>
        <w:tc>
          <w:tcPr>
            <w:tcW w:type="dxa" w:w="3168"/>
            <w:shd w:fill="F8F9FA"/>
            <w:tcMar>
              <w:top w:w="90" w:type="dxa"/>
              <w:bottom w:w="90" w:type="dxa"/>
              <w:left w:w="130" w:type="dxa"/>
              <w:right w:w="130" w:type="dxa"/>
            </w:tcMar>
          </w:tcPr>
          <w:p>
            <w:pPr>
              <w:jc w:val="left"/>
            </w:pPr>
            <w:r>
              <w:rPr>
                <w:b/>
                <w:color w:val="333333"/>
                <w:sz w:val="18"/>
              </w:rPr>
              <w:t>Mean Absolute Error (MAE)</w:t>
            </w:r>
          </w:p>
        </w:tc>
        <w:tc>
          <w:tcPr>
            <w:tcW w:type="dxa" w:w="2016"/>
            <w:shd w:fill="F8F9FA"/>
            <w:tcMar>
              <w:top w:w="90" w:type="dxa"/>
              <w:bottom w:w="90" w:type="dxa"/>
              <w:left w:w="130" w:type="dxa"/>
              <w:right w:w="130" w:type="dxa"/>
            </w:tcMar>
          </w:tcPr>
          <w:p>
            <w:pPr>
              <w:jc w:val="center"/>
            </w:pPr>
            <w:r>
              <w:rPr>
                <w:color w:val="333333"/>
                <w:sz w:val="18"/>
              </w:rPr>
              <w:t>0.1752</w:t>
            </w:r>
          </w:p>
        </w:tc>
        <w:tc>
          <w:tcPr>
            <w:tcW w:type="dxa" w:w="1872"/>
            <w:shd w:fill="F8F9FA"/>
            <w:tcMar>
              <w:top w:w="90" w:type="dxa"/>
              <w:bottom w:w="90" w:type="dxa"/>
              <w:left w:w="130" w:type="dxa"/>
              <w:right w:w="130" w:type="dxa"/>
            </w:tcMar>
          </w:tcPr>
          <w:p>
            <w:pPr>
              <w:jc w:val="center"/>
            </w:pPr>
            <w:r>
              <w:rPr>
                <w:color w:val="333333"/>
                <w:sz w:val="18"/>
              </w:rPr>
              <w:t>0.2132</w:t>
            </w:r>
          </w:p>
        </w:tc>
        <w:tc>
          <w:tcPr>
            <w:tcW w:type="dxa" w:w="2304"/>
            <w:shd w:fill="F8F9FA"/>
            <w:tcMar>
              <w:top w:w="90" w:type="dxa"/>
              <w:bottom w:w="90" w:type="dxa"/>
              <w:left w:w="130" w:type="dxa"/>
              <w:right w:w="130" w:type="dxa"/>
            </w:tcMar>
          </w:tcPr>
          <w:p>
            <w:pPr>
              <w:jc w:val="center"/>
            </w:pPr>
            <w:r>
              <w:rPr>
                <w:color w:val="333333"/>
                <w:sz w:val="18"/>
              </w:rPr>
              <w:t>+17.8% Error Reduction</w:t>
            </w:r>
          </w:p>
        </w:tc>
      </w:tr>
      <w:tr>
        <w:tc>
          <w:tcPr>
            <w:tcW w:type="dxa" w:w="3168"/>
            <w:shd w:fill="FFFFFF"/>
            <w:tcMar>
              <w:top w:w="90" w:type="dxa"/>
              <w:bottom w:w="90" w:type="dxa"/>
              <w:left w:w="130" w:type="dxa"/>
              <w:right w:w="130" w:type="dxa"/>
            </w:tcMar>
          </w:tcPr>
          <w:p>
            <w:pPr>
              <w:jc w:val="left"/>
            </w:pPr>
            <w:r>
              <w:rPr>
                <w:b/>
                <w:color w:val="333333"/>
                <w:sz w:val="18"/>
              </w:rPr>
              <w:t>Median Absolute Error (MedAE)</w:t>
            </w:r>
          </w:p>
        </w:tc>
        <w:tc>
          <w:tcPr>
            <w:tcW w:type="dxa" w:w="2016"/>
            <w:shd w:fill="FFFFFF"/>
            <w:tcMar>
              <w:top w:w="90" w:type="dxa"/>
              <w:bottom w:w="90" w:type="dxa"/>
              <w:left w:w="130" w:type="dxa"/>
              <w:right w:w="130" w:type="dxa"/>
            </w:tcMar>
          </w:tcPr>
          <w:p>
            <w:pPr>
              <w:jc w:val="center"/>
            </w:pPr>
            <w:r>
              <w:rPr>
                <w:color w:val="333333"/>
                <w:sz w:val="18"/>
              </w:rPr>
              <w:t>0.1260</w:t>
            </w:r>
          </w:p>
        </w:tc>
        <w:tc>
          <w:tcPr>
            <w:tcW w:type="dxa" w:w="1872"/>
            <w:shd w:fill="FFFFFF"/>
            <w:tcMar>
              <w:top w:w="90" w:type="dxa"/>
              <w:bottom w:w="90" w:type="dxa"/>
              <w:left w:w="130" w:type="dxa"/>
              <w:right w:w="130" w:type="dxa"/>
            </w:tcMar>
          </w:tcPr>
          <w:p>
            <w:pPr>
              <w:jc w:val="center"/>
            </w:pPr>
            <w:r>
              <w:rPr>
                <w:color w:val="333333"/>
                <w:sz w:val="18"/>
              </w:rPr>
              <w:t>0.1980</w:t>
            </w:r>
          </w:p>
        </w:tc>
        <w:tc>
          <w:tcPr>
            <w:tcW w:type="dxa" w:w="2304"/>
            <w:shd w:fill="FFFFFF"/>
            <w:tcMar>
              <w:top w:w="90" w:type="dxa"/>
              <w:bottom w:w="90" w:type="dxa"/>
              <w:left w:w="130" w:type="dxa"/>
              <w:right w:w="130" w:type="dxa"/>
            </w:tcMar>
          </w:tcPr>
          <w:p>
            <w:pPr>
              <w:jc w:val="center"/>
            </w:pPr>
            <w:r>
              <w:rPr>
                <w:color w:val="333333"/>
                <w:sz w:val="18"/>
              </w:rPr>
              <w:t>+36.3% Error Reduction</w:t>
            </w:r>
          </w:p>
        </w:tc>
      </w:tr>
      <w:tr>
        <w:tc>
          <w:tcPr>
            <w:tcW w:type="dxa" w:w="3168"/>
            <w:shd w:fill="F8F9FA"/>
            <w:tcMar>
              <w:top w:w="90" w:type="dxa"/>
              <w:bottom w:w="90" w:type="dxa"/>
              <w:left w:w="130" w:type="dxa"/>
              <w:right w:w="130" w:type="dxa"/>
            </w:tcMar>
          </w:tcPr>
          <w:p>
            <w:pPr>
              <w:jc w:val="left"/>
            </w:pPr>
            <w:r>
              <w:rPr>
                <w:b/>
                <w:color w:val="333333"/>
                <w:sz w:val="18"/>
              </w:rPr>
              <w:t>Accuracy within ±0.25 stars</w:t>
            </w:r>
          </w:p>
        </w:tc>
        <w:tc>
          <w:tcPr>
            <w:tcW w:type="dxa" w:w="2016"/>
            <w:shd w:fill="F8F9FA"/>
            <w:tcMar>
              <w:top w:w="90" w:type="dxa"/>
              <w:bottom w:w="90" w:type="dxa"/>
              <w:left w:w="130" w:type="dxa"/>
              <w:right w:w="130" w:type="dxa"/>
            </w:tcMar>
          </w:tcPr>
          <w:p>
            <w:pPr>
              <w:jc w:val="center"/>
            </w:pPr>
            <w:r>
              <w:rPr>
                <w:color w:val="333333"/>
                <w:sz w:val="18"/>
              </w:rPr>
              <w:t>75.4%</w:t>
            </w:r>
          </w:p>
        </w:tc>
        <w:tc>
          <w:tcPr>
            <w:tcW w:type="dxa" w:w="1872"/>
            <w:shd w:fill="F8F9FA"/>
            <w:tcMar>
              <w:top w:w="90" w:type="dxa"/>
              <w:bottom w:w="90" w:type="dxa"/>
              <w:left w:w="130" w:type="dxa"/>
              <w:right w:w="130" w:type="dxa"/>
            </w:tcMar>
          </w:tcPr>
          <w:p>
            <w:pPr>
              <w:jc w:val="center"/>
            </w:pPr>
            <w:r>
              <w:rPr>
                <w:color w:val="333333"/>
                <w:sz w:val="18"/>
              </w:rPr>
              <w:t>52.1%</w:t>
            </w:r>
          </w:p>
        </w:tc>
        <w:tc>
          <w:tcPr>
            <w:tcW w:type="dxa" w:w="2304"/>
            <w:shd w:fill="F8F9FA"/>
            <w:tcMar>
              <w:top w:w="90" w:type="dxa"/>
              <w:bottom w:w="90" w:type="dxa"/>
              <w:left w:w="130" w:type="dxa"/>
              <w:right w:w="130" w:type="dxa"/>
            </w:tcMar>
          </w:tcPr>
          <w:p>
            <w:pPr>
              <w:jc w:val="center"/>
            </w:pPr>
            <w:r>
              <w:rPr>
                <w:color w:val="333333"/>
                <w:sz w:val="18"/>
              </w:rPr>
              <w:t>+23.3% Absolute Gain</w:t>
            </w:r>
          </w:p>
        </w:tc>
      </w:tr>
    </w:tbl>
    <w:p>
      <w:pPr>
        <w:spacing w:before="240"/>
        <w:jc w:val="center"/>
      </w:pPr>
      <w:r>
        <w:drawing>
          <wp:inline xmlns:a="http://schemas.openxmlformats.org/drawingml/2006/main" xmlns:pic="http://schemas.openxmlformats.org/drawingml/2006/picture">
            <wp:extent cx="4754880" cy="4075611"/>
            <wp:docPr id="2" name="Picture 2"/>
            <wp:cNvGraphicFramePr>
              <a:graphicFrameLocks noChangeAspect="1"/>
            </wp:cNvGraphicFramePr>
            <a:graphic>
              <a:graphicData uri="http://schemas.openxmlformats.org/drawingml/2006/picture">
                <pic:pic>
                  <pic:nvPicPr>
                    <pic:cNvPr id="0" name="eval_pred_vs_actual.png"/>
                    <pic:cNvPicPr/>
                  </pic:nvPicPr>
                  <pic:blipFill>
                    <a:blip r:embed="rId10"/>
                    <a:stretch>
                      <a:fillRect/>
                    </a:stretch>
                  </pic:blipFill>
                  <pic:spPr>
                    <a:xfrm>
                      <a:off x="0" y="0"/>
                      <a:ext cx="4754880" cy="4075611"/>
                    </a:xfrm>
                    <a:prstGeom prst="rect"/>
                  </pic:spPr>
                </pic:pic>
              </a:graphicData>
            </a:graphic>
          </wp:inline>
        </w:drawing>
      </w:r>
    </w:p>
    <w:p>
      <w:pPr>
        <w:spacing w:after="240"/>
        <w:jc w:val="center"/>
      </w:pPr>
      <w:r>
        <w:rPr>
          <w:i/>
          <w:color w:val="7F8C8D"/>
          <w:sz w:val="18"/>
        </w:rPr>
        <w:t>Figure 2: Holdout Test Predictions vs Actual Amazon Consumer Ratings.</w:t>
      </w:r>
    </w:p>
    <w:p>
      <w:pPr>
        <w:spacing w:before="160"/>
        <w:jc w:val="center"/>
      </w:pPr>
      <w:r>
        <w:drawing>
          <wp:inline xmlns:a="http://schemas.openxmlformats.org/drawingml/2006/main" xmlns:pic="http://schemas.openxmlformats.org/drawingml/2006/picture">
            <wp:extent cx="4754880" cy="2641600"/>
            <wp:docPr id="3" name="Picture 3"/>
            <wp:cNvGraphicFramePr>
              <a:graphicFrameLocks noChangeAspect="1"/>
            </wp:cNvGraphicFramePr>
            <a:graphic>
              <a:graphicData uri="http://schemas.openxmlformats.org/drawingml/2006/picture">
                <pic:pic>
                  <pic:nvPicPr>
                    <pic:cNvPr id="0" name="eval_feature_importance.png"/>
                    <pic:cNvPicPr/>
                  </pic:nvPicPr>
                  <pic:blipFill>
                    <a:blip r:embed="rId11"/>
                    <a:stretch>
                      <a:fillRect/>
                    </a:stretch>
                  </pic:blipFill>
                  <pic:spPr>
                    <a:xfrm>
                      <a:off x="0" y="0"/>
                      <a:ext cx="4754880" cy="2641600"/>
                    </a:xfrm>
                    <a:prstGeom prst="rect"/>
                  </pic:spPr>
                </pic:pic>
              </a:graphicData>
            </a:graphic>
          </wp:inline>
        </w:drawing>
      </w:r>
    </w:p>
    <w:p>
      <w:pPr>
        <w:spacing w:after="280"/>
        <w:jc w:val="center"/>
      </w:pPr>
      <w:r>
        <w:rPr>
          <w:i/>
          <w:color w:val="7F8C8D"/>
          <w:sz w:val="18"/>
        </w:rPr>
        <w:t>Figure 3: Top Feature Importance Weights (Champion Random Forest Model).</w:t>
      </w:r>
    </w:p>
    <w:p>
      <w:pPr>
        <w:pStyle w:val="Heading1"/>
        <w:keepNext/>
        <w:spacing w:before="360" w:after="120"/>
      </w:pPr>
      <w:r>
        <w:rPr>
          <w:color w:val="1F4E79"/>
          <w:sz w:val="32"/>
        </w:rPr>
        <w:t>7. Production Operating Recommendations</w:t>
      </w:r>
    </w:p>
    <w:p>
      <w:pPr>
        <w:pStyle w:val="ListBullet"/>
        <w:spacing w:after="80"/>
      </w:pPr>
      <w:r>
        <w:rPr>
          <w:b/>
          <w:color w:val="1F4E79"/>
        </w:rPr>
        <w:t xml:space="preserve">Review Volume Thresholding: </w:t>
      </w:r>
      <w:r>
        <w:t>Enforce a minimum of 10 customer reviews before applying automated scoring; items with fewer reviews exhibit mild regression-to-the-mean compression.</w:t>
      </w:r>
    </w:p>
    <w:p>
      <w:pPr>
        <w:pStyle w:val="ListBullet"/>
        <w:spacing w:after="80"/>
      </w:pPr>
      <w:r>
        <w:rPr>
          <w:b/>
          <w:color w:val="1F4E79"/>
        </w:rPr>
        <w:t xml:space="preserve">Lexical Signal Monitoring: </w:t>
      </w:r>
      <w:r>
        <w:t>Review text length features carry 45% of total predictive weight; maintain clean tokenization in upstream data ingestion pipelines.</w:t>
      </w:r>
    </w:p>
    <w:p>
      <w:pPr>
        <w:pStyle w:val="ListBullet"/>
        <w:spacing w:after="80"/>
      </w:pPr>
      <w:r>
        <w:rPr>
          <w:b/>
          <w:color w:val="1F4E79"/>
        </w:rPr>
        <w:t xml:space="preserve">Quarterly Model Calibration Check: </w:t>
      </w:r>
      <w:r>
        <w:t>Run Elena's calibration audit quarterly to ensure probability drift does not exceed 3% over seasonal holiday promotions.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