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line="312" w:lineRule="auto"/>
        <w:jc w:val="center"/>
      </w:pPr>
      <w:r>
        <w:rPr>
          <w:rFonts w:ascii="Times New Roman" w:hAnsi="Times New Roman"/>
          <w:b/>
          <w:color w:val="0F172A"/>
          <w:sz w:val="34"/>
        </w:rPr>
        <w:t>ARIA: AUTONOMOUS RESEARCH INTELLIGENCE FOR ANALYTICS</w:t>
        <w:br/>
        <w:t>AN ADVERSARIAL MULTI-AGENT COLLABORATIVE FRAMEWORK FOR ENTERPRISE DATA SCIENCE</w:t>
      </w:r>
    </w:p>
    <w:p>
      <w:pPr>
        <w:spacing w:before="360" w:after="240"/>
        <w:jc w:val="center"/>
      </w:pPr>
      <w:r>
        <w:rPr>
          <w:rFonts w:ascii="Times New Roman" w:hAnsi="Times New Roman"/>
          <w:i/>
          <w:sz w:val="24"/>
        </w:rPr>
        <w:t>A DISSERTATION REPORT</w:t>
        <w:br/>
        <w:t>Submitted in partial fulfillment of the requirements</w:t>
        <w:br/>
        <w:t>for the award of the degree of</w:t>
      </w:r>
    </w:p>
    <w:p>
      <w:pPr>
        <w:spacing w:before="240" w:after="480"/>
        <w:jc w:val="center"/>
      </w:pPr>
      <w:r>
        <w:rPr>
          <w:rFonts w:ascii="Times New Roman" w:hAnsi="Times New Roman"/>
          <w:b/>
          <w:sz w:val="30"/>
        </w:rPr>
        <w:t>MASTER OF SCIENCE IN DATA SCIENCE</w:t>
      </w:r>
    </w:p>
    <w:p>
      <w:pPr>
        <w:spacing w:before="240" w:after="120"/>
        <w:jc w:val="center"/>
      </w:pPr>
      <w:r>
        <w:rPr>
          <w:rFonts w:ascii="Times New Roman" w:hAnsi="Times New Roman"/>
          <w:b/>
          <w:sz w:val="24"/>
        </w:rPr>
        <w:t>Submitted by:</w:t>
      </w:r>
    </w:p>
    <w:p>
      <w:pPr>
        <w:spacing w:after="480" w:line="312" w:lineRule="auto"/>
        <w:jc w:val="center"/>
      </w:pPr>
      <w:r>
        <w:rPr>
          <w:rFonts w:ascii="Times New Roman" w:hAnsi="Times New Roman"/>
          <w:b/>
          <w:sz w:val="26"/>
        </w:rPr>
        <w:t>RAVINDRAN (Reg. No: 25MDT1133)</w:t>
        <w:br/>
        <w:t>NITHISHSARAN (Reg. No: 25MDT1089)</w:t>
      </w:r>
    </w:p>
    <w:p>
      <w:pPr>
        <w:spacing w:before="240" w:after="120"/>
        <w:jc w:val="center"/>
      </w:pPr>
      <w:r>
        <w:rPr>
          <w:rFonts w:ascii="Times New Roman" w:hAnsi="Times New Roman"/>
          <w:b/>
          <w:sz w:val="24"/>
        </w:rPr>
        <w:t>Under the guidance of:</w:t>
      </w:r>
    </w:p>
    <w:p>
      <w:pPr>
        <w:spacing w:after="720" w:line="288" w:lineRule="auto"/>
        <w:jc w:val="center"/>
      </w:pPr>
      <w:r>
        <w:rPr>
          <w:rFonts w:ascii="Times New Roman" w:hAnsi="Times New Roman"/>
          <w:sz w:val="25"/>
        </w:rPr>
        <w:t>Dr. NAZEER ANSARI</w:t>
        <w:br/>
        <w:t>Associate Professor</w:t>
        <w:br/>
        <w:t>Department of Mathematics, School of Advanced Sciences</w:t>
      </w:r>
    </w:p>
    <w:p>
      <w:pPr>
        <w:spacing w:before="480" w:after="0" w:line="288" w:lineRule="auto"/>
        <w:jc w:val="center"/>
      </w:pPr>
      <w:r>
        <w:rPr>
          <w:rFonts w:ascii="Times New Roman" w:hAnsi="Times New Roman"/>
          <w:b/>
          <w:sz w:val="24"/>
        </w:rPr>
        <w:t>DEPARTMENT OF MATHEMATICS</w:t>
        <w:br/>
        <w:t>SCHOOL OF ADVANCED SCIENCES</w:t>
        <w:br/>
        <w:t>VELLORE INSTITUTE OF TECHNOLOGY (VIT CHENNAI)</w:t>
        <w:br/>
        <w:t>Vandalur-Kelambakkam Road, Chennai – 600 127</w:t>
        <w:br/>
        <w:t>October, 2026</w:t>
      </w:r>
    </w:p>
    <w:p>
      <w:r>
        <w:br w:type="page"/>
      </w:r>
    </w:p>
    <w:p>
      <w:pPr>
        <w:spacing w:before="360" w:after="360" w:line="288" w:lineRule="auto"/>
        <w:jc w:val="center"/>
      </w:pPr>
      <w:r>
        <w:rPr>
          <w:rFonts w:ascii="Times New Roman" w:hAnsi="Times New Roman"/>
          <w:b/>
          <w:color w:val="0F172A"/>
          <w:sz w:val="36"/>
        </w:rPr>
        <w:t>DECLARATION</w:t>
      </w:r>
    </w:p>
    <w:p>
      <w:pPr>
        <w:spacing w:line="360" w:lineRule="auto" w:after="120"/>
        <w:jc w:val="both"/>
      </w:pPr>
      <w:r>
        <w:rPr>
          <w:rFonts w:ascii="Times New Roman" w:hAnsi="Times New Roman"/>
          <w:color w:val="111827"/>
          <w:sz w:val="24"/>
        </w:rPr>
        <w:t>We hereby declare that the Dissertation-I titled "ARIA: Autonomous Research Intelligence for Analytics — An Adversarial Multi-Agent Collaborative Framework for Enterprise Data Science" submitted by us, for the award of the degree of Master of Science in Data Science to Vellore Institute of Technology (VIT Chennai), is a record of bonafide original research work carried out by us under the supervision and guidance of Dr. Nazeer Ansari, Department of Mathematics, School of Advanced Sciences, VIT Chennai.</w:t>
      </w:r>
    </w:p>
    <w:p>
      <w:pPr>
        <w:spacing w:line="360" w:lineRule="auto" w:after="120"/>
        <w:jc w:val="both"/>
      </w:pPr>
      <w:r>
        <w:rPr>
          <w:rFonts w:ascii="Times New Roman" w:hAnsi="Times New Roman"/>
          <w:color w:val="111827"/>
          <w:sz w:val="24"/>
        </w:rPr>
        <w:t>We further declare that the work reported in this dissertation has not been submitted either in part or in full, to any other university or institute for the award of any other degree, diploma, or fellowship. All secondary sources, statistical theories, open-source libraries, and benchmark datasets utilized during this investigation have been dutifully acknowledged and cited.</w:t>
      </w:r>
    </w:p>
    <w:p>
      <w:pPr>
        <w:spacing w:after="800"/>
      </w:pPr>
    </w:p>
    <w:p>
      <w:pPr>
        <w:spacing w:line="312" w:lineRule="auto"/>
        <w:jc w:val="left"/>
      </w:pPr>
      <w:r>
        <w:rPr>
          <w:rFonts w:ascii="Times New Roman" w:hAnsi="Times New Roman"/>
          <w:sz w:val="24"/>
        </w:rPr>
        <w:t>Place: Chennai</w:t>
        <w:br/>
        <w:t>Date: 26th October, 2026</w:t>
        <w:br/>
        <w:br/>
        <w:br/>
        <w:t>___________________________</w:t>
        <w:br/>
        <w:t>RAVINDRAN (25MDT1133)</w:t>
        <w:br/>
        <w:br/>
        <w:br/>
        <w:t>___________________________</w:t>
        <w:br/>
        <w:t>NITHISHSARAN (25MDT1089)</w:t>
      </w:r>
    </w:p>
    <w:p>
      <w:r>
        <w:br w:type="page"/>
      </w:r>
    </w:p>
    <w:p>
      <w:pPr>
        <w:spacing w:before="360" w:after="360" w:line="288" w:lineRule="auto"/>
        <w:jc w:val="center"/>
      </w:pPr>
      <w:r>
        <w:rPr>
          <w:rFonts w:ascii="Times New Roman" w:hAnsi="Times New Roman"/>
          <w:b/>
          <w:color w:val="0F172A"/>
          <w:sz w:val="36"/>
        </w:rPr>
        <w:t>CERTIFICATE</w:t>
      </w:r>
    </w:p>
    <w:p>
      <w:pPr>
        <w:spacing w:line="360" w:lineRule="auto" w:after="120"/>
        <w:jc w:val="both"/>
      </w:pPr>
      <w:r>
        <w:rPr>
          <w:rFonts w:ascii="Times New Roman" w:hAnsi="Times New Roman"/>
          <w:color w:val="111827"/>
          <w:sz w:val="24"/>
        </w:rPr>
        <w:t>This is to certify that the dissertation entitled "ARIA: Autonomous Research Intelligence for Analytics — An Adversarial Multi-Agent Collaborative Framework for Enterprise Data Science" is a bonafide record of work done jointly by RAVINDRAN (Reg. No: 25MDT1133) and NITHISHSARAN (Reg. No: 25MDT1089) in partial fulfillment of the requirements for the award of the degree of MASTER OF SCIENCE IN DATA SCIENCE of the Department of Mathematics, School of Advanced Sciences, Vellore Institute of Technology Chennai, during the academic year 2025–2026.</w:t>
      </w:r>
    </w:p>
    <w:p>
      <w:pPr>
        <w:spacing w:line="360" w:lineRule="auto" w:after="120"/>
        <w:jc w:val="both"/>
      </w:pPr>
      <w:r>
        <w:rPr>
          <w:rFonts w:ascii="Times New Roman" w:hAnsi="Times New Roman"/>
          <w:color w:val="111827"/>
          <w:sz w:val="24"/>
        </w:rPr>
        <w:t>This research represents an original investigation conducted under my supervision. The results embodied in this dissertation have not been submitted to any other university or institute for the award of any other degree or diploma.</w:t>
      </w:r>
    </w:p>
    <w:p>
      <w:pPr>
        <w:spacing w:after="1000"/>
      </w:pPr>
    </w:p>
    <w:p>
      <w:pPr>
        <w:spacing w:line="312" w:lineRule="auto"/>
        <w:jc w:val="right"/>
      </w:pPr>
      <w:r>
        <w:rPr>
          <w:rFonts w:ascii="Times New Roman" w:hAnsi="Times New Roman"/>
          <w:sz w:val="24"/>
        </w:rPr>
        <w:t>Dr. NAZEER ANSARI</w:t>
        <w:br/>
        <w:t>Research Guide &amp; Associate Professor</w:t>
        <w:br/>
        <w:t>Department of Mathematics</w:t>
        <w:br/>
        <w:t>School of Advanced Sciences</w:t>
        <w:br/>
        <w:t>VIT Chennai — 600 127</w:t>
      </w:r>
    </w:p>
    <w:p>
      <w:r>
        <w:br w:type="page"/>
      </w:r>
    </w:p>
    <w:p>
      <w:pPr>
        <w:spacing w:before="360" w:after="360" w:line="288" w:lineRule="auto"/>
        <w:jc w:val="center"/>
      </w:pPr>
      <w:r>
        <w:rPr>
          <w:rFonts w:ascii="Times New Roman" w:hAnsi="Times New Roman"/>
          <w:b/>
          <w:color w:val="0F172A"/>
          <w:sz w:val="36"/>
        </w:rPr>
        <w:t>ACKNOWLEDGEMENTS</w:t>
      </w:r>
    </w:p>
    <w:p>
      <w:pPr>
        <w:spacing w:line="360" w:lineRule="auto" w:after="120"/>
        <w:jc w:val="both"/>
      </w:pPr>
      <w:r>
        <w:rPr>
          <w:rFonts w:ascii="Times New Roman" w:hAnsi="Times New Roman"/>
          <w:color w:val="111827"/>
          <w:sz w:val="24"/>
        </w:rPr>
        <w:t>First and foremost, we express our deepest sense of gratitude and reverence to our respected research supervisor, Dr. Nazeer Ansari, Associate Professor, Department of Mathematics, School of Advanced Sciences, VIT Chennai. His intellectual rigor, continuous encouragement, and profound insights in statistical modeling and machine learning architecture guided us through every phase of this research.</w:t>
      </w:r>
    </w:p>
    <w:p>
      <w:pPr>
        <w:spacing w:line="360" w:lineRule="auto" w:after="120"/>
        <w:jc w:val="both"/>
      </w:pPr>
      <w:r>
        <w:rPr>
          <w:rFonts w:ascii="Times New Roman" w:hAnsi="Times New Roman"/>
          <w:color w:val="111827"/>
          <w:sz w:val="24"/>
        </w:rPr>
        <w:t>We extend our sincere thanks to the Head of the Department of Mathematics and the Dean of the School of Advanced Sciences, Vellore Institute of Technology Chennai, for providing the state-of-the-art computational infrastructure, scholarly resources, and stimulating academic environment that made this research possible.</w:t>
      </w:r>
    </w:p>
    <w:p>
      <w:pPr>
        <w:spacing w:line="360" w:lineRule="auto" w:after="120"/>
        <w:jc w:val="both"/>
      </w:pPr>
      <w:r>
        <w:rPr>
          <w:rFonts w:ascii="Times New Roman" w:hAnsi="Times New Roman"/>
          <w:color w:val="111827"/>
          <w:sz w:val="24"/>
        </w:rPr>
        <w:t>We are profoundly indebted to the esteemed Chancellor and Vice-Chancellor of VIT Chennai for their visionary leadership in fostering advanced research in artificial intelligence, autonomous agentic systems, and mathematical data science.</w:t>
      </w:r>
    </w:p>
    <w:p>
      <w:pPr>
        <w:spacing w:line="360" w:lineRule="auto" w:after="120"/>
        <w:jc w:val="both"/>
      </w:pPr>
      <w:r>
        <w:rPr>
          <w:rFonts w:ascii="Times New Roman" w:hAnsi="Times New Roman"/>
          <w:color w:val="111827"/>
          <w:sz w:val="24"/>
        </w:rPr>
        <w:t>Finally, we express our heartfelt love and indebtedness to our parents and family members for their unconditional support, prayers, and patience throughout our academic journey.</w:t>
      </w:r>
    </w:p>
    <w:p>
      <w:r>
        <w:br w:type="page"/>
      </w:r>
    </w:p>
    <w:p>
      <w:pPr>
        <w:spacing w:before="280" w:after="240" w:line="288" w:lineRule="auto"/>
        <w:jc w:val="center"/>
      </w:pPr>
      <w:r>
        <w:rPr>
          <w:rFonts w:ascii="Times New Roman" w:hAnsi="Times New Roman"/>
          <w:b/>
          <w:color w:val="0F172A"/>
          <w:sz w:val="36"/>
        </w:rPr>
        <w:t>ABSTRACT</w:t>
      </w:r>
    </w:p>
    <w:p>
      <w:pPr>
        <w:spacing w:line="300" w:lineRule="auto" w:after="120"/>
        <w:jc w:val="both"/>
      </w:pPr>
      <w:r>
        <w:t>Modern enterprise data science workflows suffer from severe cognitive fragmentation, inadvertent data leakage, brittle manual scripting, and lack of cross-disciplinary audit rigor. While Large Language Models (LLMs) demonstrate remarkable generative code synthesis, single-agent architectures (e.g., OpenAI Advanced Data Analysis) exhibit critical vulnerabilities: they lack domain specialization, struggle with subtle lookahead data leakage during feature engineering, fail to validate statistical assumptions, and hallucinate uncalibrated confidence intervals. To resolve these systemic challenges, this dissertation introduces ARIA (Autonomous Research Intelligence for Analytics), an enterprise-grade multi-agent autonomous framework that models the complete eight-stage Data Science and Machine Learning lifecycle through specialized persona delegation, strict invariant enforcement, and adversarial peer review.</w:t>
      </w:r>
    </w:p>
    <w:p>
      <w:pPr>
        <w:spacing w:line="300" w:lineRule="auto" w:after="120"/>
        <w:jc w:val="both"/>
      </w:pPr>
      <w:r>
        <w:t>ARIA deploys eight world-class specialist agents grounded in the philosophies of historical luminaries including Ralph Kimball, Joe Celko, John Tukey, W. Edwards Deming, Kaggle Grandmasters, Leo Breiman, Cynthia Rudin, and Edward Tufte. A central architectural innovation is the 'Council Protocol'—a multi-agent adversarial cross-examination roundtable moderated by an executive concierge ('Alfred'). Rather than delivering unvetted algorithmic decisions, candidate features and models are subjected to rigorous peer debate: statistical validity challenges distribution assumptions, pipeline engineering attacks data leakage, feature architects defend signal extraction, ML engineers monitor overfitting, and governance auditors evaluate subgroup fairness and SHAP attribution. Empirical benchmarks across canonical datasets (Titanic, Telco Churn, Credit Risk) demonstrate that ARIA eliminates 100% of data leakage vectors, achieves an average 4.2% ROC-AUC improvement over standard AutoML pipelines, reduces generalization gaps by 68%, and autonomously compiles publication-grade Word deliverables with zero raw LaTeX artifacts.</w:t>
      </w:r>
    </w:p>
    <w:p>
      <w:pPr>
        <w:spacing w:line="288" w:lineRule="auto" w:after="80"/>
        <w:jc w:val="both"/>
      </w:pPr>
      <w:r>
        <w:rPr>
          <w:b/>
        </w:rPr>
        <w:t xml:space="preserve">Keywords: </w:t>
      </w:r>
      <w:r>
        <w:t>Autonomous AI Agents, Multi-Agent Systems, Adversarial Peer Review, Data Leakage Prevention, Automated Machine Learning (AutoML), Explainable AI (XAI), SHAP Governance, Executive Concierge Architecture.</w:t>
      </w:r>
    </w:p>
    <w:p>
      <w:r>
        <w:br w:type="page"/>
      </w:r>
    </w:p>
    <w:p>
      <w:pPr>
        <w:spacing w:before="360" w:after="360" w:line="288" w:lineRule="auto"/>
        <w:jc w:val="center"/>
      </w:pPr>
      <w:r>
        <w:rPr>
          <w:rFonts w:ascii="Times New Roman" w:hAnsi="Times New Roman"/>
          <w:b/>
          <w:color w:val="0F172A"/>
          <w:sz w:val="36"/>
        </w:rPr>
        <w:t>TABLE OF CONTENTS</w:t>
      </w:r>
    </w:p>
    <w:tbl>
      <w:tblPr>
        <w:tblW w:type="auto" w:w="0"/>
        <w:jc w:val="center"/>
        <w:tblLayout w:type="fixed"/>
        <w:tblLook w:firstColumn="1" w:firstRow="1" w:lastColumn="0" w:lastRow="0" w:noHBand="0" w:noVBand="1" w:val="04A0"/>
      </w:tblPr>
      <w:tblGrid>
        <w:gridCol w:w="4514"/>
        <w:gridCol w:w="4514"/>
      </w:tblGrid>
      <w:tr>
        <w:tc>
          <w:tcPr>
            <w:tcW w:type="dxa" w:w="720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Section Title</w:t>
            </w:r>
          </w:p>
        </w:tc>
        <w:tc>
          <w:tcPr>
            <w:tcW w:type="dxa" w:w="1829"/>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Page Number</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Declaration</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ii</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Certificate</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iii</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Acknowledgements</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iv</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Abstract</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v</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List of Figures</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vii</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List of Tables</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viii</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List of Abbreviations</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ix</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CHAPTER 1: INTRODUCTION</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1.1 Motivation: Cognitive Fragmentation in Data Science</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1.2 Background &amp; Related Work: The Evolution of Autonomous Agents</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1.3 Problem Statement &amp; Research Hypotheses</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4</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1.4 Research Objectives</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5</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1.5 Dissertation Organization</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6</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CHAPTER 2: SYSTEM ARCHITECTURE &amp; MULTI-AGENT DESIGN</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7</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2.1 Architectural Spine &amp; Core Philosophical Invariants</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7</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2.2 The Executive Concierge: Alfred the Major-Domo Orchestrator</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9</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2.3 The Roster of Specialized Domain Agents</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11</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2.4 The ARIA Council Protocol: Adversarial Peer Review</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13</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2.5 Invariant Enforcement: Zero Leakage and Clean Typography</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15</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CHAPTER 3: IMPLEMENTATION, METHODOLOGY &amp; EXPERIMENTAL EVALUATION</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16</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3.1 Software Architecture &amp; Reproducible Execution Pipeline</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16</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3.2 Experimental Setup &amp; Benchmark Datasets</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18</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3.3 Multi-Agent Ablation Analysis: Single-Agent vs. Council Debate</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20</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3.4 Signal Extraction &amp; High-Order Feature Engineering Impact</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21</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3.5 Model Tournament &amp; Optuna Bayesian Optimization Trajectories</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22</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3.6 Model Governance, SHAP Attribution &amp; Cohort Fairness Auditing</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23</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CHAPTER 4: CONCLUSION, FUTURE SCOPE &amp; REFERENCES</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25</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4.1 Summary of Scientific Contributions</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25</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4.2 Industry Implications &amp; Enterprise MLOps Integration</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26</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4.3 Limitations &amp; Failure Mode Analysis</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27</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4.4 Future Directions &amp; Research Roadmap</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28</w:t>
            </w:r>
          </w:p>
        </w:tc>
      </w:tr>
      <w:tr>
        <w:tc>
          <w:tcPr>
            <w:tcW w:type="dxa" w:w="720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 xml:space="preserve">   4.5 Academic References</w:t>
            </w:r>
          </w:p>
        </w:tc>
        <w:tc>
          <w:tcPr>
            <w:tcW w:type="dxa" w:w="1829"/>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29</w:t>
            </w:r>
          </w:p>
        </w:tc>
      </w:tr>
      <w:tr>
        <w:tc>
          <w:tcPr>
            <w:tcW w:type="dxa" w:w="720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APPENDIX: SYSTEM PROMPT INVARIANTS &amp; PIPELINE ARTIFACTS</w:t>
            </w:r>
          </w:p>
        </w:tc>
        <w:tc>
          <w:tcPr>
            <w:tcW w:type="dxa" w:w="1829"/>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30</w:t>
            </w:r>
          </w:p>
        </w:tc>
      </w:tr>
    </w:tbl>
    <w:p>
      <w:pPr>
        <w:spacing w:after="120"/>
      </w:pPr>
    </w:p>
    <w:p>
      <w:r>
        <w:br w:type="page"/>
      </w:r>
    </w:p>
    <w:p>
      <w:pPr>
        <w:spacing w:before="360" w:after="280" w:line="288" w:lineRule="auto"/>
        <w:jc w:val="center"/>
      </w:pPr>
      <w:r>
        <w:rPr>
          <w:rFonts w:ascii="Times New Roman" w:hAnsi="Times New Roman"/>
          <w:b/>
          <w:color w:val="0F172A"/>
          <w:sz w:val="36"/>
        </w:rPr>
        <w:t>LIST OF FIGURES</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Figure No.</w:t>
            </w:r>
          </w:p>
        </w:tc>
        <w:tc>
          <w:tcPr>
            <w:tcW w:type="dxa" w:w="576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Figure Caption</w:t>
            </w:r>
          </w:p>
        </w:tc>
        <w:tc>
          <w:tcPr>
            <w:tcW w:type="dxa" w:w="1541"/>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Page</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Figure 2.1</w:t>
            </w:r>
          </w:p>
        </w:tc>
        <w:tc>
          <w:tcPr>
            <w:tcW w:type="dxa" w:w="57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High-Level Architecture of ARIA End-to-End Orchestration Framework</w:t>
            </w:r>
          </w:p>
        </w:tc>
        <w:tc>
          <w:tcPr>
            <w:tcW w:type="dxa" w:w="154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8</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Figure 2.2</w:t>
            </w:r>
          </w:p>
        </w:tc>
        <w:tc>
          <w:tcPr>
            <w:tcW w:type="dxa" w:w="57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Sequence Interaction Diagram of the ARIA Council Peer Review Roundtable</w:t>
            </w:r>
          </w:p>
        </w:tc>
        <w:tc>
          <w:tcPr>
            <w:tcW w:type="dxa" w:w="154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14</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Figure 3.1</w:t>
            </w:r>
          </w:p>
        </w:tc>
        <w:tc>
          <w:tcPr>
            <w:tcW w:type="dxa" w:w="57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Directory Structure and Parquet-Driven Handoff Pipeline</w:t>
            </w:r>
          </w:p>
        </w:tc>
        <w:tc>
          <w:tcPr>
            <w:tcW w:type="dxa" w:w="154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17</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Figure 3.2</w:t>
            </w:r>
          </w:p>
        </w:tc>
        <w:tc>
          <w:tcPr>
            <w:tcW w:type="dxa" w:w="57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Optuna Bayesian Optimization Hyperband Convergence Trajectory</w:t>
            </w:r>
          </w:p>
        </w:tc>
        <w:tc>
          <w:tcPr>
            <w:tcW w:type="dxa" w:w="154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22</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Figure 3.3</w:t>
            </w:r>
          </w:p>
        </w:tc>
        <w:tc>
          <w:tcPr>
            <w:tcW w:type="dxa" w:w="57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Global SHAP Beeswarm Summary Plot for Holdout Test Inference</w:t>
            </w:r>
          </w:p>
        </w:tc>
        <w:tc>
          <w:tcPr>
            <w:tcW w:type="dxa" w:w="154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24</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Figure 3.4</w:t>
            </w:r>
          </w:p>
        </w:tc>
        <w:tc>
          <w:tcPr>
            <w:tcW w:type="dxa" w:w="57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Receiver Operating Characteristic (ROC) and Precision-Recall Curves</w:t>
            </w:r>
          </w:p>
        </w:tc>
        <w:tc>
          <w:tcPr>
            <w:tcW w:type="dxa" w:w="154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24</w:t>
            </w:r>
          </w:p>
        </w:tc>
      </w:tr>
    </w:tbl>
    <w:p>
      <w:pPr>
        <w:spacing w:after="120"/>
      </w:pPr>
    </w:p>
    <w:p>
      <w:pPr>
        <w:spacing w:before="360" w:after="280" w:line="288" w:lineRule="auto"/>
        <w:jc w:val="center"/>
      </w:pPr>
      <w:r>
        <w:rPr>
          <w:rFonts w:ascii="Times New Roman" w:hAnsi="Times New Roman"/>
          <w:b/>
          <w:color w:val="0F172A"/>
          <w:sz w:val="36"/>
        </w:rPr>
        <w:t>LIST OF TABLES</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Table No.</w:t>
            </w:r>
          </w:p>
        </w:tc>
        <w:tc>
          <w:tcPr>
            <w:tcW w:type="dxa" w:w="576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Table Description</w:t>
            </w:r>
          </w:p>
        </w:tc>
        <w:tc>
          <w:tcPr>
            <w:tcW w:type="dxa" w:w="1541"/>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Page</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Table 1.1</w:t>
            </w:r>
          </w:p>
        </w:tc>
        <w:tc>
          <w:tcPr>
            <w:tcW w:type="dxa" w:w="57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Comparison of Existing Autonomous Agent Paradigms in Data Science</w:t>
            </w:r>
          </w:p>
        </w:tc>
        <w:tc>
          <w:tcPr>
            <w:tcW w:type="dxa" w:w="154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3</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Table 2.1</w:t>
            </w:r>
          </w:p>
        </w:tc>
        <w:tc>
          <w:tcPr>
            <w:tcW w:type="dxa" w:w="57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ARIA Specialist Roster, Mentor Philosophies, and Primary Responsibilities</w:t>
            </w:r>
          </w:p>
        </w:tc>
        <w:tc>
          <w:tcPr>
            <w:tcW w:type="dxa" w:w="154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12</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Table 3.1</w:t>
            </w:r>
          </w:p>
        </w:tc>
        <w:tc>
          <w:tcPr>
            <w:tcW w:type="dxa" w:w="57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Benchmark Dataset Characteristics and Dimensional Geometry</w:t>
            </w:r>
          </w:p>
        </w:tc>
        <w:tc>
          <w:tcPr>
            <w:tcW w:type="dxa" w:w="154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18</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Table 3.2</w:t>
            </w:r>
          </w:p>
        </w:tc>
        <w:tc>
          <w:tcPr>
            <w:tcW w:type="dxa" w:w="57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Ablation Study: Single LLM vs Standard AutoML vs ARIA Council</w:t>
            </w:r>
          </w:p>
        </w:tc>
        <w:tc>
          <w:tcPr>
            <w:tcW w:type="dxa" w:w="154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20</w:t>
            </w:r>
          </w:p>
        </w:tc>
      </w:tr>
      <w:tr>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Table 3.3</w:t>
            </w:r>
          </w:p>
        </w:tc>
        <w:tc>
          <w:tcPr>
            <w:tcW w:type="dxa" w:w="57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Feature Importance, Multicollinearity (VIF), and Mutual Information Lift</w:t>
            </w:r>
          </w:p>
        </w:tc>
        <w:tc>
          <w:tcPr>
            <w:tcW w:type="dxa" w:w="154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21</w:t>
            </w:r>
          </w:p>
        </w:tc>
      </w:tr>
      <w:tr>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Table 3.4</w:t>
            </w:r>
          </w:p>
        </w:tc>
        <w:tc>
          <w:tcPr>
            <w:tcW w:type="dxa" w:w="57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Comprehensive Multi-Model Algorithm Tournament Performance</w:t>
            </w:r>
          </w:p>
        </w:tc>
        <w:tc>
          <w:tcPr>
            <w:tcW w:type="dxa" w:w="154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23</w:t>
            </w:r>
          </w:p>
        </w:tc>
      </w:tr>
    </w:tbl>
    <w:p>
      <w:pPr>
        <w:spacing w:after="120"/>
      </w:pPr>
    </w:p>
    <w:p>
      <w:r>
        <w:br w:type="page"/>
      </w:r>
    </w:p>
    <w:p>
      <w:pPr>
        <w:spacing w:before="360" w:after="280" w:line="288" w:lineRule="auto"/>
        <w:jc w:val="center"/>
      </w:pPr>
      <w:r>
        <w:rPr>
          <w:rFonts w:ascii="Times New Roman" w:hAnsi="Times New Roman"/>
          <w:b/>
          <w:color w:val="0F172A"/>
          <w:sz w:val="36"/>
        </w:rPr>
        <w:t>LIST OF ABBREVIATIONS</w:t>
      </w:r>
    </w:p>
    <w:tbl>
      <w:tblPr>
        <w:tblW w:type="auto" w:w="0"/>
        <w:jc w:val="center"/>
        <w:tblLayout w:type="fixed"/>
        <w:tblLook w:firstColumn="1" w:firstRow="1" w:lastColumn="0" w:lastRow="0" w:noHBand="0" w:noVBand="1" w:val="04A0"/>
      </w:tblPr>
      <w:tblGrid>
        <w:gridCol w:w="4514"/>
        <w:gridCol w:w="4514"/>
      </w:tblGrid>
      <w:tr>
        <w:tc>
          <w:tcPr>
            <w:tcW w:type="dxa" w:w="2592"/>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Abbreviation</w:t>
            </w:r>
          </w:p>
        </w:tc>
        <w:tc>
          <w:tcPr>
            <w:tcW w:type="dxa" w:w="6437"/>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Expanded Nomenclature</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ARIA</w:t>
            </w:r>
          </w:p>
        </w:tc>
        <w:tc>
          <w:tcPr>
            <w:tcW w:type="dxa" w:w="6437"/>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Autonomous Research Intelligence for Analytics</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LLM</w:t>
            </w:r>
          </w:p>
        </w:tc>
        <w:tc>
          <w:tcPr>
            <w:tcW w:type="dxa" w:w="6437"/>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Large Language Model</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EDA</w:t>
            </w:r>
          </w:p>
        </w:tc>
        <w:tc>
          <w:tcPr>
            <w:tcW w:type="dxa" w:w="6437"/>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Exploratory Data Analysis</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VIF</w:t>
            </w:r>
          </w:p>
        </w:tc>
        <w:tc>
          <w:tcPr>
            <w:tcW w:type="dxa" w:w="6437"/>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Variance Inflation Factor</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MCAR</w:t>
            </w:r>
          </w:p>
        </w:tc>
        <w:tc>
          <w:tcPr>
            <w:tcW w:type="dxa" w:w="6437"/>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Missing Completely at Random</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MAR</w:t>
            </w:r>
          </w:p>
        </w:tc>
        <w:tc>
          <w:tcPr>
            <w:tcW w:type="dxa" w:w="6437"/>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Missing at Random</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MNAR</w:t>
            </w:r>
          </w:p>
        </w:tc>
        <w:tc>
          <w:tcPr>
            <w:tcW w:type="dxa" w:w="6437"/>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Missing Not at Random</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OOF</w:t>
            </w:r>
          </w:p>
        </w:tc>
        <w:tc>
          <w:tcPr>
            <w:tcW w:type="dxa" w:w="6437"/>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Out-of-Fold</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RFECV</w:t>
            </w:r>
          </w:p>
        </w:tc>
        <w:tc>
          <w:tcPr>
            <w:tcW w:type="dxa" w:w="6437"/>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Recursive Feature Elimination with Cross-Validation</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SHAP</w:t>
            </w:r>
          </w:p>
        </w:tc>
        <w:tc>
          <w:tcPr>
            <w:tcW w:type="dxa" w:w="6437"/>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SHapley Additive exPlanations</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ROC-AUC</w:t>
            </w:r>
          </w:p>
        </w:tc>
        <w:tc>
          <w:tcPr>
            <w:tcW w:type="dxa" w:w="6437"/>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Receiver Operating Characteristic — Area Under Curve</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PR-AUC</w:t>
            </w:r>
          </w:p>
        </w:tc>
        <w:tc>
          <w:tcPr>
            <w:tcW w:type="dxa" w:w="6437"/>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Precision-Recall — Area Under Curve</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MICE</w:t>
            </w:r>
          </w:p>
        </w:tc>
        <w:tc>
          <w:tcPr>
            <w:tcW w:type="dxa" w:w="6437"/>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Multiple Imputation by Chained Equations</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GOSS</w:t>
            </w:r>
          </w:p>
        </w:tc>
        <w:tc>
          <w:tcPr>
            <w:tcW w:type="dxa" w:w="6437"/>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Gradient-Based One-Side Sampling</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TPE</w:t>
            </w:r>
          </w:p>
        </w:tc>
        <w:tc>
          <w:tcPr>
            <w:tcW w:type="dxa" w:w="6437"/>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Tree-Structured Parzen Estimator</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AutoML</w:t>
            </w:r>
          </w:p>
        </w:tc>
        <w:tc>
          <w:tcPr>
            <w:tcW w:type="dxa" w:w="6437"/>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Automated Machine Learning</w:t>
            </w:r>
          </w:p>
        </w:tc>
      </w:tr>
    </w:tbl>
    <w:p>
      <w:pPr>
        <w:spacing w:after="120"/>
      </w:pPr>
    </w:p>
    <w:p>
      <w:r>
        <w:br w:type="page"/>
      </w:r>
    </w:p>
    <w:p>
      <w:pPr>
        <w:keepNext/>
        <w:spacing w:before="360" w:after="160"/>
        <w:jc w:val="left"/>
      </w:pPr>
      <w:r>
        <w:rPr>
          <w:rFonts w:ascii="Times New Roman" w:hAnsi="Times New Roman"/>
          <w:b/>
          <w:color w:val="1E3A8A"/>
          <w:sz w:val="30"/>
        </w:rPr>
        <w:t>CHAPTER 1: INTRODUCTION</w:t>
      </w:r>
    </w:p>
    <w:p>
      <w:pPr>
        <w:keepNext/>
        <w:spacing w:before="280" w:after="120"/>
        <w:jc w:val="left"/>
      </w:pPr>
      <w:r>
        <w:rPr>
          <w:rFonts w:ascii="Times New Roman" w:hAnsi="Times New Roman"/>
          <w:b/>
          <w:color w:val="1F2937"/>
          <w:sz w:val="26"/>
        </w:rPr>
        <w:t>1.1 Motivation: Cognitive and Operational Bottlenecks in Data Science</w:t>
      </w:r>
    </w:p>
    <w:p>
      <w:pPr>
        <w:spacing w:line="360" w:lineRule="auto" w:after="120"/>
        <w:jc w:val="both"/>
      </w:pPr>
      <w:r>
        <w:rPr>
          <w:rFonts w:ascii="Times New Roman" w:hAnsi="Times New Roman"/>
          <w:color w:val="111827"/>
          <w:sz w:val="24"/>
        </w:rPr>
        <w:t>The contemporary data science lifecycle is an inherently multidisciplinary, highly non-linear craft requiring distinct intellectual faculties. A successful analytical initiative demands data warehouse architecture to navigate messy enterprise catalogs, high-performance database querying to extract atomic records, rigorous exploratory statistics to identify distribution skewness, leak-free preprocessing to ensure mathematical hygiene, intuitive domain engineering to extract high-order signals, tournament machine learning to optimize hyperparameter topologies, cynical governance auditing to verify fairness, and executive storytelling to translate quantitative metrics into boardroom business value.</w:t>
      </w:r>
    </w:p>
    <w:p>
      <w:pPr>
        <w:spacing w:line="360" w:lineRule="auto" w:after="120"/>
        <w:jc w:val="both"/>
      </w:pPr>
      <w:r>
        <w:rPr>
          <w:rFonts w:ascii="Times New Roman" w:hAnsi="Times New Roman"/>
          <w:color w:val="111827"/>
          <w:sz w:val="24"/>
        </w:rPr>
        <w:t>In industry, these responsibilities are divided among distinct human professionals: Data Engineers, Research Statisticians, Machine Learning Engineers, Model Risk Governance Officers, and Management Consultants. However, this human division of labor introduces catastrophic friction: handoff latencies, misaligned statistical assumptions, loss of context between preprocessing and modeling, and unintentional data leakage. For example, a preprocessing engineer might normalize continuous variables using the global sample mean, inadvertently leaking holdout test distributions into training features—a fatal error that artificially inflates offline validation scores while guaranteeing degraded production inference.</w:t>
      </w:r>
    </w:p>
    <w:p>
      <w:pPr>
        <w:keepNext/>
        <w:spacing w:before="280" w:after="120"/>
        <w:jc w:val="left"/>
      </w:pPr>
      <w:r>
        <w:rPr>
          <w:rFonts w:ascii="Times New Roman" w:hAnsi="Times New Roman"/>
          <w:b/>
          <w:color w:val="1F2937"/>
          <w:sz w:val="26"/>
        </w:rPr>
        <w:t>1.2 Background &amp; Related Work: The Evolution of Autonomous Agents</w:t>
      </w:r>
    </w:p>
    <w:p>
      <w:pPr>
        <w:spacing w:line="360" w:lineRule="auto" w:after="120"/>
        <w:jc w:val="both"/>
      </w:pPr>
      <w:r>
        <w:rPr>
          <w:rFonts w:ascii="Times New Roman" w:hAnsi="Times New Roman"/>
          <w:color w:val="111827"/>
          <w:sz w:val="24"/>
        </w:rPr>
        <w:t>Recent advancements in Large Language Models (LLMs)—spanning GPT-4, Claude 3.5 Sonnet, and Gemini Pro—have catalyzed a paradigm shift from static conversational chatbots to autonomous agentic systems capable of executing tool calls, writing Python code, and interacting with file systems. Early efforts in automated data science can be categorized into three generations:</w:t>
      </w:r>
    </w:p>
    <w:p>
      <w:pPr>
        <w:pStyle w:val="ListBullet"/>
        <w:spacing w:line="312" w:lineRule="auto" w:after="80"/>
        <w:jc w:val="both"/>
      </w:pPr>
      <w:r>
        <w:rPr>
          <w:rFonts w:ascii="Times New Roman" w:hAnsi="Times New Roman"/>
          <w:b/>
          <w:sz w:val="24"/>
        </w:rPr>
        <w:t xml:space="preserve">1. First-Generation AutoML: </w:t>
      </w:r>
      <w:r>
        <w:rPr>
          <w:rFonts w:ascii="Times New Roman" w:hAnsi="Times New Roman"/>
          <w:sz w:val="24"/>
        </w:rPr>
        <w:t>First-Generation AutoML: Platforms such as Auto-sklearn, TPOT, and H2O AutoML automated algorithm selection and hyperparameter optimization using genetic algorithms or Bayesian search. However, they operate on strictly pre-cleaned tabular matrices, completely ignoring upstream SQL extraction, domain-specific text parsing, exploratory hypothesis testing, and executive narrative synthesis.</w:t>
      </w:r>
    </w:p>
    <w:p>
      <w:pPr>
        <w:pStyle w:val="ListBullet"/>
        <w:spacing w:line="312" w:lineRule="auto" w:after="80"/>
        <w:jc w:val="both"/>
      </w:pPr>
      <w:r>
        <w:rPr>
          <w:rFonts w:ascii="Times New Roman" w:hAnsi="Times New Roman"/>
          <w:b/>
          <w:sz w:val="24"/>
        </w:rPr>
        <w:t xml:space="preserve">2. Single-Agent Code Execution: </w:t>
      </w:r>
      <w:r>
        <w:rPr>
          <w:rFonts w:ascii="Times New Roman" w:hAnsi="Times New Roman"/>
          <w:sz w:val="24"/>
        </w:rPr>
        <w:t>Second-Generation Code-Execution Environments: OpenAI Advanced Data Analysis (formerly Code Interpreter) integrated Python REPL execution directly with single-agent LLM reasoning. While capable of plotting charts and computing regressions, single-agent models suffer from severe cognitive overloading: a single prompt context must balance schema exploration, feature creation, and model tuning, leading to frequent hallucination of statistical tests, unconstrained data leakage, and superficial executive summaries.</w:t>
      </w:r>
    </w:p>
    <w:p>
      <w:pPr>
        <w:pStyle w:val="ListBullet"/>
        <w:spacing w:line="312" w:lineRule="auto" w:after="80"/>
        <w:jc w:val="both"/>
      </w:pPr>
      <w:r>
        <w:rPr>
          <w:rFonts w:ascii="Times New Roman" w:hAnsi="Times New Roman"/>
          <w:b/>
          <w:sz w:val="24"/>
        </w:rPr>
        <w:t xml:space="preserve">3. Multi-Agent Frameworks: </w:t>
      </w:r>
      <w:r>
        <w:rPr>
          <w:rFonts w:ascii="Times New Roman" w:hAnsi="Times New Roman"/>
          <w:sz w:val="24"/>
        </w:rPr>
        <w:t>Third-Generation Multi-Agent Systems: Frameworks such as AutoGen, CrewAI, and MetaGPT introduced collaborative agent teams. However, existing multi-agent platforms suffer from a critical flaw: unconstrained mutual affirmation. Agents tend to echo each other's hallucinations without rigorous adversarial cross-examination, lack domain-hardened statistical invariants, and frequently fail to produce deployable, leak-free pipeline artifacts.</w:t>
      </w:r>
    </w:p>
    <w:p>
      <w:pPr>
        <w:spacing w:line="360" w:lineRule="auto" w:after="120"/>
        <w:jc w:val="both"/>
      </w:pPr>
      <w:r>
        <w:rPr>
          <w:rFonts w:ascii="Times New Roman" w:hAnsi="Times New Roman"/>
          <w:color w:val="111827"/>
          <w:sz w:val="24"/>
        </w:rPr>
        <w:t>Table 1.1 highlights the structural limitations of existing systems compared to the architectural principles of ARIA.</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16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Paradigm</w:t>
            </w:r>
          </w:p>
        </w:tc>
        <w:tc>
          <w:tcPr>
            <w:tcW w:type="dxa" w:w="1728"/>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Specialist Persona</w:t>
            </w:r>
          </w:p>
        </w:tc>
        <w:tc>
          <w:tcPr>
            <w:tcW w:type="dxa" w:w="1728"/>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Leakage Guardrails</w:t>
            </w:r>
          </w:p>
        </w:tc>
        <w:tc>
          <w:tcPr>
            <w:tcW w:type="dxa" w:w="1728"/>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Adversarial Review</w:t>
            </w:r>
          </w:p>
        </w:tc>
        <w:tc>
          <w:tcPr>
            <w:tcW w:type="dxa" w:w="1685"/>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Executive Interface</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Traditional AutoML (H2O)</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No (Black Box)</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Partial</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None</w:t>
            </w:r>
          </w:p>
        </w:tc>
        <w:tc>
          <w:tcPr>
            <w:tcW w:type="dxa" w:w="1685"/>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Raw Metrics Only</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Single-Agent LLM (OpenAI ADA)</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No (Generalist)</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None (High Risk)</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None (Echo Chamber)</w:t>
            </w:r>
          </w:p>
        </w:tc>
        <w:tc>
          <w:tcPr>
            <w:tcW w:type="dxa" w:w="1685"/>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Basic Chat</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Standard Multi-Agent (CrewAI)</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Surface-Level</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None</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Collaborative Only</w:t>
            </w:r>
          </w:p>
        </w:tc>
        <w:tc>
          <w:tcPr>
            <w:tcW w:type="dxa" w:w="1685"/>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Chat Logs</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ARIA Framework (Proposed)</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8 Domain Specialists</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Strict (OOF / Partition)</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Adversarial Council</w:t>
            </w:r>
          </w:p>
        </w:tc>
        <w:tc>
          <w:tcPr>
            <w:tcW w:type="dxa" w:w="1685"/>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Major-Domo (Alfred)</w:t>
            </w:r>
          </w:p>
        </w:tc>
      </w:tr>
    </w:tbl>
    <w:p>
      <w:pPr>
        <w:spacing w:after="120"/>
      </w:pPr>
    </w:p>
    <w:p>
      <w:pPr>
        <w:keepNext/>
        <w:spacing w:before="280" w:after="120"/>
        <w:jc w:val="left"/>
      </w:pPr>
      <w:r>
        <w:rPr>
          <w:rFonts w:ascii="Times New Roman" w:hAnsi="Times New Roman"/>
          <w:b/>
          <w:color w:val="1F2937"/>
          <w:sz w:val="26"/>
        </w:rPr>
        <w:t>1.3 Problem Statement &amp; Research Hypotheses</w:t>
      </w:r>
    </w:p>
    <w:p>
      <w:pPr>
        <w:spacing w:line="360" w:lineRule="auto" w:after="120"/>
        <w:jc w:val="both"/>
      </w:pPr>
      <w:r>
        <w:rPr>
          <w:rFonts w:ascii="Times New Roman" w:hAnsi="Times New Roman"/>
          <w:color w:val="111827"/>
          <w:sz w:val="24"/>
        </w:rPr>
        <w:t>Despite the promise of LLM-driven automation, enterprise organizations remain unable to deploy autonomous agents for high-stakes predictive analytics due to three unsolved challenges: (1) Cognitive Blurring: A single model cannot simultaneously embody the cynical skepticism of a risk auditor and the creative opportunism of a Kaggle grandmaster. (2) Covert Data Leakage: Naive scripting environments fit scalers, imputers, and group aggregations globally across train and test partitions. (3) The Absence of Adversarial Scrutiny: Without a formal debate protocol, flawed algorithmic choices pass uninspected into production.</w:t>
      </w:r>
    </w:p>
    <w:p>
      <w:pPr>
        <w:spacing w:line="360" w:lineRule="auto" w:after="120"/>
        <w:jc w:val="both"/>
      </w:pPr>
      <w:r>
        <w:rPr>
          <w:rFonts w:ascii="Times New Roman" w:hAnsi="Times New Roman"/>
          <w:b/>
          <w:color w:val="111827"/>
          <w:sz w:val="24"/>
        </w:rPr>
        <w:t xml:space="preserve">Hypothesis 1 (Persona Specialization): </w:t>
      </w:r>
      <w:r>
        <w:rPr>
          <w:rFonts w:ascii="Times New Roman" w:hAnsi="Times New Roman"/>
          <w:color w:val="111827"/>
          <w:sz w:val="24"/>
        </w:rPr>
        <w:t>Hypothesis 1: Deconstructing the Data Science lifecycle into eight specialized personas inspired by historical domain masters eliminates prompt interference and produces higher-fidelity code artifacts.</w:t>
      </w:r>
    </w:p>
    <w:p>
      <w:pPr>
        <w:spacing w:line="360" w:lineRule="auto" w:after="120"/>
        <w:jc w:val="both"/>
      </w:pPr>
      <w:r>
        <w:rPr>
          <w:rFonts w:ascii="Times New Roman" w:hAnsi="Times New Roman"/>
          <w:b/>
          <w:color w:val="111827"/>
          <w:sz w:val="24"/>
        </w:rPr>
        <w:t xml:space="preserve">Hypothesis 2 (Adversarial Peer Review): </w:t>
      </w:r>
      <w:r>
        <w:rPr>
          <w:rFonts w:ascii="Times New Roman" w:hAnsi="Times New Roman"/>
          <w:color w:val="111827"/>
          <w:sz w:val="24"/>
        </w:rPr>
        <w:t>Hypothesis 2: Introducing an Adversarial Council Roundtable Protocol—where specialists actively challenge and cross-examine proposals from statistical, pipeline, modeling, and governance perspectives—identifies and eliminates 100% of data leakage vectors before model training.</w:t>
      </w:r>
    </w:p>
    <w:p>
      <w:pPr>
        <w:spacing w:line="360" w:lineRule="auto" w:after="120"/>
        <w:jc w:val="both"/>
      </w:pPr>
      <w:r>
        <w:rPr>
          <w:rFonts w:ascii="Times New Roman" w:hAnsi="Times New Roman"/>
          <w:b/>
          <w:color w:val="111827"/>
          <w:sz w:val="24"/>
        </w:rPr>
        <w:t xml:space="preserve">Hypothesis 3 (Concierge Orchestration): </w:t>
      </w:r>
      <w:r>
        <w:rPr>
          <w:rFonts w:ascii="Times New Roman" w:hAnsi="Times New Roman"/>
          <w:color w:val="111827"/>
          <w:sz w:val="24"/>
        </w:rPr>
        <w:t>Hypothesis 3: Mediating specialist complexity through a unified executive major-domo concierge ('Alfred') allows non-technical stakeholders to orchestrate enterprise ML lifecycles using casual natural language while guaranteeing publication-grade Word deliverables.</w:t>
      </w:r>
    </w:p>
    <w:p>
      <w:pPr>
        <w:keepNext/>
        <w:spacing w:before="280" w:after="120"/>
        <w:jc w:val="left"/>
      </w:pPr>
      <w:r>
        <w:rPr>
          <w:rFonts w:ascii="Times New Roman" w:hAnsi="Times New Roman"/>
          <w:b/>
          <w:color w:val="1F2937"/>
          <w:sz w:val="26"/>
        </w:rPr>
        <w:t>1.4 Research Objectives</w:t>
      </w:r>
    </w:p>
    <w:p>
      <w:pPr>
        <w:spacing w:line="360" w:lineRule="auto" w:after="120"/>
        <w:jc w:val="both"/>
      </w:pPr>
      <w:r>
        <w:rPr>
          <w:rFonts w:ascii="Times New Roman" w:hAnsi="Times New Roman"/>
          <w:color w:val="111827"/>
          <w:sz w:val="24"/>
        </w:rPr>
        <w:t>To validate these hypotheses, this dissertation accomplishes the following research objectives:</w:t>
      </w:r>
    </w:p>
    <w:p>
      <w:pPr>
        <w:pStyle w:val="ListBullet"/>
        <w:spacing w:line="312" w:lineRule="auto" w:after="80"/>
        <w:jc w:val="both"/>
      </w:pPr>
      <w:r>
        <w:rPr>
          <w:rFonts w:ascii="Times New Roman" w:hAnsi="Times New Roman"/>
          <w:sz w:val="24"/>
        </w:rPr>
        <w:t>Design and formalize the ARIA architectural spine, establishing eight specialized agent personas with dedicated behavioral signatures and philosophical mentor groundings.</w:t>
      </w:r>
    </w:p>
    <w:p>
      <w:pPr>
        <w:pStyle w:val="ListBullet"/>
        <w:spacing w:line="312" w:lineRule="auto" w:after="80"/>
        <w:jc w:val="both"/>
      </w:pPr>
      <w:r>
        <w:rPr>
          <w:rFonts w:ascii="Times New Roman" w:hAnsi="Times New Roman"/>
          <w:sz w:val="24"/>
        </w:rPr>
        <w:t>Develop the ARIA Council Protocol—a structured, multi-agent adversarial peer-review mechanism that gates analytical proposals through competitive debate prior to execution.</w:t>
      </w:r>
    </w:p>
    <w:p>
      <w:pPr>
        <w:pStyle w:val="ListBullet"/>
        <w:spacing w:line="312" w:lineRule="auto" w:after="80"/>
        <w:jc w:val="both"/>
      </w:pPr>
      <w:r>
        <w:rPr>
          <w:rFonts w:ascii="Times New Roman" w:hAnsi="Times New Roman"/>
          <w:sz w:val="24"/>
        </w:rPr>
        <w:t>Engineer strict architectural invariants, including a zero-leakage cross-validation isolation harness, deterministic joblib pipeline serialization, and a zero raw LaTeX formatting standard.</w:t>
      </w:r>
    </w:p>
    <w:p>
      <w:pPr>
        <w:pStyle w:val="ListBullet"/>
        <w:spacing w:line="312" w:lineRule="auto" w:after="80"/>
        <w:jc w:val="both"/>
      </w:pPr>
      <w:r>
        <w:rPr>
          <w:rFonts w:ascii="Times New Roman" w:hAnsi="Times New Roman"/>
          <w:sz w:val="24"/>
        </w:rPr>
        <w:t>Implement Alfred, an executive concierge orchestrator that manages conversational flow, user preferences, dynamic routing, and human confirmation gates.</w:t>
      </w:r>
    </w:p>
    <w:p>
      <w:pPr>
        <w:pStyle w:val="ListBullet"/>
        <w:spacing w:line="312" w:lineRule="auto" w:after="80"/>
        <w:jc w:val="both"/>
      </w:pPr>
      <w:r>
        <w:rPr>
          <w:rFonts w:ascii="Times New Roman" w:hAnsi="Times New Roman"/>
          <w:sz w:val="24"/>
        </w:rPr>
        <w:t>Conduct rigorous empirical benchmarks and ablation studies across canonical datasets (Titanic, Telco Churn, Credit Risk) to evaluate predictive performance, data leakage immunity, and computational efficiency.</w:t>
      </w:r>
    </w:p>
    <w:p>
      <w:pPr>
        <w:keepNext/>
        <w:spacing w:before="280" w:after="120"/>
        <w:jc w:val="left"/>
      </w:pPr>
      <w:r>
        <w:rPr>
          <w:rFonts w:ascii="Times New Roman" w:hAnsi="Times New Roman"/>
          <w:b/>
          <w:color w:val="1F2937"/>
          <w:sz w:val="26"/>
        </w:rPr>
        <w:t>1.5 Dissertation Organization</w:t>
      </w:r>
    </w:p>
    <w:p>
      <w:pPr>
        <w:spacing w:line="360" w:lineRule="auto" w:after="120"/>
        <w:jc w:val="both"/>
      </w:pPr>
      <w:r>
        <w:rPr>
          <w:rFonts w:ascii="Times New Roman" w:hAnsi="Times New Roman"/>
          <w:color w:val="111827"/>
          <w:sz w:val="24"/>
        </w:rPr>
        <w:t>The remainder of this dissertation is organized as follows: Chapter 2 details the System Architecture and Multi-Agent Design of ARIA, detailing the eight specialist personas, the Alfred concierge engine, and the Council Protocol. Chapter 3 presents the Implementation Methodology, Software Stack, Experimental Benchmark Setup, and Comprehensive Ablation Results. Finally, Chapter 4 summarizes our scientific contributions, outlines enterprise MLOps implications, addresses current limitations, and charts future research trajectories.</w:t>
      </w:r>
    </w:p>
    <w:p>
      <w:r>
        <w:br w:type="page"/>
      </w:r>
    </w:p>
    <w:p>
      <w:pPr>
        <w:keepNext/>
        <w:spacing w:before="360" w:after="160"/>
        <w:jc w:val="left"/>
      </w:pPr>
      <w:r>
        <w:rPr>
          <w:rFonts w:ascii="Times New Roman" w:hAnsi="Times New Roman"/>
          <w:b/>
          <w:color w:val="1E3A8A"/>
          <w:sz w:val="30"/>
        </w:rPr>
        <w:t>CHAPTER 2: SYSTEM ARCHITECTURE &amp; MULTI-AGENT DESIGN</w:t>
      </w:r>
    </w:p>
    <w:p>
      <w:pPr>
        <w:keepNext/>
        <w:spacing w:before="280" w:after="120"/>
        <w:jc w:val="left"/>
      </w:pPr>
      <w:r>
        <w:rPr>
          <w:rFonts w:ascii="Times New Roman" w:hAnsi="Times New Roman"/>
          <w:b/>
          <w:color w:val="1F2937"/>
          <w:sz w:val="26"/>
        </w:rPr>
        <w:t>2.1 Architectural Spine &amp; Core Philosophical Invariants</w:t>
      </w:r>
    </w:p>
    <w:p>
      <w:pPr>
        <w:spacing w:line="360" w:lineRule="auto" w:after="120"/>
        <w:jc w:val="both"/>
      </w:pPr>
      <w:r>
        <w:rPr>
          <w:rFonts w:ascii="Times New Roman" w:hAnsi="Times New Roman"/>
          <w:color w:val="111827"/>
          <w:sz w:val="24"/>
        </w:rPr>
        <w:t>The architecture of ARIA is constructed upon a foundational principle: autonomous data science cannot succeed as an unconstrained monolithic generation task. Instead, it must operate as a disciplined spine of invariant-preserving, stage-gated transformations. In classical software engineering, pipelines enforce strong typing and hermetic builds; in ARIA, we formalize the Data Science Lifecycle through an artifact-driven state machine where each transition between analytical stages is mediated by explicit Parquet contracts, serializable pipeline definitions, and self-verifying test assertions.</w:t>
      </w:r>
    </w:p>
    <w:p>
      <w:pPr>
        <w:spacing w:line="360" w:lineRule="auto" w:after="120"/>
        <w:jc w:val="both"/>
      </w:pPr>
      <w:r>
        <w:rPr>
          <w:rFonts w:ascii="Times New Roman" w:hAnsi="Times New Roman"/>
          <w:color w:val="111827"/>
          <w:sz w:val="24"/>
        </w:rPr>
        <w:t>Figure 2.1 illustrates the architectural topology of ARIA. The framework segregates cognitive responsibilities into three distinct layers: (1) The Concierge &amp; Orchestration Layer, (2) The Specialist Execution Layer, and (3) The Adversarial Governance &amp; Council Layer.</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Architectural Layer</w:t>
            </w:r>
          </w:p>
        </w:tc>
        <w:tc>
          <w:tcPr>
            <w:tcW w:type="dxa" w:w="3168"/>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Assigned Specialist</w:t>
            </w:r>
          </w:p>
        </w:tc>
        <w:tc>
          <w:tcPr>
            <w:tcW w:type="dxa" w:w="3701"/>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Core Functional Invariant</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Concierge Layer</w:t>
            </w:r>
          </w:p>
        </w:tc>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Alfred (Executive Concierge &amp; Major-Domo)</w:t>
            </w:r>
          </w:p>
        </w:tc>
        <w:tc>
          <w:tcPr>
            <w:tcW w:type="dxa" w:w="370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Conversational interface, casual intent parsing, human confirmation gates.</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Ingestion Layer</w:t>
            </w:r>
          </w:p>
        </w:tc>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Arthur (Source Discovery) + Silas (SQL / DuckDB)</w:t>
            </w:r>
          </w:p>
        </w:tc>
        <w:tc>
          <w:tcPr>
            <w:tcW w:type="dxa" w:w="370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Catalog navigation, ER schema mapping, sargable CTE query execution.</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Exploration Layer</w:t>
            </w:r>
          </w:p>
        </w:tc>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Maya (EDA &amp; Distributions)</w:t>
            </w:r>
          </w:p>
        </w:tc>
        <w:tc>
          <w:tcPr>
            <w:tcW w:type="dxa" w:w="370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Tukey statistical moments, VIF collinearity, MCAR missingness tests, UMAP.</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Hygiene Layer</w:t>
            </w:r>
          </w:p>
        </w:tc>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Leo (Leak-Free Preprocessing)</w:t>
            </w:r>
          </w:p>
        </w:tc>
        <w:tc>
          <w:tcPr>
            <w:tcW w:type="dxa" w:w="370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Deming quality principles, train/test split isolation, ColumnTransformer serialization.</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Signal Layer</w:t>
            </w:r>
          </w:p>
        </w:tc>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Priya (Feature Engineering)</w:t>
            </w:r>
          </w:p>
        </w:tc>
        <w:tc>
          <w:tcPr>
            <w:tcW w:type="dxa" w:w="370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Kaggle Grandmaster tactics, cyclical encoding, Out-of-Fold target aggregations.</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Tournament Layer</w:t>
            </w:r>
          </w:p>
        </w:tc>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Julian (Modeling &amp; Optuna)</w:t>
            </w:r>
          </w:p>
        </w:tc>
        <w:tc>
          <w:tcPr>
            <w:tcW w:type="dxa" w:w="370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Breiman bagging &amp; gradient boosting tournament, TPE Bayesian hyperparameter tuning.</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Auditing Layer</w:t>
            </w:r>
          </w:p>
        </w:tc>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Elena (Model Evaluation &amp; Governance)</w:t>
            </w:r>
          </w:p>
        </w:tc>
        <w:tc>
          <w:tcPr>
            <w:tcW w:type="dxa" w:w="370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Rudin white-box scrutiny, SHAP beeswarm attributions, cohort error slicing.</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Storytelling Layer</w:t>
            </w:r>
          </w:p>
        </w:tc>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Marcus (Executive Storytelling)</w:t>
            </w:r>
          </w:p>
        </w:tc>
        <w:tc>
          <w:tcPr>
            <w:tcW w:type="dxa" w:w="370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Tufte data-to-ink ratio, Anthropic DOCX compilation, slide deck authoring.</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Council Layer</w:t>
            </w:r>
          </w:p>
        </w:tc>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The ARIA Council (Adversarial Roundtable)</w:t>
            </w:r>
          </w:p>
        </w:tc>
        <w:tc>
          <w:tcPr>
            <w:tcW w:type="dxa" w:w="370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Multi-agent cross-examination of complex, high-stakes hypotheses.</w:t>
            </w:r>
          </w:p>
        </w:tc>
      </w:tr>
    </w:tbl>
    <w:p>
      <w:pPr>
        <w:spacing w:after="120"/>
      </w:pPr>
    </w:p>
    <w:p>
      <w:pPr>
        <w:keepNext/>
        <w:spacing w:before="280" w:after="120"/>
        <w:jc w:val="left"/>
      </w:pPr>
      <w:r>
        <w:rPr>
          <w:rFonts w:ascii="Times New Roman" w:hAnsi="Times New Roman"/>
          <w:b/>
          <w:color w:val="1F2937"/>
          <w:sz w:val="26"/>
        </w:rPr>
        <w:t>2.2 The Executive Liaison: Alfred the Major-Domo Orchestrator</w:t>
      </w:r>
    </w:p>
    <w:p>
      <w:pPr>
        <w:spacing w:line="360" w:lineRule="auto" w:after="120"/>
        <w:jc w:val="both"/>
      </w:pPr>
      <w:r>
        <w:rPr>
          <w:rFonts w:ascii="Times New Roman" w:hAnsi="Times New Roman"/>
          <w:color w:val="111827"/>
          <w:sz w:val="24"/>
        </w:rPr>
        <w:t>One of the primary friction points of modern AI tools is the user experience burden. Non-technical executives, product managers, and senior researchers often struggle with brittle prompt engineering, complex syntax flags, or navigating fragmented file trees. To solve this, ARIA introduces Alfred, an executive concierge and major-domo inspired by the quintessential British butler (Alfred Pennyworth) combined with the proactive computational intelligence of JARVIS.</w:t>
      </w:r>
    </w:p>
    <w:p>
      <w:pPr>
        <w:spacing w:line="360" w:lineRule="auto" w:after="120"/>
        <w:jc w:val="both"/>
      </w:pPr>
      <w:r>
        <w:rPr>
          <w:rFonts w:ascii="Times New Roman" w:hAnsi="Times New Roman"/>
          <w:color w:val="111827"/>
          <w:sz w:val="24"/>
        </w:rPr>
        <w:t>Alfred serves as the sole direct interlocutor between the human user and the underlying specialist agents. Operating with polished courtesy, warmth, and quiet dignity, Alfred performs three vital orchestration functions:</w:t>
      </w:r>
    </w:p>
    <w:p>
      <w:pPr>
        <w:pStyle w:val="ListBullet"/>
        <w:spacing w:line="312" w:lineRule="auto" w:after="80"/>
        <w:jc w:val="both"/>
      </w:pPr>
      <w:r>
        <w:rPr>
          <w:rFonts w:ascii="Times New Roman" w:hAnsi="Times New Roman"/>
          <w:b/>
          <w:sz w:val="24"/>
        </w:rPr>
        <w:t xml:space="preserve">1. Effortless Delegation: </w:t>
      </w:r>
      <w:r>
        <w:rPr>
          <w:rFonts w:ascii="Times New Roman" w:hAnsi="Times New Roman"/>
          <w:sz w:val="24"/>
        </w:rPr>
        <w:t>Effortless Delegation &amp; Intent Parsing: The user communicates in natural, casual language ('Alfred, check the users in that database and see who is burning out'). Alfred interprets the latent data science task, decomposes the analytical objectives, and commissions Silas and Maya behind the scenes without requiring the user to specify table joins or statistical methods.</w:t>
      </w:r>
    </w:p>
    <w:p>
      <w:pPr>
        <w:pStyle w:val="ListBullet"/>
        <w:spacing w:line="312" w:lineRule="auto" w:after="80"/>
        <w:jc w:val="both"/>
      </w:pPr>
      <w:r>
        <w:rPr>
          <w:rFonts w:ascii="Times New Roman" w:hAnsi="Times New Roman"/>
          <w:b/>
          <w:sz w:val="24"/>
        </w:rPr>
        <w:t xml:space="preserve">2. Attentive Companionship: </w:t>
      </w:r>
      <w:r>
        <w:rPr>
          <w:rFonts w:ascii="Times New Roman" w:hAnsi="Times New Roman"/>
          <w:sz w:val="24"/>
        </w:rPr>
        <w:t>Contextual Companionship &amp; Cognitive Relief: Alfred monitors the cadence of analytical work, provides reassuring updates, manages personal preferences, and gracefully handles unexpected data exceptions without exposing raw stack traces to the user.</w:t>
      </w:r>
    </w:p>
    <w:p>
      <w:pPr>
        <w:pStyle w:val="ListBullet"/>
        <w:spacing w:line="312" w:lineRule="auto" w:after="80"/>
        <w:jc w:val="both"/>
      </w:pPr>
      <w:r>
        <w:rPr>
          <w:rFonts w:ascii="Times New Roman" w:hAnsi="Times New Roman"/>
          <w:b/>
          <w:sz w:val="24"/>
        </w:rPr>
        <w:t xml:space="preserve">3. Human-in-the-Loop Gate: </w:t>
      </w:r>
      <w:r>
        <w:rPr>
          <w:rFonts w:ascii="Times New Roman" w:hAnsi="Times New Roman"/>
          <w:sz w:val="24"/>
        </w:rPr>
        <w:t>The Mandatory Human Confirmation Gate: In accordance with high-stakes enterprise governance, Alfred enforces an inviolable rule: no final client Word (.docx) deliverable is ever published without presenting an executive summary preview and soliciting explicit user sign-off.</w:t>
      </w:r>
    </w:p>
    <w:p>
      <w:pPr>
        <w:keepNext/>
        <w:spacing w:before="280" w:after="120"/>
        <w:jc w:val="left"/>
      </w:pPr>
      <w:r>
        <w:rPr>
          <w:rFonts w:ascii="Times New Roman" w:hAnsi="Times New Roman"/>
          <w:b/>
          <w:color w:val="1F2937"/>
          <w:sz w:val="26"/>
        </w:rPr>
        <w:t>2.3 The Roster of Specialized Domain Agents</w:t>
      </w:r>
    </w:p>
    <w:p>
      <w:pPr>
        <w:spacing w:line="360" w:lineRule="auto" w:after="120"/>
        <w:jc w:val="both"/>
      </w:pPr>
      <w:r>
        <w:rPr>
          <w:rFonts w:ascii="Times New Roman" w:hAnsi="Times New Roman"/>
          <w:color w:val="111827"/>
          <w:sz w:val="24"/>
        </w:rPr>
        <w:t>To avoid the cognitive blurring that plagues generalist LLMs, ARIA establishes eight dedicated specialist agents. Each agent is equipped with a distinct behavioral signature, a curated prompt kernel, and foundational grounding in the published philosophy of a legendary pioneer:</w:t>
      </w:r>
    </w:p>
    <w:p>
      <w:pPr>
        <w:keepNext/>
        <w:spacing w:before="200" w:after="80"/>
        <w:jc w:val="left"/>
      </w:pPr>
      <w:r>
        <w:rPr>
          <w:rFonts w:ascii="Times New Roman" w:hAnsi="Times New Roman"/>
          <w:b/>
          <w:i/>
          <w:color w:val="374151"/>
          <w:sz w:val="24"/>
        </w:rPr>
        <w:t>2.3.1 Arthur (Ralph Kimball): Data Source Discovery &amp; Catalog Navigation</w:t>
      </w:r>
    </w:p>
    <w:p>
      <w:pPr>
        <w:spacing w:line="360" w:lineRule="auto" w:after="120"/>
        <w:jc w:val="both"/>
      </w:pPr>
      <w:r>
        <w:rPr>
          <w:rFonts w:ascii="Times New Roman" w:hAnsi="Times New Roman"/>
          <w:color w:val="111827"/>
          <w:sz w:val="24"/>
        </w:rPr>
        <w:t>Inspired by Ralph Kimball, the pioneer of dimensional modeling, Arthur navigates enterprise data catalogs, parses entity-relationship (ER) schemas, identifies fact and dimension tables, and pinpoints candidate sources for any business inquiry. Arthur produces 'data/source_discovery_manifest.md', outlining primary keys, foreign key joins, and grain definitions.</w:t>
      </w:r>
    </w:p>
    <w:p>
      <w:pPr>
        <w:keepNext/>
        <w:spacing w:before="200" w:after="80"/>
        <w:jc w:val="left"/>
      </w:pPr>
      <w:r>
        <w:rPr>
          <w:rFonts w:ascii="Times New Roman" w:hAnsi="Times New Roman"/>
          <w:b/>
          <w:i/>
          <w:color w:val="374151"/>
          <w:sz w:val="24"/>
        </w:rPr>
        <w:t>2.3.2 Silas (Joe Celko): SQL Architecture &amp; High-Performance Extraction</w:t>
      </w:r>
    </w:p>
    <w:p>
      <w:pPr>
        <w:spacing w:line="360" w:lineRule="auto" w:after="120"/>
        <w:jc w:val="both"/>
      </w:pPr>
      <w:r>
        <w:rPr>
          <w:rFonts w:ascii="Times New Roman" w:hAnsi="Times New Roman"/>
          <w:color w:val="111827"/>
          <w:sz w:val="24"/>
        </w:rPr>
        <w:t>Inspired by Joe Celko, author of 'SQL for Smarties', Silas writes optimized, production-grade SQL utilizing Common Table Expressions (CTEs), window functions, and sargable filters. Silas executes queries against DuckDB, PostgreSQL, or Snowflake, enforcing zero 'SELECT *' policies and safe division (NULLIF) to export clean Parquet extracts to 'data/raw/'.</w:t>
      </w:r>
    </w:p>
    <w:p>
      <w:pPr>
        <w:keepNext/>
        <w:spacing w:before="200" w:after="80"/>
        <w:jc w:val="left"/>
      </w:pPr>
      <w:r>
        <w:rPr>
          <w:rFonts w:ascii="Times New Roman" w:hAnsi="Times New Roman"/>
          <w:b/>
          <w:i/>
          <w:color w:val="374151"/>
          <w:sz w:val="24"/>
        </w:rPr>
        <w:t>2.3.3 Maya (John Tukey): Exploratory Data Analysis &amp; Distribution Profiling</w:t>
      </w:r>
    </w:p>
    <w:p>
      <w:pPr>
        <w:spacing w:line="360" w:lineRule="auto" w:after="120"/>
        <w:jc w:val="both"/>
      </w:pPr>
      <w:r>
        <w:rPr>
          <w:rFonts w:ascii="Times New Roman" w:hAnsi="Times New Roman"/>
          <w:color w:val="111827"/>
          <w:sz w:val="24"/>
        </w:rPr>
        <w:t>Inspired by John Tukey, the father of Exploratory Data Analysis, and Florence Nightingale, Maya champions distribution honesty. She computes higher-order moments (skewness, kurtosis), diagnoses multicollinearity via Variance Inflation Factors (VIF), conducts Little's MCAR tests on missingness, and executes UMAP high-dimensional manifold projections. She hands off 'data/data_understanding_report.md' and publication-grade EDA visualizations.</w:t>
      </w:r>
    </w:p>
    <w:p>
      <w:pPr>
        <w:keepNext/>
        <w:spacing w:before="200" w:after="80"/>
        <w:jc w:val="left"/>
      </w:pPr>
      <w:r>
        <w:rPr>
          <w:rFonts w:ascii="Times New Roman" w:hAnsi="Times New Roman"/>
          <w:b/>
          <w:i/>
          <w:color w:val="374151"/>
          <w:sz w:val="24"/>
        </w:rPr>
        <w:t>2.3.4 Leo (W. Edwards Deming): Data Cleaning &amp; Leak-Free Preprocessing</w:t>
      </w:r>
    </w:p>
    <w:p>
      <w:pPr>
        <w:spacing w:line="360" w:lineRule="auto" w:after="120"/>
        <w:jc w:val="both"/>
      </w:pPr>
      <w:r>
        <w:rPr>
          <w:rFonts w:ascii="Times New Roman" w:hAnsi="Times New Roman"/>
          <w:color w:val="111827"/>
          <w:sz w:val="24"/>
        </w:rPr>
        <w:t>Inspired by W. Edwards Deming and total quality management, Leo treats data preprocessing as a zero-defect manufacturing process. His golden rule is strict partition isolation: preprocessors (StandardScaler, IterativeImputer, TargetEncoder) fit strictly on training data and transform test data. Leo serializes the end-to-end ColumnTransformer pipeline to 'models/preprocessor.joblib' and exports cleaned Parquet matrices.</w:t>
      </w:r>
    </w:p>
    <w:p>
      <w:pPr>
        <w:keepNext/>
        <w:spacing w:before="200" w:after="80"/>
        <w:jc w:val="left"/>
      </w:pPr>
      <w:r>
        <w:rPr>
          <w:rFonts w:ascii="Times New Roman" w:hAnsi="Times New Roman"/>
          <w:b/>
          <w:i/>
          <w:color w:val="374151"/>
          <w:sz w:val="24"/>
        </w:rPr>
        <w:t>2.3.5 Priya (Kaggle Grandmaster): Feature Engineering Architect</w:t>
      </w:r>
    </w:p>
    <w:p>
      <w:pPr>
        <w:spacing w:line="360" w:lineRule="auto" w:after="120"/>
        <w:jc w:val="both"/>
      </w:pPr>
      <w:r>
        <w:rPr>
          <w:rFonts w:ascii="Times New Roman" w:hAnsi="Times New Roman"/>
          <w:color w:val="111827"/>
          <w:sz w:val="24"/>
        </w:rPr>
        <w:t>Inspired by top-ranked Kaggle Grandmasters, Priya extracts non-linear domain signals that algorithms cannot learn on their own. She constructs continuous trigonometric cyclical time encodings (sin/cos), computes Out-of-Fold (OOF) target aggregations without lookahead bias, and executes a 4-stage feature selection cascade (Variance -&gt; Collinearity -&gt; Mutual Information -&gt; RFECV), saving feature matrices to 'data/features/'.</w:t>
      </w:r>
    </w:p>
    <w:p>
      <w:pPr>
        <w:keepNext/>
        <w:spacing w:before="200" w:after="80"/>
        <w:jc w:val="left"/>
      </w:pPr>
      <w:r>
        <w:rPr>
          <w:rFonts w:ascii="Times New Roman" w:hAnsi="Times New Roman"/>
          <w:b/>
          <w:i/>
          <w:color w:val="374151"/>
          <w:sz w:val="24"/>
        </w:rPr>
        <w:t>2.3.6 Julian (Leo Breiman &amp; Tianqi Chen): Machine Learning Tournament &amp; Optuna Tuning</w:t>
      </w:r>
    </w:p>
    <w:p>
      <w:pPr>
        <w:spacing w:line="360" w:lineRule="auto" w:after="120"/>
        <w:jc w:val="both"/>
      </w:pPr>
      <w:r>
        <w:rPr>
          <w:rFonts w:ascii="Times New Roman" w:hAnsi="Times New Roman"/>
          <w:color w:val="111827"/>
          <w:sz w:val="24"/>
        </w:rPr>
        <w:t>Inspired by Leo Breiman (Random Forests) and Tianqi Chen (XGBoost), Julian believes in empirical tournaments over algorithmic dogma. He benchmarks candidate algorithms (Linear, Random Forest, HistGradientBoosting, LightGBM, XGBoost, CatBoost) under identical stratified cross-validation, optimizes hyperparameters using Optuna's Tree-Structured Parzen Estimator (TPE), and enforces strict regularization if the Generalization Gap (Train Score - CV Score) exceeds 0.10.</w:t>
      </w:r>
    </w:p>
    <w:p>
      <w:pPr>
        <w:keepNext/>
        <w:spacing w:before="200" w:after="80"/>
        <w:jc w:val="left"/>
      </w:pPr>
      <w:r>
        <w:rPr>
          <w:rFonts w:ascii="Times New Roman" w:hAnsi="Times New Roman"/>
          <w:b/>
          <w:i/>
          <w:color w:val="374151"/>
          <w:sz w:val="24"/>
        </w:rPr>
        <w:t>2.3.7 Elena (Cynthia Rudin &amp; Scott Lundberg): Model Evaluation &amp; Governance Auditor</w:t>
      </w:r>
    </w:p>
    <w:p>
      <w:pPr>
        <w:spacing w:line="360" w:lineRule="auto" w:after="120"/>
        <w:jc w:val="both"/>
      </w:pPr>
      <w:r>
        <w:rPr>
          <w:rFonts w:ascii="Times New Roman" w:hAnsi="Times New Roman"/>
          <w:color w:val="111827"/>
          <w:sz w:val="24"/>
        </w:rPr>
        <w:t>Inspired by Cynthia Rudin (interpretable ML) and Scott Lundberg (SHAP), Elena is the cynical auditor who red-teams every champion model. She audits Precision-Recall AUC (PR-AUC), Brier score calibration, and conducts automated cohort error slicing across demographic subgroups. Using TreeSHAP beeswarm and waterfall attributions, she verifies that models make predictions for legitimate causal reasons rather than spurious proxies before issuing her governance verdict.</w:t>
      </w:r>
    </w:p>
    <w:p>
      <w:pPr>
        <w:keepNext/>
        <w:spacing w:before="200" w:after="80"/>
        <w:jc w:val="left"/>
      </w:pPr>
      <w:r>
        <w:rPr>
          <w:rFonts w:ascii="Times New Roman" w:hAnsi="Times New Roman"/>
          <w:b/>
          <w:i/>
          <w:color w:val="374151"/>
          <w:sz w:val="24"/>
        </w:rPr>
        <w:t>2.3.8 Marcus (Edward Tufte &amp; Barbara Minto): Executive Storytelling &amp; Publication</w:t>
      </w:r>
    </w:p>
    <w:p>
      <w:pPr>
        <w:spacing w:line="360" w:lineRule="auto" w:after="120"/>
        <w:jc w:val="both"/>
      </w:pPr>
      <w:r>
        <w:rPr>
          <w:rFonts w:ascii="Times New Roman" w:hAnsi="Times New Roman"/>
          <w:color w:val="111827"/>
          <w:sz w:val="24"/>
        </w:rPr>
        <w:t>Inspired by Edward Tufte and Barbara Minto, Marcus synthesizes complex quantitative findings into high-impact C-suite deliverables. He applies the Minto Pyramid Principle (Situation -&gt; Complication -&gt; Question -&gt; Answer), adheres to Tufte's data-to-ink ratio maximization, and compiles publication-grade Word (.docx) deliverables utilizing the Anthropic DOCX specification.</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584"/>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Specialist Agent</w:t>
            </w:r>
          </w:p>
        </w:tc>
        <w:tc>
          <w:tcPr>
            <w:tcW w:type="dxa" w:w="2016"/>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Philosophical Inspiration</w:t>
            </w:r>
          </w:p>
        </w:tc>
        <w:tc>
          <w:tcPr>
            <w:tcW w:type="dxa" w:w="3168"/>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Primary Mandate</w:t>
            </w:r>
          </w:p>
        </w:tc>
        <w:tc>
          <w:tcPr>
            <w:tcW w:type="dxa" w:w="2261"/>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Handoff Deliverable</w:t>
            </w:r>
          </w:p>
        </w:tc>
      </w:tr>
      <w:tr>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Arthur</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Ralph Kimball</w:t>
            </w:r>
          </w:p>
        </w:tc>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Data catalog navigation &amp; dimensional schema mapping</w:t>
            </w:r>
          </w:p>
        </w:tc>
        <w:tc>
          <w:tcPr>
            <w:tcW w:type="dxa" w:w="226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source_discovery_manifest.md</w:t>
            </w:r>
          </w:p>
        </w:tc>
      </w:tr>
      <w:tr>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Silas</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Joe Celko</w:t>
            </w:r>
          </w:p>
        </w:tc>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Optimized SQL CTE extraction via DuckDB / Parquet</w:t>
            </w:r>
          </w:p>
        </w:tc>
        <w:tc>
          <w:tcPr>
            <w:tcW w:type="dxa" w:w="226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data/raw/[dataset].parquet</w:t>
            </w:r>
          </w:p>
        </w:tc>
      </w:tr>
      <w:tr>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Maya</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John Tukey</w:t>
            </w:r>
          </w:p>
        </w:tc>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Multivariate statistical profiling, VIF, and MCAR tests</w:t>
            </w:r>
          </w:p>
        </w:tc>
        <w:tc>
          <w:tcPr>
            <w:tcW w:type="dxa" w:w="226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data_understanding_report.md</w:t>
            </w:r>
          </w:p>
        </w:tc>
      </w:tr>
      <w:tr>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Leo</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W. Edwards Deming</w:t>
            </w:r>
          </w:p>
        </w:tc>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Leak-free preprocessing &amp; ColumnTransformer serialization</w:t>
            </w:r>
          </w:p>
        </w:tc>
        <w:tc>
          <w:tcPr>
            <w:tcW w:type="dxa" w:w="226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models/preprocessor.joblib</w:t>
            </w:r>
          </w:p>
        </w:tc>
      </w:tr>
      <w:tr>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Priya</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Kaggle Grandmaster</w:t>
            </w:r>
          </w:p>
        </w:tc>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Cyclical transforms, OOF group statistics, RFECV</w:t>
            </w:r>
          </w:p>
        </w:tc>
        <w:tc>
          <w:tcPr>
            <w:tcW w:type="dxa" w:w="226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data/features/X_train.parquet</w:t>
            </w:r>
          </w:p>
        </w:tc>
      </w:tr>
      <w:tr>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Julian</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Leo Breiman &amp; Tianqi Chen</w:t>
            </w:r>
          </w:p>
        </w:tc>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Algorithm tournament &amp; Optuna Bayesian optimization</w:t>
            </w:r>
          </w:p>
        </w:tc>
        <w:tc>
          <w:tcPr>
            <w:tcW w:type="dxa" w:w="226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models/champion_model.joblib</w:t>
            </w:r>
          </w:p>
        </w:tc>
      </w:tr>
      <w:tr>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Elena</w:t>
            </w:r>
          </w:p>
        </w:tc>
        <w:tc>
          <w:tcPr>
            <w:tcW w:type="dxa" w:w="201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Cynthia Rudin</w:t>
            </w:r>
          </w:p>
        </w:tc>
        <w:tc>
          <w:tcPr>
            <w:tcW w:type="dxa" w:w="316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SHAP explainability, cohort fairness, governance audit</w:t>
            </w:r>
          </w:p>
        </w:tc>
        <w:tc>
          <w:tcPr>
            <w:tcW w:type="dxa" w:w="226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model_evaluation_report.md</w:t>
            </w:r>
          </w:p>
        </w:tc>
      </w:tr>
      <w:tr>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Marcus</w:t>
            </w:r>
          </w:p>
        </w:tc>
        <w:tc>
          <w:tcPr>
            <w:tcW w:type="dxa" w:w="201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Edward Tufte</w:t>
            </w:r>
          </w:p>
        </w:tc>
        <w:tc>
          <w:tcPr>
            <w:tcW w:type="dxa" w:w="316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Anthropic DOCX reports, slide decks, executive briefs</w:t>
            </w:r>
          </w:p>
        </w:tc>
        <w:tc>
          <w:tcPr>
            <w:tcW w:type="dxa" w:w="226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reports/published/[Report].docx</w:t>
            </w:r>
          </w:p>
        </w:tc>
      </w:tr>
    </w:tbl>
    <w:p>
      <w:pPr>
        <w:spacing w:after="120"/>
      </w:pPr>
    </w:p>
    <w:p>
      <w:pPr>
        <w:keepNext/>
        <w:spacing w:before="280" w:after="120"/>
        <w:jc w:val="left"/>
      </w:pPr>
      <w:r>
        <w:rPr>
          <w:rFonts w:ascii="Times New Roman" w:hAnsi="Times New Roman"/>
          <w:b/>
          <w:color w:val="1F2937"/>
          <w:sz w:val="26"/>
        </w:rPr>
        <w:t>2.4 The ARIA Council Protocol: Adversarial Peer Review Roundtable</w:t>
      </w:r>
    </w:p>
    <w:p>
      <w:pPr>
        <w:spacing w:line="360" w:lineRule="auto" w:after="120"/>
        <w:jc w:val="both"/>
      </w:pPr>
      <w:r>
        <w:rPr>
          <w:rFonts w:ascii="Times New Roman" w:hAnsi="Times New Roman"/>
          <w:color w:val="111827"/>
          <w:sz w:val="24"/>
        </w:rPr>
        <w:t>In traditional multi-agent systems, agents collaborate in a purely affirmative manner: if an agent proposes an approach, other agents offer polite validation. In high-stakes statistical modeling, this unconstrained agreement results in compound errors. For instance, an aggressive feature engineering proposal may produce high apparent correlation by incorporating future information, which a modeling agent gladly utilizes to achieve near-perfect cross-validation scores.</w:t>
      </w:r>
    </w:p>
    <w:p>
      <w:pPr>
        <w:spacing w:line="360" w:lineRule="auto" w:after="120"/>
        <w:jc w:val="both"/>
      </w:pPr>
      <w:r>
        <w:rPr>
          <w:rFonts w:ascii="Times New Roman" w:hAnsi="Times New Roman"/>
          <w:color w:val="111827"/>
          <w:sz w:val="24"/>
        </w:rPr>
        <w:t>To break this echo chamber, ARIA introduces the Council Protocol (ds-agent-council). The Council is governed by a strict Dynamic Gating Policy: routine, deterministic tasks (e.g. data inspection, direct queries, standard scaling) bypass the Council to avoid unnecessary overhead. However, whenever an analytical inquiry is complex, strategic, or ambiguous—regardless of the dataset—Alfred convenes the specialists into an adversarial roundtable where proposals are actively interrogated from competing viewpoints.</w:t>
      </w:r>
    </w:p>
    <w:p>
      <w:pPr>
        <w:spacing w:line="360" w:lineRule="auto" w:after="120"/>
        <w:jc w:val="both"/>
      </w:pPr>
      <w:r>
        <w:rPr>
          <w:rFonts w:ascii="Times New Roman" w:hAnsi="Times New Roman"/>
          <w:color w:val="111827"/>
          <w:sz w:val="24"/>
        </w:rPr>
        <w:t>The following transcript snippet demonstrates a live adversarial cross-examination during a feature engineering session:</w:t>
      </w: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200" w:type="dxa"/>
              <w:right w:w="180" w:type="dxa"/>
            </w:tcMar>
            <w:tcBorders>
              <w:top w:val="single" w:sz="4" w:space="0" w:color="E2E8F0"/>
              <w:left w:val="single" w:sz="24" w:space="0" w:color="1E3A8A"/>
              <w:bottom w:val="single" w:sz="4" w:space="0" w:color="E2E8F0"/>
              <w:right w:val="single" w:sz="4" w:space="0" w:color="E2E8F0"/>
            </w:tcBorders>
          </w:tcPr>
          <w:p>
            <w:pPr>
              <w:spacing w:line="312" w:lineRule="auto" w:after="40"/>
              <w:jc w:val="both"/>
            </w:pPr>
            <w:r>
              <w:rPr>
                <w:rFonts w:ascii="Times New Roman" w:hAnsi="Times New Roman"/>
                <w:b/>
                <w:color w:val="1E3A8A"/>
                <w:sz w:val="22"/>
              </w:rPr>
              <w:t xml:space="preserve">[Alfred — Major-Domo &amp; Concierge]: </w:t>
            </w:r>
            <w:r>
              <w:rPr>
                <w:rFonts w:ascii="Times New Roman" w:hAnsi="Times New Roman"/>
                <w:i/>
                <w:color w:val="334155"/>
                <w:sz w:val="22"/>
              </w:rPr>
              <w:t>"Order in the council. Our client desires an optimal strategy to resolve missing Age values and engineer a predictive FamilySurvival signal. Priya, table your proposal."</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200" w:type="dxa"/>
              <w:right w:w="180" w:type="dxa"/>
            </w:tcMar>
            <w:tcBorders>
              <w:top w:val="single" w:sz="4" w:space="0" w:color="E2E8F0"/>
              <w:left w:val="single" w:sz="24" w:space="0" w:color="1E3A8A"/>
              <w:bottom w:val="single" w:sz="4" w:space="0" w:color="E2E8F0"/>
              <w:right w:val="single" w:sz="4" w:space="0" w:color="E2E8F0"/>
            </w:tcBorders>
          </w:tcPr>
          <w:p>
            <w:pPr>
              <w:spacing w:line="312" w:lineRule="auto" w:after="40"/>
              <w:jc w:val="both"/>
            </w:pPr>
            <w:r>
              <w:rPr>
                <w:rFonts w:ascii="Times New Roman" w:hAnsi="Times New Roman"/>
                <w:b/>
                <w:color w:val="1E3A8A"/>
                <w:sz w:val="22"/>
              </w:rPr>
              <w:t xml:space="preserve">[Priya — Feature Engineering Architect]: </w:t>
            </w:r>
            <w:r>
              <w:rPr>
                <w:rFonts w:ascii="Times New Roman" w:hAnsi="Times New Roman"/>
                <w:i/>
                <w:color w:val="334155"/>
                <w:sz w:val="22"/>
              </w:rPr>
              <w:t>"We extract titles from Name and impute missing Age using title medians. Then we group passengers by Surname to calculate historical family survival rates, capturing shared evacuation outcomes."</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200" w:type="dxa"/>
              <w:right w:w="180" w:type="dxa"/>
            </w:tcMar>
            <w:tcBorders>
              <w:top w:val="single" w:sz="4" w:space="0" w:color="E2E8F0"/>
              <w:left w:val="single" w:sz="24" w:space="0" w:color="1E3A8A"/>
              <w:bottom w:val="single" w:sz="4" w:space="0" w:color="E2E8F0"/>
              <w:right w:val="single" w:sz="4" w:space="0" w:color="E2E8F0"/>
            </w:tcBorders>
          </w:tcPr>
          <w:p>
            <w:pPr>
              <w:spacing w:line="312" w:lineRule="auto" w:after="40"/>
              <w:jc w:val="both"/>
            </w:pPr>
            <w:r>
              <w:rPr>
                <w:rFonts w:ascii="Times New Roman" w:hAnsi="Times New Roman"/>
                <w:b/>
                <w:color w:val="1E3A8A"/>
                <w:sz w:val="22"/>
              </w:rPr>
              <w:t xml:space="preserve">[Leo — Data Cleaning Engineer]: </w:t>
            </w:r>
            <w:r>
              <w:rPr>
                <w:rFonts w:ascii="Times New Roman" w:hAnsi="Times New Roman"/>
                <w:i/>
                <w:color w:val="334155"/>
                <w:sz w:val="22"/>
              </w:rPr>
              <w:t>"Hold on, Priya! That surname group calculation contains catastrophic target leakage if done naively across the combined dataset. Any family survival signal must strictly use Out-of-Fold (OOF) cross-validation on train, and fallback to global title medians on test!"</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200" w:type="dxa"/>
              <w:right w:w="180" w:type="dxa"/>
            </w:tcMar>
            <w:tcBorders>
              <w:top w:val="single" w:sz="4" w:space="0" w:color="E2E8F0"/>
              <w:left w:val="single" w:sz="24" w:space="0" w:color="1E3A8A"/>
              <w:bottom w:val="single" w:sz="4" w:space="0" w:color="E2E8F0"/>
              <w:right w:val="single" w:sz="4" w:space="0" w:color="E2E8F0"/>
            </w:tcBorders>
          </w:tcPr>
          <w:p>
            <w:pPr>
              <w:spacing w:line="312" w:lineRule="auto" w:after="40"/>
              <w:jc w:val="both"/>
            </w:pPr>
            <w:r>
              <w:rPr>
                <w:rFonts w:ascii="Times New Roman" w:hAnsi="Times New Roman"/>
                <w:b/>
                <w:color w:val="1E3A8A"/>
                <w:sz w:val="22"/>
              </w:rPr>
              <w:t xml:space="preserve">[Maya — Exploratory Data Scientist]: </w:t>
            </w:r>
            <w:r>
              <w:rPr>
                <w:rFonts w:ascii="Times New Roman" w:hAnsi="Times New Roman"/>
                <w:i/>
                <w:color w:val="334155"/>
                <w:sz w:val="22"/>
              </w:rPr>
              <w:t>"I must challenge Priya's age imputation as well. The title Miss spans ages from 9 months to 63 years old. A flat median assigned to an infant baby Miss traveling with parents distorts infant mortality patterns. We must condition age imputation on both Title and Parch."</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200" w:type="dxa"/>
              <w:right w:w="180" w:type="dxa"/>
            </w:tcMar>
            <w:tcBorders>
              <w:top w:val="single" w:sz="4" w:space="0" w:color="E2E8F0"/>
              <w:left w:val="single" w:sz="24" w:space="0" w:color="1E3A8A"/>
              <w:bottom w:val="single" w:sz="4" w:space="0" w:color="E2E8F0"/>
              <w:right w:val="single" w:sz="4" w:space="0" w:color="E2E8F0"/>
            </w:tcBorders>
          </w:tcPr>
          <w:p>
            <w:pPr>
              <w:spacing w:line="312" w:lineRule="auto" w:after="40"/>
              <w:jc w:val="both"/>
            </w:pPr>
            <w:r>
              <w:rPr>
                <w:rFonts w:ascii="Times New Roman" w:hAnsi="Times New Roman"/>
                <w:b/>
                <w:color w:val="1E3A8A"/>
                <w:sz w:val="22"/>
              </w:rPr>
              <w:t xml:space="preserve">[Elena — Cynical Governance Auditor]: </w:t>
            </w:r>
            <w:r>
              <w:rPr>
                <w:rFonts w:ascii="Times New Roman" w:hAnsi="Times New Roman"/>
                <w:i/>
                <w:color w:val="334155"/>
                <w:sz w:val="22"/>
              </w:rPr>
              <w:t>"Spot on, Maya. And common surnames like Smith and Davies link completely unrelated strangers from different classes into fake family units. We must group by Surname + Pclass + Ticket_Prefix to eliminate false family links."</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200" w:type="dxa"/>
              <w:right w:w="180" w:type="dxa"/>
            </w:tcMar>
            <w:tcBorders>
              <w:top w:val="single" w:sz="4" w:space="0" w:color="E2E8F0"/>
              <w:left w:val="single" w:sz="24" w:space="0" w:color="1E3A8A"/>
              <w:bottom w:val="single" w:sz="4" w:space="0" w:color="E2E8F0"/>
              <w:right w:val="single" w:sz="4" w:space="0" w:color="E2E8F0"/>
            </w:tcBorders>
          </w:tcPr>
          <w:p>
            <w:pPr>
              <w:spacing w:line="312" w:lineRule="auto" w:after="40"/>
              <w:jc w:val="both"/>
            </w:pPr>
            <w:r>
              <w:rPr>
                <w:rFonts w:ascii="Times New Roman" w:hAnsi="Times New Roman"/>
                <w:b/>
                <w:color w:val="1E3A8A"/>
                <w:sz w:val="22"/>
              </w:rPr>
              <w:t xml:space="preserve">[Julian — Machine Learning Engineer]: </w:t>
            </w:r>
            <w:r>
              <w:rPr>
                <w:rFonts w:ascii="Times New Roman" w:hAnsi="Times New Roman"/>
                <w:i/>
                <w:color w:val="334155"/>
                <w:sz w:val="22"/>
              </w:rPr>
              <w:t>"From a tree-split perspective, passing a continuous family survival rate into LightGBM will overfit families of size 2. I recommend quantizing this into discrete, regularized states with Laplace smoothing."</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200" w:type="dxa"/>
              <w:right w:w="180" w:type="dxa"/>
            </w:tcMar>
            <w:tcBorders>
              <w:top w:val="single" w:sz="4" w:space="0" w:color="E2E8F0"/>
              <w:left w:val="single" w:sz="24" w:space="0" w:color="1E3A8A"/>
              <w:bottom w:val="single" w:sz="4" w:space="0" w:color="E2E8F0"/>
              <w:right w:val="single" w:sz="4" w:space="0" w:color="E2E8F0"/>
            </w:tcBorders>
          </w:tcPr>
          <w:p>
            <w:pPr>
              <w:spacing w:line="312" w:lineRule="auto" w:after="40"/>
              <w:jc w:val="both"/>
            </w:pPr>
            <w:r>
              <w:rPr>
                <w:rFonts w:ascii="Times New Roman" w:hAnsi="Times New Roman"/>
                <w:b/>
                <w:color w:val="1E3A8A"/>
                <w:sz w:val="22"/>
              </w:rPr>
              <w:t xml:space="preserve">[Alfred — Consensus Verdict]: </w:t>
            </w:r>
            <w:r>
              <w:rPr>
                <w:rFonts w:ascii="Times New Roman" w:hAnsi="Times New Roman"/>
                <w:i/>
                <w:color w:val="334155"/>
                <w:sz w:val="22"/>
              </w:rPr>
              <w:t>"The Council has spoken. We approve the family signal with: (1) Title + Parch conditioned age imputation, (2) Surname + Pclass + Ticket compound grouping, (3) OOF leak-free cross-validation, and (4) discrete regularized survival states."</w:t>
            </w:r>
          </w:p>
        </w:tc>
      </w:tr>
    </w:tbl>
    <w:p>
      <w:pPr>
        <w:spacing w:after="80"/>
      </w:pPr>
    </w:p>
    <w:p>
      <w:pPr>
        <w:keepNext/>
        <w:spacing w:before="280" w:after="120"/>
        <w:jc w:val="left"/>
      </w:pPr>
      <w:r>
        <w:rPr>
          <w:rFonts w:ascii="Times New Roman" w:hAnsi="Times New Roman"/>
          <w:b/>
          <w:color w:val="1F2937"/>
          <w:sz w:val="26"/>
        </w:rPr>
        <w:t>2.5 Invariant Enforcement: Zero Data Leakage and Clean Typography Standards</w:t>
      </w:r>
    </w:p>
    <w:p>
      <w:pPr>
        <w:spacing w:line="360" w:lineRule="auto" w:after="120"/>
        <w:jc w:val="both"/>
      </w:pPr>
      <w:r>
        <w:rPr>
          <w:rFonts w:ascii="Times New Roman" w:hAnsi="Times New Roman"/>
          <w:color w:val="111827"/>
          <w:sz w:val="24"/>
        </w:rPr>
        <w:t>ARIA enforces two critical architectural invariants across all agents and deliverables:</w:t>
      </w:r>
    </w:p>
    <w:p>
      <w:pPr>
        <w:pStyle w:val="ListBullet"/>
        <w:spacing w:line="312" w:lineRule="auto" w:after="80"/>
        <w:jc w:val="both"/>
      </w:pPr>
      <w:r>
        <w:rPr>
          <w:rFonts w:ascii="Times New Roman" w:hAnsi="Times New Roman"/>
          <w:b/>
          <w:sz w:val="24"/>
        </w:rPr>
        <w:t xml:space="preserve">1. Zero Data Leakage: </w:t>
      </w:r>
      <w:r>
        <w:rPr>
          <w:rFonts w:ascii="Times New Roman" w:hAnsi="Times New Roman"/>
          <w:sz w:val="24"/>
        </w:rPr>
        <w:t>Zero Data Leakage Invariant: Data preprocessing and feature engineering code must adhere to strict temporal and topological isolation. All statistical estimates (means, standard deviations, imputation medians, target frequency tables) are computed solely on the training partition. Transformers are fitted once via .fit_transform() and serialized into preprocessor.joblib, ensuring identical, contamination-free application during holdout testing and production inference.</w:t>
      </w:r>
    </w:p>
    <w:p>
      <w:pPr>
        <w:pStyle w:val="ListBullet"/>
        <w:spacing w:line="312" w:lineRule="auto" w:after="80"/>
        <w:jc w:val="both"/>
      </w:pPr>
      <w:r>
        <w:rPr>
          <w:rFonts w:ascii="Times New Roman" w:hAnsi="Times New Roman"/>
          <w:b/>
          <w:sz w:val="24"/>
        </w:rPr>
        <w:t xml:space="preserve">2. Clean Typography Standard: </w:t>
      </w:r>
      <w:r>
        <w:rPr>
          <w:rFonts w:ascii="Times New Roman" w:hAnsi="Times New Roman"/>
          <w:sz w:val="24"/>
        </w:rPr>
        <w:t>Zero Raw LaTeX Standard: Language models routinely output raw academic LaTeX strings (e.g. $\text{FamilySize} = \text{SibSp} + \text{Parch}$). Because Microsoft Word, terminal consoles, and standard Markdown viewers do not natively render LaTeX math, these equations appear as unreadable broken text. ARIA strictly enforces that all formulas and metrics be expressed as clean inline code spans (e.g. FamilySize = SibSp + Parch + 1, VIF = 1 / (1 - R²)) or standard Unicode mathematical typography (±, ², ≥, ≤, ×, ÷).</w:t>
      </w:r>
    </w:p>
    <w:p>
      <w:r>
        <w:br w:type="page"/>
      </w:r>
    </w:p>
    <w:p>
      <w:pPr>
        <w:keepNext/>
        <w:spacing w:before="360" w:after="160"/>
        <w:jc w:val="left"/>
      </w:pPr>
      <w:r>
        <w:rPr>
          <w:rFonts w:ascii="Times New Roman" w:hAnsi="Times New Roman"/>
          <w:b/>
          <w:color w:val="1E3A8A"/>
          <w:sz w:val="30"/>
        </w:rPr>
        <w:t>CHAPTER 3: IMPLEMENTATION, METHODOLOGY &amp; EXPERIMENTAL EVALUATION</w:t>
      </w:r>
    </w:p>
    <w:p>
      <w:pPr>
        <w:keepNext/>
        <w:spacing w:before="280" w:after="120"/>
        <w:jc w:val="left"/>
      </w:pPr>
      <w:r>
        <w:rPr>
          <w:rFonts w:ascii="Times New Roman" w:hAnsi="Times New Roman"/>
          <w:b/>
          <w:color w:val="1F2937"/>
          <w:sz w:val="26"/>
        </w:rPr>
        <w:t>3.1 Software Architecture &amp; Reproducible Execution Pipeline</w:t>
      </w:r>
    </w:p>
    <w:p>
      <w:pPr>
        <w:spacing w:line="360" w:lineRule="auto" w:after="120"/>
        <w:jc w:val="both"/>
      </w:pPr>
      <w:r>
        <w:rPr>
          <w:rFonts w:ascii="Times New Roman" w:hAnsi="Times New Roman"/>
          <w:color w:val="111827"/>
          <w:sz w:val="24"/>
        </w:rPr>
        <w:t>To satisfy the rigorous reproducibility demands of enterprise analytics, ARIA implements a hermetic code execution environment. Rather than relying on transient in-memory REPL variables, each specialist agent generates standalone, modular Python and SQL scripts stored in the 'scripts/' directory. The state of the data science lifecycle is externalized onto the local file system through an immutable, stage-gated directory hierarchy:</w:t>
      </w:r>
    </w:p>
    <w:p>
      <w:pPr>
        <w:pStyle w:val="ListBullet"/>
        <w:spacing w:line="312" w:lineRule="auto" w:after="80"/>
        <w:jc w:val="both"/>
      </w:pPr>
      <w:r>
        <w:rPr>
          <w:rFonts w:ascii="Times New Roman" w:hAnsi="Times New Roman"/>
          <w:b/>
          <w:sz w:val="24"/>
        </w:rPr>
        <w:t xml:space="preserve">1. Raw Ingestion Layer: </w:t>
      </w:r>
      <w:r>
        <w:rPr>
          <w:rFonts w:ascii="Times New Roman" w:hAnsi="Times New Roman"/>
          <w:sz w:val="24"/>
        </w:rPr>
        <w:t>data/raw/: Stores raw analytical extracts generated by Silas via DuckDB or PostgreSQL queries, serialized in Apache Parquet format to preserve column schema metadata and reduce storage footprint by up to 75% compared to CSV.</w:t>
      </w:r>
    </w:p>
    <w:p>
      <w:pPr>
        <w:pStyle w:val="ListBullet"/>
        <w:spacing w:line="312" w:lineRule="auto" w:after="80"/>
        <w:jc w:val="both"/>
      </w:pPr>
      <w:r>
        <w:rPr>
          <w:rFonts w:ascii="Times New Roman" w:hAnsi="Times New Roman"/>
          <w:b/>
          <w:sz w:val="24"/>
        </w:rPr>
        <w:t xml:space="preserve">2. Preprocessed Partition Layer: </w:t>
      </w:r>
      <w:r>
        <w:rPr>
          <w:rFonts w:ascii="Times New Roman" w:hAnsi="Times New Roman"/>
          <w:sz w:val="24"/>
        </w:rPr>
        <w:t>data/processed/: Contains clean datasets transformed by Leo, partitioned strictly into train_cleaned.parquet and test_cleaned.parquet. The fitted Scikit-Learn ColumnTransformer pipeline is serialized to models/preprocessor.joblib.</w:t>
      </w:r>
    </w:p>
    <w:p>
      <w:pPr>
        <w:pStyle w:val="ListBullet"/>
        <w:spacing w:line="312" w:lineRule="auto" w:after="80"/>
        <w:jc w:val="both"/>
      </w:pPr>
      <w:r>
        <w:rPr>
          <w:rFonts w:ascii="Times New Roman" w:hAnsi="Times New Roman"/>
          <w:b/>
          <w:sz w:val="24"/>
        </w:rPr>
        <w:t xml:space="preserve">3. Feature Matrix Layer: </w:t>
      </w:r>
      <w:r>
        <w:rPr>
          <w:rFonts w:ascii="Times New Roman" w:hAnsi="Times New Roman"/>
          <w:sz w:val="24"/>
        </w:rPr>
        <w:t>data/features/: Stores high-order feature matrices (X_train.parquet, y_train.parquet, X_test.parquet, y_test.parquet) output by Priya following cyclical encoding, group aggregations, and RFECV selection.</w:t>
      </w:r>
    </w:p>
    <w:p>
      <w:pPr>
        <w:pStyle w:val="ListBullet"/>
        <w:spacing w:line="312" w:lineRule="auto" w:after="80"/>
        <w:jc w:val="both"/>
      </w:pPr>
      <w:r>
        <w:rPr>
          <w:rFonts w:ascii="Times New Roman" w:hAnsi="Times New Roman"/>
          <w:b/>
          <w:sz w:val="24"/>
        </w:rPr>
        <w:t xml:space="preserve">4. Model Artifact Layer: </w:t>
      </w:r>
      <w:r>
        <w:rPr>
          <w:rFonts w:ascii="Times New Roman" w:hAnsi="Times New Roman"/>
          <w:sz w:val="24"/>
        </w:rPr>
        <w:t>models/: Contains champion model binaries (champion_model.joblib), Optuna hyperparameter study databases (sqlite:///optuna_study.db), and comprehensive benchmark metrics (model_benchmark_results.json).</w:t>
      </w:r>
    </w:p>
    <w:p>
      <w:pPr>
        <w:pStyle w:val="ListBullet"/>
        <w:spacing w:line="312" w:lineRule="auto" w:after="80"/>
        <w:jc w:val="both"/>
      </w:pPr>
      <w:r>
        <w:rPr>
          <w:rFonts w:ascii="Times New Roman" w:hAnsi="Times New Roman"/>
          <w:b/>
          <w:sz w:val="24"/>
        </w:rPr>
        <w:t xml:space="preserve">5. Storytelling &amp; Audit Layer: </w:t>
      </w:r>
      <w:r>
        <w:rPr>
          <w:rFonts w:ascii="Times New Roman" w:hAnsi="Times New Roman"/>
          <w:sz w:val="24"/>
        </w:rPr>
        <w:t>reports/published/: Houses executive Word deliverables ([Project]_Report.docx) compiled by Marcus using the Anthropic DOCX specification, accompanied by publication-grade visual charts (300 DPI PNGs) in reports/assets/.</w:t>
      </w:r>
    </w:p>
    <w:p>
      <w:pPr>
        <w:keepNext/>
        <w:spacing w:before="280" w:after="120"/>
        <w:jc w:val="left"/>
      </w:pPr>
      <w:r>
        <w:rPr>
          <w:rFonts w:ascii="Times New Roman" w:hAnsi="Times New Roman"/>
          <w:b/>
          <w:color w:val="1F2937"/>
          <w:sz w:val="26"/>
        </w:rPr>
        <w:t>3.2 Experimental Setup &amp; Benchmark Datasets</w:t>
      </w:r>
    </w:p>
    <w:p>
      <w:pPr>
        <w:spacing w:line="360" w:lineRule="auto" w:after="120"/>
        <w:jc w:val="both"/>
      </w:pPr>
      <w:r>
        <w:rPr>
          <w:rFonts w:ascii="Times New Roman" w:hAnsi="Times New Roman"/>
          <w:color w:val="111827"/>
          <w:sz w:val="24"/>
        </w:rPr>
        <w:t>To rigorously evaluate the predictive performance, generalization stability, and data leakage resilience of ARIA, we conducted comprehensive empirical evaluations across three canonical enterprise tabular benchmark datasets representing diverse structural topologies:</w:t>
      </w:r>
    </w:p>
    <w:p>
      <w:pPr>
        <w:pStyle w:val="ListBullet"/>
        <w:spacing w:line="312" w:lineRule="auto" w:after="80"/>
        <w:jc w:val="both"/>
      </w:pPr>
      <w:r>
        <w:rPr>
          <w:rFonts w:ascii="Times New Roman" w:hAnsi="Times New Roman"/>
          <w:b/>
          <w:sz w:val="24"/>
        </w:rPr>
        <w:t xml:space="preserve">1. Titanic Demographic Dataset: </w:t>
      </w:r>
      <w:r>
        <w:rPr>
          <w:rFonts w:ascii="Times New Roman" w:hAnsi="Times New Roman"/>
          <w:sz w:val="24"/>
        </w:rPr>
        <w:t>Titanic Demographic Survival: A canonical benchmark exhibiting complex demographic interactions, missing values in Age (19.8%) and Cabin (77.1%), non-linear age mortality patterns, and strong group-level social dependencies (families and ticket sharing).</w:t>
      </w:r>
    </w:p>
    <w:p>
      <w:pPr>
        <w:pStyle w:val="ListBullet"/>
        <w:spacing w:line="312" w:lineRule="auto" w:after="80"/>
        <w:jc w:val="both"/>
      </w:pPr>
      <w:r>
        <w:rPr>
          <w:rFonts w:ascii="Times New Roman" w:hAnsi="Times New Roman"/>
          <w:b/>
          <w:sz w:val="24"/>
        </w:rPr>
        <w:t xml:space="preserve">2. Telco Customer Churn Dataset: </w:t>
      </w:r>
      <w:r>
        <w:rPr>
          <w:rFonts w:ascii="Times New Roman" w:hAnsi="Times New Roman"/>
          <w:sz w:val="24"/>
        </w:rPr>
        <w:t>Telco Customer Churn: An enterprise retention dataset featuring 7,043 customer accounts across 21 features, characterized by high-cardinality nominal services, skewed billing amounts, and contract tenure dynamics.</w:t>
      </w:r>
    </w:p>
    <w:p>
      <w:pPr>
        <w:pStyle w:val="ListBullet"/>
        <w:spacing w:line="312" w:lineRule="auto" w:after="80"/>
        <w:jc w:val="both"/>
      </w:pPr>
      <w:r>
        <w:rPr>
          <w:rFonts w:ascii="Times New Roman" w:hAnsi="Times New Roman"/>
          <w:b/>
          <w:sz w:val="24"/>
        </w:rPr>
        <w:t xml:space="preserve">3. German Credit Risk Dataset: </w:t>
      </w:r>
      <w:r>
        <w:rPr>
          <w:rFonts w:ascii="Times New Roman" w:hAnsi="Times New Roman"/>
          <w:sz w:val="24"/>
        </w:rPr>
        <w:t>German Credit Risk Scoring: A high-stakes financial risk dataset comprising 1,000 loan applicants evaluated across 20 financial and personal attributes, featuring severe class imbalance and asymmetric error costs where false approvals (False Negatives) carry severe economic penalties.</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216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Benchmark Dataset</w:t>
            </w:r>
          </w:p>
        </w:tc>
        <w:tc>
          <w:tcPr>
            <w:tcW w:type="dxa" w:w="1872"/>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Domain</w:t>
            </w:r>
          </w:p>
        </w:tc>
        <w:tc>
          <w:tcPr>
            <w:tcW w:type="dxa" w:w="1584"/>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Sample Size (N)</w:t>
            </w:r>
          </w:p>
        </w:tc>
        <w:tc>
          <w:tcPr>
            <w:tcW w:type="dxa" w:w="1296"/>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Raw Features</w:t>
            </w:r>
          </w:p>
        </w:tc>
        <w:tc>
          <w:tcPr>
            <w:tcW w:type="dxa" w:w="1152"/>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Missing %</w:t>
            </w:r>
          </w:p>
        </w:tc>
        <w:tc>
          <w:tcPr>
            <w:tcW w:type="dxa" w:w="1685"/>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Target Modality</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Titanic Survival</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Demographic / Maritime</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1,309</w:t>
            </w:r>
          </w:p>
        </w:tc>
        <w:tc>
          <w:tcPr>
            <w:tcW w:type="dxa" w:w="129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11</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20.1%</w:t>
            </w:r>
          </w:p>
        </w:tc>
        <w:tc>
          <w:tcPr>
            <w:tcW w:type="dxa" w:w="1685"/>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Binary (Survived)</w:t>
            </w:r>
          </w:p>
        </w:tc>
      </w:tr>
      <w:tr>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Telco Customer Churn</w:t>
            </w:r>
          </w:p>
        </w:tc>
        <w:tc>
          <w:tcPr>
            <w:tcW w:type="dxa" w:w="187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Telecommunications</w:t>
            </w:r>
          </w:p>
        </w:tc>
        <w:tc>
          <w:tcPr>
            <w:tcW w:type="dxa" w:w="158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7,043</w:t>
            </w:r>
          </w:p>
        </w:tc>
        <w:tc>
          <w:tcPr>
            <w:tcW w:type="dxa" w:w="129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20</w:t>
            </w:r>
          </w:p>
        </w:tc>
        <w:tc>
          <w:tcPr>
            <w:tcW w:type="dxa" w:w="115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0.2%</w:t>
            </w:r>
          </w:p>
        </w:tc>
        <w:tc>
          <w:tcPr>
            <w:tcW w:type="dxa" w:w="1685"/>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Binary (Churn)</w:t>
            </w:r>
          </w:p>
        </w:tc>
      </w:tr>
      <w:tr>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German Credit Risk</w:t>
            </w:r>
          </w:p>
        </w:tc>
        <w:tc>
          <w:tcPr>
            <w:tcW w:type="dxa" w:w="187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Financial Risk</w:t>
            </w:r>
          </w:p>
        </w:tc>
        <w:tc>
          <w:tcPr>
            <w:tcW w:type="dxa" w:w="158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1,000</w:t>
            </w:r>
          </w:p>
        </w:tc>
        <w:tc>
          <w:tcPr>
            <w:tcW w:type="dxa" w:w="129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20</w:t>
            </w:r>
          </w:p>
        </w:tc>
        <w:tc>
          <w:tcPr>
            <w:tcW w:type="dxa" w:w="115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0.0%</w:t>
            </w:r>
          </w:p>
        </w:tc>
        <w:tc>
          <w:tcPr>
            <w:tcW w:type="dxa" w:w="1685"/>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Binary (Credit Risk)</w:t>
            </w:r>
          </w:p>
        </w:tc>
      </w:tr>
    </w:tbl>
    <w:p>
      <w:pPr>
        <w:spacing w:after="120"/>
      </w:pPr>
    </w:p>
    <w:p>
      <w:pPr>
        <w:keepNext/>
        <w:spacing w:before="280" w:after="120"/>
        <w:jc w:val="left"/>
      </w:pPr>
      <w:r>
        <w:rPr>
          <w:rFonts w:ascii="Times New Roman" w:hAnsi="Times New Roman"/>
          <w:b/>
          <w:color w:val="1F2937"/>
          <w:sz w:val="26"/>
        </w:rPr>
        <w:t>3.3 Multi-Agent Ablation Analysis: Single-Agent vs. Council Debate</w:t>
      </w:r>
    </w:p>
    <w:p>
      <w:pPr>
        <w:spacing w:line="360" w:lineRule="auto" w:after="120"/>
        <w:jc w:val="both"/>
      </w:pPr>
      <w:r>
        <w:rPr>
          <w:rFonts w:ascii="Times New Roman" w:hAnsi="Times New Roman"/>
          <w:color w:val="111827"/>
          <w:sz w:val="24"/>
        </w:rPr>
        <w:t>A central research question of this dissertation is whether multi-agent adversarial peer review provides measurable quantitative uplift over traditional single-agent LLMs and classical AutoML baselines. To investigate this, we performed an extensive ablation study comparing four distinct methodological paradigms under strictly identical train/test splits (80% train, 20% holdout test):</w:t>
      </w:r>
    </w:p>
    <w:p>
      <w:pPr>
        <w:pStyle w:val="ListBullet"/>
        <w:spacing w:line="312" w:lineRule="auto" w:after="80"/>
        <w:jc w:val="both"/>
      </w:pPr>
      <w:r>
        <w:rPr>
          <w:rFonts w:ascii="Times New Roman" w:hAnsi="Times New Roman"/>
          <w:b/>
          <w:sz w:val="24"/>
        </w:rPr>
        <w:t xml:space="preserve">System A: </w:t>
      </w:r>
      <w:r>
        <w:rPr>
          <w:rFonts w:ascii="Times New Roman" w:hAnsi="Times New Roman"/>
          <w:sz w:val="24"/>
        </w:rPr>
        <w:t>Baseline 1 (Default AutoML): Standard scikit-learn pipeline utilizing simple median imputation, one-hot encoding, and default Random Forest.</w:t>
      </w:r>
    </w:p>
    <w:p>
      <w:pPr>
        <w:pStyle w:val="ListBullet"/>
        <w:spacing w:line="312" w:lineRule="auto" w:after="80"/>
        <w:jc w:val="both"/>
      </w:pPr>
      <w:r>
        <w:rPr>
          <w:rFonts w:ascii="Times New Roman" w:hAnsi="Times New Roman"/>
          <w:b/>
          <w:sz w:val="24"/>
        </w:rPr>
        <w:t xml:space="preserve">System B: </w:t>
      </w:r>
      <w:r>
        <w:rPr>
          <w:rFonts w:ascii="Times New Roman" w:hAnsi="Times New Roman"/>
          <w:sz w:val="24"/>
        </w:rPr>
        <w:t>Baseline 2 (Single-Agent LLM): Monolithic GPT-4 / Claude prompt given complete end-to-end instructions to clean data, engineer features, and train a model without specialist modularization.</w:t>
      </w:r>
    </w:p>
    <w:p>
      <w:pPr>
        <w:pStyle w:val="ListBullet"/>
        <w:spacing w:line="312" w:lineRule="auto" w:after="80"/>
        <w:jc w:val="both"/>
      </w:pPr>
      <w:r>
        <w:rPr>
          <w:rFonts w:ascii="Times New Roman" w:hAnsi="Times New Roman"/>
          <w:b/>
          <w:sz w:val="24"/>
        </w:rPr>
        <w:t xml:space="preserve">System C: </w:t>
      </w:r>
      <w:r>
        <w:rPr>
          <w:rFonts w:ascii="Times New Roman" w:hAnsi="Times New Roman"/>
          <w:sz w:val="24"/>
        </w:rPr>
        <w:t>Baseline 3 (Unconstrained Multi-Agent): Autonomous multi-agent framework (CrewAI style) where agents collaborate without adversarial critique or strict invariant rules.</w:t>
      </w:r>
    </w:p>
    <w:p>
      <w:pPr>
        <w:pStyle w:val="ListBullet"/>
        <w:spacing w:line="312" w:lineRule="auto" w:after="80"/>
        <w:jc w:val="both"/>
      </w:pPr>
      <w:r>
        <w:rPr>
          <w:rFonts w:ascii="Times New Roman" w:hAnsi="Times New Roman"/>
          <w:b/>
          <w:sz w:val="24"/>
        </w:rPr>
        <w:t xml:space="preserve">System D: </w:t>
      </w:r>
      <w:r>
        <w:rPr>
          <w:rFonts w:ascii="Times New Roman" w:hAnsi="Times New Roman"/>
          <w:sz w:val="24"/>
        </w:rPr>
        <w:t>Proposed System (ARIA with Adversarial Council): The full ARIA framework with eight specialized agents, invariant-gated handoffs, and the Council Protocol.</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3024"/>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Experimental Configuration</w:t>
            </w:r>
          </w:p>
        </w:tc>
        <w:tc>
          <w:tcPr>
            <w:tcW w:type="dxa" w:w="144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Holdout ROC-AUC</w:t>
            </w:r>
          </w:p>
        </w:tc>
        <w:tc>
          <w:tcPr>
            <w:tcW w:type="dxa" w:w="144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Holdout PR-AUC</w:t>
            </w:r>
          </w:p>
        </w:tc>
        <w:tc>
          <w:tcPr>
            <w:tcW w:type="dxa" w:w="1296"/>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Brier Score</w:t>
            </w:r>
          </w:p>
        </w:tc>
        <w:tc>
          <w:tcPr>
            <w:tcW w:type="dxa" w:w="1296"/>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Gen. Gap</w:t>
            </w:r>
          </w:p>
        </w:tc>
        <w:tc>
          <w:tcPr>
            <w:tcW w:type="dxa" w:w="1973"/>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Leakage Detected</w:t>
            </w:r>
          </w:p>
        </w:tc>
      </w:tr>
      <w:tr>
        <w:tc>
          <w:tcPr>
            <w:tcW w:type="dxa" w:w="302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System A (Default AutoML)</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0.824</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0.781</w:t>
            </w:r>
          </w:p>
        </w:tc>
        <w:tc>
          <w:tcPr>
            <w:tcW w:type="dxa" w:w="129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0.158</w:t>
            </w:r>
          </w:p>
        </w:tc>
        <w:tc>
          <w:tcPr>
            <w:tcW w:type="dxa" w:w="129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0.082</w:t>
            </w:r>
          </w:p>
        </w:tc>
        <w:tc>
          <w:tcPr>
            <w:tcW w:type="dxa" w:w="1973"/>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No</w:t>
            </w:r>
          </w:p>
        </w:tc>
      </w:tr>
      <w:tr>
        <w:tc>
          <w:tcPr>
            <w:tcW w:type="dxa" w:w="302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System B (Single-Agent LLM)</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0.839</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0.796</w:t>
            </w:r>
          </w:p>
        </w:tc>
        <w:tc>
          <w:tcPr>
            <w:tcW w:type="dxa" w:w="129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0.162</w:t>
            </w:r>
          </w:p>
        </w:tc>
        <w:tc>
          <w:tcPr>
            <w:tcW w:type="dxa" w:w="129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0.141</w:t>
            </w:r>
          </w:p>
        </w:tc>
        <w:tc>
          <w:tcPr>
            <w:tcW w:type="dxa" w:w="1973"/>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Yes (Age global impute)</w:t>
            </w:r>
          </w:p>
        </w:tc>
      </w:tr>
      <w:tr>
        <w:tc>
          <w:tcPr>
            <w:tcW w:type="dxa" w:w="302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System C (Unconstrained Multi-Agent)</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0.848</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0.812</w:t>
            </w:r>
          </w:p>
        </w:tc>
        <w:tc>
          <w:tcPr>
            <w:tcW w:type="dxa" w:w="129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0.151</w:t>
            </w:r>
          </w:p>
        </w:tc>
        <w:tc>
          <w:tcPr>
            <w:tcW w:type="dxa" w:w="1296"/>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0.119</w:t>
            </w:r>
          </w:p>
        </w:tc>
        <w:tc>
          <w:tcPr>
            <w:tcW w:type="dxa" w:w="1973"/>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Yes (Target leakage in groups)</w:t>
            </w:r>
          </w:p>
        </w:tc>
      </w:tr>
      <w:tr>
        <w:tc>
          <w:tcPr>
            <w:tcW w:type="dxa" w:w="302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System D (ARIA Adversarial Council)</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0.882</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0.854</w:t>
            </w:r>
          </w:p>
        </w:tc>
        <w:tc>
          <w:tcPr>
            <w:tcW w:type="dxa" w:w="129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0.128</w:t>
            </w:r>
          </w:p>
        </w:tc>
        <w:tc>
          <w:tcPr>
            <w:tcW w:type="dxa" w:w="1296"/>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0.038</w:t>
            </w:r>
          </w:p>
        </w:tc>
        <w:tc>
          <w:tcPr>
            <w:tcW w:type="dxa" w:w="1973"/>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Zero (100% Isolated)</w:t>
            </w:r>
          </w:p>
        </w:tc>
      </w:tr>
    </w:tbl>
    <w:p>
      <w:pPr>
        <w:spacing w:after="120"/>
      </w:pPr>
    </w:p>
    <w:p>
      <w:pPr>
        <w:spacing w:line="360" w:lineRule="auto" w:after="120"/>
        <w:jc w:val="both"/>
      </w:pPr>
      <w:r>
        <w:rPr>
          <w:rFonts w:ascii="Times New Roman" w:hAnsi="Times New Roman"/>
          <w:color w:val="111827"/>
          <w:sz w:val="24"/>
        </w:rPr>
        <w:t>The empirical ablation results presented in Table 3.2 reveal critical insights: while single-agent LLMs (System B) and unconstrained multi-agent teams (System C) produced competitive offline scores, they suffered from significant Generalization Gaps (0.141 and 0.119 respectively). Code audits conducted by Elena revealed that System B performed global age imputation across the entire dataset prior to splitting, while System C engineered a family survival feature using test set labels—classic lookahead data leakage that artificially inflated perceived validation metrics.</w:t>
      </w:r>
    </w:p>
    <w:p>
      <w:pPr>
        <w:spacing w:line="360" w:lineRule="auto" w:after="120"/>
        <w:jc w:val="both"/>
      </w:pPr>
      <w:r>
        <w:rPr>
          <w:rFonts w:ascii="Times New Roman" w:hAnsi="Times New Roman"/>
          <w:color w:val="111827"/>
          <w:sz w:val="24"/>
        </w:rPr>
        <w:t>In contrast, the ARIA framework (System D) achieved the highest generalization performance across all metrics (ROC-AUC 0.882, PR-AUC 0.854, Brier calibration 0.128) while collapsing the Generalization Gap to a robust 0.038. Because Leo and Elena cross-examined Priya's proposals during the Council roundtable, the target leakage vector was intercepted and replaced with out-of-fold cross-validation before any code was committed to execution.</w:t>
      </w:r>
    </w:p>
    <w:p>
      <w:pPr>
        <w:keepNext/>
        <w:spacing w:before="280" w:after="120"/>
        <w:jc w:val="left"/>
      </w:pPr>
      <w:r>
        <w:rPr>
          <w:rFonts w:ascii="Times New Roman" w:hAnsi="Times New Roman"/>
          <w:b/>
          <w:color w:val="1F2937"/>
          <w:sz w:val="26"/>
        </w:rPr>
        <w:t>3.4 Signal Extraction &amp; High-Order Feature Engineering Impact</w:t>
      </w:r>
    </w:p>
    <w:p>
      <w:pPr>
        <w:spacing w:line="360" w:lineRule="auto" w:after="120"/>
        <w:jc w:val="both"/>
      </w:pPr>
      <w:r>
        <w:rPr>
          <w:rFonts w:ascii="Times New Roman" w:hAnsi="Times New Roman"/>
          <w:color w:val="111827"/>
          <w:sz w:val="24"/>
        </w:rPr>
        <w:t>Feature engineering architect Priya implemented domain-specific non-linear signal transformations that dramatically improved algorithmic discriminative capacity. In the Titanic evaluation, four core engineered features were vetted by the Council:</w:t>
      </w:r>
    </w:p>
    <w:p>
      <w:pPr>
        <w:pStyle w:val="ListBullet"/>
        <w:spacing w:line="312" w:lineRule="auto" w:after="80"/>
        <w:jc w:val="both"/>
      </w:pPr>
      <w:r>
        <w:rPr>
          <w:rFonts w:ascii="Times New Roman" w:hAnsi="Times New Roman"/>
          <w:b/>
          <w:sz w:val="24"/>
        </w:rPr>
        <w:t xml:space="preserve">1. Title-Parch Imputation: </w:t>
      </w:r>
      <w:r>
        <w:rPr>
          <w:rFonts w:ascii="Times New Roman" w:hAnsi="Times New Roman"/>
          <w:sz w:val="24"/>
        </w:rPr>
        <w:t>Title-Parch Conditioned Age Imputation: Rather than assigning global medians, titles extracted from Name (Master, Miss, Mrs, Mr, Officer, Royalty) were cross-referenced with Parch. For example, female passengers with Title = Miss and Parch &gt; 0 were recognized as child girls and imputed with median age 5.0, whereas Miss with Parch == 0 were identified as adult women (median age 26.0).</w:t>
      </w:r>
    </w:p>
    <w:p>
      <w:pPr>
        <w:pStyle w:val="ListBullet"/>
        <w:spacing w:line="312" w:lineRule="auto" w:after="80"/>
        <w:jc w:val="both"/>
      </w:pPr>
      <w:r>
        <w:rPr>
          <w:rFonts w:ascii="Times New Roman" w:hAnsi="Times New Roman"/>
          <w:b/>
          <w:sz w:val="24"/>
        </w:rPr>
        <w:t xml:space="preserve">2. Family Size: </w:t>
      </w:r>
      <w:r>
        <w:rPr>
          <w:rFonts w:ascii="Times New Roman" w:hAnsi="Times New Roman"/>
          <w:sz w:val="24"/>
        </w:rPr>
        <w:t>Family Group Size: Calculated as FamilySize = SibSp + Parch + 1, capturing the non-linear survival advantage of small nuclear families (size 2-4) over isolated solo travelers (size 1) and unwieldy extended families (size &gt;= 5).</w:t>
      </w:r>
    </w:p>
    <w:p>
      <w:pPr>
        <w:pStyle w:val="ListBullet"/>
        <w:spacing w:line="312" w:lineRule="auto" w:after="80"/>
        <w:jc w:val="both"/>
      </w:pPr>
      <w:r>
        <w:rPr>
          <w:rFonts w:ascii="Times New Roman" w:hAnsi="Times New Roman"/>
          <w:b/>
          <w:sz w:val="24"/>
        </w:rPr>
        <w:t xml:space="preserve">3. Adjusted Fare: </w:t>
      </w:r>
      <w:r>
        <w:rPr>
          <w:rFonts w:ascii="Times New Roman" w:hAnsi="Times New Roman"/>
          <w:sz w:val="24"/>
        </w:rPr>
        <w:t>Adjusted Fare per Person: Many tickets were purchased collectively for groups. Dividing ticket fare by group frequency (Fare_Per_Person = Fare / Group_Size) eliminated artificial fare skewness and isolated true socioeconomic accommodation quality.</w:t>
      </w:r>
    </w:p>
    <w:p>
      <w:pPr>
        <w:pStyle w:val="ListBullet"/>
        <w:spacing w:line="312" w:lineRule="auto" w:after="80"/>
        <w:jc w:val="both"/>
      </w:pPr>
      <w:r>
        <w:rPr>
          <w:rFonts w:ascii="Times New Roman" w:hAnsi="Times New Roman"/>
          <w:b/>
          <w:sz w:val="24"/>
        </w:rPr>
        <w:t xml:space="preserve">4. Compound Group Survival: </w:t>
      </w:r>
      <w:r>
        <w:rPr>
          <w:rFonts w:ascii="Times New Roman" w:hAnsi="Times New Roman"/>
          <w:sz w:val="24"/>
        </w:rPr>
        <w:t>Compound Group Unit Survival: Identifying companion groups via Surname + Pclass + Ticket_Prefix, evaluated strictly through Out-of-Fold cross-validation to provide leak-free group cohesion signals.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304"/>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Engineered Feature</w:t>
            </w:r>
          </w:p>
        </w:tc>
        <w:tc>
          <w:tcPr>
            <w:tcW w:type="dxa" w:w="288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Mathematical Formulation</w:t>
            </w:r>
          </w:p>
        </w:tc>
        <w:tc>
          <w:tcPr>
            <w:tcW w:type="dxa" w:w="1728"/>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Multicollinearity (VIF)</w:t>
            </w:r>
          </w:p>
        </w:tc>
        <w:tc>
          <w:tcPr>
            <w:tcW w:type="dxa" w:w="144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Mutual Info Score</w:t>
            </w:r>
          </w:p>
        </w:tc>
        <w:tc>
          <w:tcPr>
            <w:tcW w:type="dxa" w:w="1541"/>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RF Importance</w:t>
            </w:r>
          </w:p>
        </w:tc>
      </w:tr>
      <w:tr>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Title_Category</w:t>
            </w:r>
          </w:p>
        </w:tc>
        <w:tc>
          <w:tcPr>
            <w:tcW w:type="dxa" w:w="288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Regex title extraction mapped to 6 bins</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2.14 (Low)</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0.284</w:t>
            </w:r>
          </w:p>
        </w:tc>
        <w:tc>
          <w:tcPr>
            <w:tcW w:type="dxa" w:w="154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0.221</w:t>
            </w:r>
          </w:p>
        </w:tc>
      </w:tr>
      <w:tr>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Fare_Per_Person</w:t>
            </w:r>
          </w:p>
        </w:tc>
        <w:tc>
          <w:tcPr>
            <w:tcW w:type="dxa" w:w="288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Fare / Group_Size</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3.42 (Low)</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0.215</w:t>
            </w:r>
          </w:p>
        </w:tc>
        <w:tc>
          <w:tcPr>
            <w:tcW w:type="dxa" w:w="154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0.184</w:t>
            </w:r>
          </w:p>
        </w:tc>
      </w:tr>
      <w:tr>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FamilySize</w:t>
            </w:r>
          </w:p>
        </w:tc>
        <w:tc>
          <w:tcPr>
            <w:tcW w:type="dxa" w:w="288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SibSp + Parch + 1</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4.12 (Low)</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0.162</w:t>
            </w:r>
          </w:p>
        </w:tc>
        <w:tc>
          <w:tcPr>
            <w:tcW w:type="dxa" w:w="154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0.115</w:t>
            </w:r>
          </w:p>
        </w:tc>
      </w:tr>
      <w:tr>
        <w:tc>
          <w:tcPr>
            <w:tcW w:type="dxa" w:w="2304"/>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Is_Alone</w:t>
            </w:r>
          </w:p>
        </w:tc>
        <w:tc>
          <w:tcPr>
            <w:tcW w:type="dxa" w:w="288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 if FamilySize == 1 else 0</w:t>
            </w:r>
          </w:p>
        </w:tc>
        <w:tc>
          <w:tcPr>
            <w:tcW w:type="dxa" w:w="1728"/>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2.85 (Low)</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0.108</w:t>
            </w:r>
          </w:p>
        </w:tc>
        <w:tc>
          <w:tcPr>
            <w:tcW w:type="dxa" w:w="1541"/>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0.062</w:t>
            </w:r>
          </w:p>
        </w:tc>
      </w:tr>
      <w:tr>
        <w:tc>
          <w:tcPr>
            <w:tcW w:type="dxa" w:w="2304"/>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Compound_Group_Survival</w:t>
            </w:r>
          </w:p>
        </w:tc>
        <w:tc>
          <w:tcPr>
            <w:tcW w:type="dxa" w:w="288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OOF group historical mean (Laplace)</w:t>
            </w:r>
          </w:p>
        </w:tc>
        <w:tc>
          <w:tcPr>
            <w:tcW w:type="dxa" w:w="1728"/>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1.89 (Low)</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0.312</w:t>
            </w:r>
          </w:p>
        </w:tc>
        <w:tc>
          <w:tcPr>
            <w:tcW w:type="dxa" w:w="1541"/>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0.248</w:t>
            </w:r>
          </w:p>
        </w:tc>
      </w:tr>
    </w:tbl>
    <w:p>
      <w:pPr>
        <w:spacing w:after="120"/>
      </w:pPr>
    </w:p>
    <w:p>
      <w:pPr>
        <w:keepNext/>
        <w:spacing w:before="280" w:after="120"/>
        <w:jc w:val="left"/>
      </w:pPr>
      <w:r>
        <w:rPr>
          <w:rFonts w:ascii="Times New Roman" w:hAnsi="Times New Roman"/>
          <w:b/>
          <w:color w:val="1F2937"/>
          <w:sz w:val="26"/>
        </w:rPr>
        <w:t>3.5 Model Tournament &amp; Optuna Bayesian Optimization Trajectories</w:t>
      </w:r>
    </w:p>
    <w:p>
      <w:pPr>
        <w:spacing w:line="360" w:lineRule="auto" w:after="120"/>
        <w:jc w:val="both"/>
      </w:pPr>
      <w:r>
        <w:rPr>
          <w:rFonts w:ascii="Times New Roman" w:hAnsi="Times New Roman"/>
          <w:color w:val="111827"/>
          <w:sz w:val="24"/>
        </w:rPr>
        <w:t>Rather than arbitrarily selecting an algorithm, Julian executed a rigorous competitive multi-algorithm tournament across five distinct model families under identical 5-fold stratified cross-validation. Table 3.4 summarizes the tournament metrics:</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2592"/>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Candidate Algorithm</w:t>
            </w:r>
          </w:p>
        </w:tc>
        <w:tc>
          <w:tcPr>
            <w:tcW w:type="dxa" w:w="144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Train Accuracy</w:t>
            </w:r>
          </w:p>
        </w:tc>
        <w:tc>
          <w:tcPr>
            <w:tcW w:type="dxa" w:w="216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CV Accuracy (Mean ± Std)</w:t>
            </w:r>
          </w:p>
        </w:tc>
        <w:tc>
          <w:tcPr>
            <w:tcW w:type="dxa" w:w="144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Holdout ROC-AUC</w:t>
            </w:r>
          </w:p>
        </w:tc>
        <w:tc>
          <w:tcPr>
            <w:tcW w:type="dxa" w:w="1440"/>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Holdout PR-AUC</w:t>
            </w:r>
          </w:p>
        </w:tc>
        <w:tc>
          <w:tcPr>
            <w:tcW w:type="dxa" w:w="1685"/>
            <w:shd w:fill="1E3A8A"/>
            <w:tcMar>
              <w:top w:w="120" w:type="dxa"/>
              <w:bottom w:w="120" w:type="dxa"/>
              <w:left w:w="140" w:type="dxa"/>
              <w:right w:w="140" w:type="dxa"/>
            </w:tcMar>
            <w:tcBorders>
              <w:top w:val="single" w:sz="6" w:space="0" w:color="1E3A8A"/>
              <w:left w:val="single" w:sz="4" w:space="0" w:color="CBD5E1"/>
              <w:bottom w:val="single" w:sz="12" w:space="0" w:color="0F172A"/>
              <w:right w:val="single" w:sz="4" w:space="0" w:color="CBD5E1"/>
            </w:tcBorders>
          </w:tcPr>
          <w:p>
            <w:pPr>
              <w:spacing w:after="0"/>
              <w:jc w:val="center"/>
            </w:pPr>
            <w:r>
              <w:rPr>
                <w:rFonts w:ascii="Times New Roman" w:hAnsi="Times New Roman"/>
                <w:b/>
                <w:color w:val="FFFFFF"/>
                <w:sz w:val="21"/>
              </w:rPr>
              <w:t>Generalization Gap</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Dummy Baseline (Prior)</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0.616</w:t>
            </w:r>
          </w:p>
        </w:tc>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0.616 ± 0.002</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0.500</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0.384</w:t>
            </w:r>
          </w:p>
        </w:tc>
        <w:tc>
          <w:tcPr>
            <w:tcW w:type="dxa" w:w="1685"/>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0.000</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Logistic Regression (L2)</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0.828</w:t>
            </w:r>
          </w:p>
        </w:tc>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0.822 ± 0.018</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0.862</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0.828</w:t>
            </w:r>
          </w:p>
        </w:tc>
        <w:tc>
          <w:tcPr>
            <w:tcW w:type="dxa" w:w="1685"/>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0.006</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Random Forest (100 trees)</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0.968</w:t>
            </w:r>
          </w:p>
        </w:tc>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0.835 ± 0.021</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0.871</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0.839</w:t>
            </w:r>
          </w:p>
        </w:tc>
        <w:tc>
          <w:tcPr>
            <w:tcW w:type="dxa" w:w="1685"/>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0.133 (Overfit)</w:t>
            </w:r>
          </w:p>
        </w:tc>
      </w:tr>
      <w:tr>
        <w:tc>
          <w:tcPr>
            <w:tcW w:type="dxa" w:w="2592"/>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HistGradientBoosting</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0.895</w:t>
            </w:r>
          </w:p>
        </w:tc>
        <w:tc>
          <w:tcPr>
            <w:tcW w:type="dxa" w:w="216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0.848 ± 0.015</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0.879</w:t>
            </w:r>
          </w:p>
        </w:tc>
        <w:tc>
          <w:tcPr>
            <w:tcW w:type="dxa" w:w="1440"/>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0.846</w:t>
            </w:r>
          </w:p>
        </w:tc>
        <w:tc>
          <w:tcPr>
            <w:tcW w:type="dxa" w:w="1685"/>
            <w:shd w:fill="F8FAFC"/>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0.047</w:t>
            </w:r>
          </w:p>
        </w:tc>
      </w:tr>
      <w:tr>
        <w:tc>
          <w:tcPr>
            <w:tcW w:type="dxa" w:w="2592"/>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left"/>
            </w:pPr>
            <w:r>
              <w:rPr>
                <w:rFonts w:ascii="Times New Roman" w:hAnsi="Times New Roman"/>
                <w:color w:val="1F2937"/>
                <w:sz w:val="20"/>
              </w:rPr>
              <w:t>LightGBM (Champion)</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0.884</w:t>
            </w:r>
          </w:p>
        </w:tc>
        <w:tc>
          <w:tcPr>
            <w:tcW w:type="dxa" w:w="216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0.862 ± 0.012</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0.882</w:t>
            </w:r>
          </w:p>
        </w:tc>
        <w:tc>
          <w:tcPr>
            <w:tcW w:type="dxa" w:w="1440"/>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0.854</w:t>
            </w:r>
          </w:p>
        </w:tc>
        <w:tc>
          <w:tcPr>
            <w:tcW w:type="dxa" w:w="1685"/>
            <w:shd w:fill="FFFFFF"/>
            <w:tcMar>
              <w:top w:w="90" w:type="dxa"/>
              <w:bottom w:w="9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line="276" w:lineRule="auto"/>
              <w:jc w:val="center"/>
            </w:pPr>
            <w:r>
              <w:rPr>
                <w:rFonts w:ascii="Times New Roman" w:hAnsi="Times New Roman"/>
                <w:color w:val="1F2937"/>
                <w:sz w:val="20"/>
              </w:rPr>
              <w:t>0.022 (Robust)</w:t>
            </w:r>
          </w:p>
        </w:tc>
      </w:tr>
    </w:tbl>
    <w:p>
      <w:pPr>
        <w:spacing w:after="120"/>
      </w:pPr>
    </w:p>
    <w:p>
      <w:pPr>
        <w:spacing w:line="360" w:lineRule="auto" w:after="120"/>
        <w:jc w:val="both"/>
      </w:pPr>
      <w:r>
        <w:rPr>
          <w:rFonts w:ascii="Times New Roman" w:hAnsi="Times New Roman"/>
          <w:color w:val="111827"/>
          <w:sz w:val="24"/>
        </w:rPr>
        <w:t>Following initial benchmarking, LightGBM emerged as the champion architecture, achieving the optimal trade-off between non-linear expressiveness and generalization stability. Julian subsequently initiated an automated 50-trial Bayesian hyperparameter optimization study using Optuna's Tree-Structured Parzen Estimator (TPE).</w:t>
      </w:r>
    </w:p>
    <w:p>
      <w:pPr>
        <w:spacing w:line="360" w:lineRule="auto" w:after="120"/>
        <w:jc w:val="both"/>
      </w:pPr>
      <w:r>
        <w:rPr>
          <w:rFonts w:ascii="Times New Roman" w:hAnsi="Times New Roman"/>
          <w:color w:val="111827"/>
          <w:sz w:val="24"/>
        </w:rPr>
        <w:t>The winning hyperparameter configuration identified by Optuna constrained tree complexity to prevent overfitting on small passenger cohorts: num_leaves = 15, max_depth = 4, learning_rate = 0.042, min_child_samples = 20, colsample_bytree = 0.80, and reg_alpha = 0.15 (L1 regularization). This regularized topology produced a holdout ROC-AUC of 0.882 with a minimal generalization gap of 0.022.</w:t>
      </w:r>
    </w:p>
    <w:p>
      <w:pPr>
        <w:keepNext/>
        <w:spacing w:before="280" w:after="120"/>
        <w:jc w:val="left"/>
      </w:pPr>
      <w:r>
        <w:rPr>
          <w:rFonts w:ascii="Times New Roman" w:hAnsi="Times New Roman"/>
          <w:b/>
          <w:color w:val="1F2937"/>
          <w:sz w:val="26"/>
        </w:rPr>
        <w:t>3.6 Model Governance, SHAP Attribution &amp; Cohort Fairness Auditing</w:t>
      </w:r>
    </w:p>
    <w:p>
      <w:pPr>
        <w:spacing w:line="360" w:lineRule="auto" w:after="120"/>
        <w:jc w:val="both"/>
      </w:pPr>
      <w:r>
        <w:rPr>
          <w:rFonts w:ascii="Times New Roman" w:hAnsi="Times New Roman"/>
          <w:color w:val="111827"/>
          <w:sz w:val="24"/>
        </w:rPr>
        <w:t>Prior to publication approval, Elena executed an exhaustive governance and explainability audit. Using TreeSHAP, exact Shapley values were computed for all 179 holdout test instances. Global SHAP beeswarm attributions revealed that the model's top three decision drivers were (1) Title_Category (female titles and young male 'Master' titles driving strong positive survival shifts), (2) Compound_Group_Survival (confirming that group evacuation dynamics dominated individual survival), and (3) Pclass / Fare_Per_Person (wealthier deck allocations providing physical lifeboat proximity).</w:t>
      </w:r>
    </w:p>
    <w:p>
      <w:pPr>
        <w:spacing w:line="360" w:lineRule="auto" w:after="120"/>
        <w:jc w:val="both"/>
      </w:pPr>
      <w:r>
        <w:rPr>
          <w:rFonts w:ascii="Times New Roman" w:hAnsi="Times New Roman"/>
          <w:color w:val="111827"/>
          <w:sz w:val="24"/>
        </w:rPr>
        <w:t>Furthermore, Elena conducted automated cohort error slicing across demographic and socioeconomic subgroups: (1) 1st Class Female cohort achieved 97.2% precision, (2) 3rd Class Solo Male cohort achieved 91.4% precision on non-survival, and (3) 3rd Class Extended Family cohort exhibited the highest prediction variance (81.2% accuracy), correctly flagged by Elena as an edge case due to competing evacuation choices among parents. Elena officially issued the governance verdict: [APPROVED FOR PRODUCTION INFERENCE].</w:t>
      </w:r>
    </w:p>
    <w:p>
      <w:r>
        <w:br w:type="page"/>
      </w:r>
    </w:p>
    <w:p>
      <w:pPr>
        <w:keepNext/>
        <w:spacing w:before="360" w:after="160"/>
        <w:jc w:val="left"/>
      </w:pPr>
      <w:r>
        <w:rPr>
          <w:rFonts w:ascii="Times New Roman" w:hAnsi="Times New Roman"/>
          <w:b/>
          <w:color w:val="1E3A8A"/>
          <w:sz w:val="30"/>
        </w:rPr>
        <w:t>CHAPTER 4: CONCLUSION, FUTURE SCOPE &amp; REFERENCES</w:t>
      </w:r>
    </w:p>
    <w:p>
      <w:pPr>
        <w:keepNext/>
        <w:spacing w:before="280" w:after="120"/>
        <w:jc w:val="left"/>
      </w:pPr>
      <w:r>
        <w:rPr>
          <w:rFonts w:ascii="Times New Roman" w:hAnsi="Times New Roman"/>
          <w:b/>
          <w:color w:val="1F2937"/>
          <w:sz w:val="26"/>
        </w:rPr>
        <w:t>4.1 Summary of Scientific Contributions</w:t>
      </w:r>
    </w:p>
    <w:p>
      <w:pPr>
        <w:spacing w:line="360" w:lineRule="auto" w:after="120"/>
        <w:jc w:val="both"/>
      </w:pPr>
      <w:r>
        <w:rPr>
          <w:rFonts w:ascii="Times New Roman" w:hAnsi="Times New Roman"/>
          <w:color w:val="111827"/>
          <w:sz w:val="24"/>
        </w:rPr>
        <w:t>This dissertation has introduced ARIA (Autonomous Research Intelligence for Analytics), an enterprise-grade multi-agent autonomous framework designed to overcome the cognitive fragmentation, data leakage risks, and unverified hallucinations prevalent in contemporary automated data science. Through rigorous architectural design, disciplined stage-gating, and adversarial peer review, ARIA advances the state-of-the-art in four key dimensions:</w:t>
      </w:r>
    </w:p>
    <w:p>
      <w:pPr>
        <w:pStyle w:val="ListBullet"/>
        <w:spacing w:line="312" w:lineRule="auto" w:after="80"/>
        <w:jc w:val="both"/>
      </w:pPr>
      <w:r>
        <w:rPr>
          <w:rFonts w:ascii="Times New Roman" w:hAnsi="Times New Roman"/>
          <w:b/>
          <w:sz w:val="24"/>
        </w:rPr>
        <w:t xml:space="preserve">1. Persona-Grounded Specialization: </w:t>
      </w:r>
      <w:r>
        <w:rPr>
          <w:rFonts w:ascii="Times New Roman" w:hAnsi="Times New Roman"/>
          <w:sz w:val="24"/>
        </w:rPr>
        <w:t>Formalization of the Eight-Specialist Lifecycle: We deconstructed the full end-to-end Data Science and Machine Learning lifecycle into eight dedicated specialist agents, each grounded in the published methodologies of renowned historical domain pioneers (Kimball, Celko, Tukey, Deming, Kaggle Grandmasters, Breiman, Rudin, and Tufte). This modular specialization completely eliminates the prompt interference and cognitive overloading that cripples monolithic LLMs.</w:t>
      </w:r>
    </w:p>
    <w:p>
      <w:pPr>
        <w:pStyle w:val="ListBullet"/>
        <w:spacing w:line="312" w:lineRule="auto" w:after="80"/>
        <w:jc w:val="both"/>
      </w:pPr>
      <w:r>
        <w:rPr>
          <w:rFonts w:ascii="Times New Roman" w:hAnsi="Times New Roman"/>
          <w:b/>
          <w:sz w:val="24"/>
        </w:rPr>
        <w:t xml:space="preserve">2. Adversarial Peer Review: </w:t>
      </w:r>
      <w:r>
        <w:rPr>
          <w:rFonts w:ascii="Times New Roman" w:hAnsi="Times New Roman"/>
          <w:sz w:val="24"/>
        </w:rPr>
        <w:t>The ARIA Council Protocol: We designed and implemented the first multi-agent adversarial peer-review mechanism in automated data science. By dynamically convening specialists to cross-examine analytical proposals from competing statistical, pipeline, modeling, and governance perspectives, ARIA intercepts and neutralizes methodological vulnerabilities—such as lookahead data leakage, high VIF collinearity, and tree-depth explosion—before any code is committed to execution.</w:t>
      </w:r>
    </w:p>
    <w:p>
      <w:pPr>
        <w:pStyle w:val="ListBullet"/>
        <w:spacing w:line="312" w:lineRule="auto" w:after="80"/>
        <w:jc w:val="both"/>
      </w:pPr>
      <w:r>
        <w:rPr>
          <w:rFonts w:ascii="Times New Roman" w:hAnsi="Times New Roman"/>
          <w:b/>
          <w:sz w:val="24"/>
        </w:rPr>
        <w:t xml:space="preserve">3. Invariant Enforcement: </w:t>
      </w:r>
      <w:r>
        <w:rPr>
          <w:rFonts w:ascii="Times New Roman" w:hAnsi="Times New Roman"/>
          <w:sz w:val="24"/>
        </w:rPr>
        <w:t>Inviolable Architectural Invariants: ARIA established and enforced strict operational constraints, including a zero-leakage cross-validation isolation harness, deterministic ColumnTransformer serialization, and a zero raw LaTeX typography invariant that guarantees pristine, human-readable Word (.docx) deliverables across all platforms.</w:t>
      </w:r>
    </w:p>
    <w:p>
      <w:pPr>
        <w:pStyle w:val="ListBullet"/>
        <w:spacing w:line="312" w:lineRule="auto" w:after="80"/>
        <w:jc w:val="both"/>
      </w:pPr>
      <w:r>
        <w:rPr>
          <w:rFonts w:ascii="Times New Roman" w:hAnsi="Times New Roman"/>
          <w:b/>
          <w:sz w:val="24"/>
        </w:rPr>
        <w:t xml:space="preserve">4. Concierge Orchestration: </w:t>
      </w:r>
      <w:r>
        <w:rPr>
          <w:rFonts w:ascii="Times New Roman" w:hAnsi="Times New Roman"/>
          <w:sz w:val="24"/>
        </w:rPr>
        <w:t>The Executive Concierge Architecture: Through Alfred, our major-domo concierge, we proved that non-technical corporate leaders can commission complex, multi-agent data science pipelines using intuitive natural language while retaining full control via human confirmation gates.</w:t>
      </w:r>
    </w:p>
    <w:p>
      <w:pPr>
        <w:keepNext/>
        <w:spacing w:before="280" w:after="120"/>
        <w:jc w:val="left"/>
      </w:pPr>
      <w:r>
        <w:rPr>
          <w:rFonts w:ascii="Times New Roman" w:hAnsi="Times New Roman"/>
          <w:b/>
          <w:color w:val="1F2937"/>
          <w:sz w:val="26"/>
        </w:rPr>
        <w:t>4.2 Practical Implications for Enterprise Analytics &amp; MLOps</w:t>
      </w:r>
    </w:p>
    <w:p>
      <w:pPr>
        <w:spacing w:line="360" w:lineRule="auto" w:after="120"/>
        <w:jc w:val="both"/>
      </w:pPr>
      <w:r>
        <w:rPr>
          <w:rFonts w:ascii="Times New Roman" w:hAnsi="Times New Roman"/>
          <w:color w:val="111827"/>
          <w:sz w:val="24"/>
        </w:rPr>
        <w:t>The empirical findings of this research offer profound practical implications for industry data science organizations:</w:t>
      </w:r>
    </w:p>
    <w:p>
      <w:pPr>
        <w:pStyle w:val="ListBullet"/>
        <w:spacing w:line="312" w:lineRule="auto" w:after="80"/>
        <w:jc w:val="both"/>
      </w:pPr>
      <w:r>
        <w:rPr>
          <w:rFonts w:ascii="Times New Roman" w:hAnsi="Times New Roman"/>
          <w:b/>
          <w:sz w:val="24"/>
        </w:rPr>
        <w:t xml:space="preserve">1. Elimination of Silent Failures: </w:t>
      </w:r>
      <w:r>
        <w:rPr>
          <w:rFonts w:ascii="Times New Roman" w:hAnsi="Times New Roman"/>
          <w:sz w:val="24"/>
        </w:rPr>
        <w:t>Democratizing Advanced Modeling Hygiene: Junior analysts and citizen data scientists frequently commit subtle data leakage errors (e.g. fitting scalers on the entire dataset) that cause disastrous production failures. ARIA automates elite-level Kaggle and MLOps hygiene, ensuring that all models deployed into production are mathematically isolated and leak-free.</w:t>
      </w:r>
    </w:p>
    <w:p>
      <w:pPr>
        <w:pStyle w:val="ListBullet"/>
        <w:spacing w:line="312" w:lineRule="auto" w:after="80"/>
        <w:jc w:val="both"/>
      </w:pPr>
      <w:r>
        <w:rPr>
          <w:rFonts w:ascii="Times New Roman" w:hAnsi="Times New Roman"/>
          <w:b/>
          <w:sz w:val="24"/>
        </w:rPr>
        <w:t xml:space="preserve">2. Drastic Cycle-Time Compression: </w:t>
      </w:r>
      <w:r>
        <w:rPr>
          <w:rFonts w:ascii="Times New Roman" w:hAnsi="Times New Roman"/>
          <w:sz w:val="24"/>
        </w:rPr>
        <w:t>Accelerating Analytical Velocity: In typical enterprise settings, transitioning an analytical question from warehouse SQL extraction to an executive brief requires weeks of coordination across multiple teams. ARIA compresses this lifecycle into minutes while maintaining publication-grade documentation and governance audits.</w:t>
      </w:r>
    </w:p>
    <w:p>
      <w:pPr>
        <w:pStyle w:val="ListBullet"/>
        <w:spacing w:line="312" w:lineRule="auto" w:after="80"/>
        <w:jc w:val="both"/>
      </w:pPr>
      <w:r>
        <w:rPr>
          <w:rFonts w:ascii="Times New Roman" w:hAnsi="Times New Roman"/>
          <w:b/>
          <w:sz w:val="24"/>
        </w:rPr>
        <w:t xml:space="preserve">3. Built-In AI Governance: </w:t>
      </w:r>
      <w:r>
        <w:rPr>
          <w:rFonts w:ascii="Times New Roman" w:hAnsi="Times New Roman"/>
          <w:sz w:val="24"/>
        </w:rPr>
        <w:t>Regulatory and Audit Compliance: With rising regulatory mandates regarding AI fairness and explainability (e.g. EU AI Act), ARIA's automated SHAP beeswarm attributions and cohort error slicing provide out-of-the-box model governance documentation required by compliance committees.</w:t>
      </w:r>
    </w:p>
    <w:p>
      <w:pPr>
        <w:keepNext/>
        <w:spacing w:before="280" w:after="120"/>
        <w:jc w:val="left"/>
      </w:pPr>
      <w:r>
        <w:rPr>
          <w:rFonts w:ascii="Times New Roman" w:hAnsi="Times New Roman"/>
          <w:b/>
          <w:color w:val="1F2937"/>
          <w:sz w:val="26"/>
        </w:rPr>
        <w:t>4.3 Limitations of Autonomous Multi-Agent Systems</w:t>
      </w:r>
    </w:p>
    <w:p>
      <w:pPr>
        <w:spacing w:line="360" w:lineRule="auto" w:after="120"/>
        <w:jc w:val="both"/>
      </w:pPr>
      <w:r>
        <w:rPr>
          <w:rFonts w:ascii="Times New Roman" w:hAnsi="Times New Roman"/>
          <w:color w:val="111827"/>
          <w:sz w:val="24"/>
        </w:rPr>
        <w:t>While ARIA represents a substantial leap forward, several technical limitations must be acknowledged:</w:t>
      </w:r>
    </w:p>
    <w:p>
      <w:pPr>
        <w:pStyle w:val="ListBullet"/>
        <w:spacing w:line="312" w:lineRule="auto" w:after="80"/>
        <w:jc w:val="both"/>
      </w:pPr>
      <w:r>
        <w:rPr>
          <w:rFonts w:ascii="Times New Roman" w:hAnsi="Times New Roman"/>
          <w:b/>
          <w:sz w:val="24"/>
        </w:rPr>
        <w:t xml:space="preserve">1. Token Economics &amp; Latency: </w:t>
      </w:r>
      <w:r>
        <w:rPr>
          <w:rFonts w:ascii="Times New Roman" w:hAnsi="Times New Roman"/>
          <w:sz w:val="24"/>
        </w:rPr>
        <w:t>Computational &amp; Token Overhead: Convening multi-agent adversarial debates across 8 specialists increases LLM API token consumption and inference latency compared to simple single-agent prompting. However, this overhead is mitigated by our dynamic gating policy, which reserves the Council strictly for complex decisions.</w:t>
      </w:r>
    </w:p>
    <w:p>
      <w:pPr>
        <w:pStyle w:val="ListBullet"/>
        <w:spacing w:line="312" w:lineRule="auto" w:after="80"/>
        <w:jc w:val="both"/>
      </w:pPr>
      <w:r>
        <w:rPr>
          <w:rFonts w:ascii="Times New Roman" w:hAnsi="Times New Roman"/>
          <w:b/>
          <w:sz w:val="24"/>
        </w:rPr>
        <w:t xml:space="preserve">2. Foundation Model Reasoning: </w:t>
      </w:r>
      <w:r>
        <w:rPr>
          <w:rFonts w:ascii="Times New Roman" w:hAnsi="Times New Roman"/>
          <w:sz w:val="24"/>
        </w:rPr>
        <w:t>Dependency on LLM Coding Competency: ARIA relies on the underlying LLM's capacity to synthesize syntactically valid Python and SQL. While self-verifying test assertions catch execution exceptions, highly non-standard database dialects can occasionally require fallback retries.</w:t>
      </w:r>
    </w:p>
    <w:p>
      <w:pPr>
        <w:pStyle w:val="ListBullet"/>
        <w:spacing w:line="312" w:lineRule="auto" w:after="80"/>
        <w:jc w:val="both"/>
      </w:pPr>
      <w:r>
        <w:rPr>
          <w:rFonts w:ascii="Times New Roman" w:hAnsi="Times New Roman"/>
          <w:b/>
          <w:sz w:val="24"/>
        </w:rPr>
        <w:t xml:space="preserve">3. Data Modality Scope: </w:t>
      </w:r>
      <w:r>
        <w:rPr>
          <w:rFonts w:ascii="Times New Roman" w:hAnsi="Times New Roman"/>
          <w:sz w:val="24"/>
        </w:rPr>
        <w:t>Tabular Domain Focus: The current implementation is tailored primarily for structured tabular and relational data. Complex multimodal inputs (e.g. raw unstructured video streams or biomedical 3D imaging) require dedicated specialized visual agents.</w:t>
      </w:r>
    </w:p>
    <w:p>
      <w:pPr>
        <w:keepNext/>
        <w:spacing w:before="280" w:after="120"/>
        <w:jc w:val="left"/>
      </w:pPr>
      <w:r>
        <w:rPr>
          <w:rFonts w:ascii="Times New Roman" w:hAnsi="Times New Roman"/>
          <w:b/>
          <w:color w:val="1F2937"/>
          <w:sz w:val="26"/>
        </w:rPr>
        <w:t>4.4 Future Directions &amp; Research Roadmap</w:t>
      </w:r>
    </w:p>
    <w:p>
      <w:pPr>
        <w:spacing w:line="360" w:lineRule="auto" w:after="120"/>
        <w:jc w:val="both"/>
      </w:pPr>
      <w:r>
        <w:rPr>
          <w:rFonts w:ascii="Times New Roman" w:hAnsi="Times New Roman"/>
          <w:color w:val="111827"/>
          <w:sz w:val="24"/>
        </w:rPr>
        <w:t>We chart several promising avenues for future research:</w:t>
      </w:r>
    </w:p>
    <w:p>
      <w:pPr>
        <w:pStyle w:val="ListBullet"/>
        <w:spacing w:line="312" w:lineRule="auto" w:after="80"/>
        <w:jc w:val="both"/>
      </w:pPr>
      <w:r>
        <w:rPr>
          <w:rFonts w:ascii="Times New Roman" w:hAnsi="Times New Roman"/>
          <w:b/>
          <w:sz w:val="24"/>
        </w:rPr>
        <w:t xml:space="preserve">1. Continuous Agent Memory: </w:t>
      </w:r>
      <w:r>
        <w:rPr>
          <w:rFonts w:ascii="Times New Roman" w:hAnsi="Times New Roman"/>
          <w:sz w:val="24"/>
        </w:rPr>
        <w:t>Episodic Knowledge Graphs &amp; Long-Term Memory: Integrating vector-indexed graph databases to allow specialists to accumulate institutional domain memory across historical projects.</w:t>
      </w:r>
    </w:p>
    <w:p>
      <w:pPr>
        <w:pStyle w:val="ListBullet"/>
        <w:spacing w:line="312" w:lineRule="auto" w:after="80"/>
        <w:jc w:val="both"/>
      </w:pPr>
      <w:r>
        <w:rPr>
          <w:rFonts w:ascii="Times New Roman" w:hAnsi="Times New Roman"/>
          <w:b/>
          <w:sz w:val="24"/>
        </w:rPr>
        <w:t xml:space="preserve">2. Continuous Production Monitoring: </w:t>
      </w:r>
      <w:r>
        <w:rPr>
          <w:rFonts w:ascii="Times New Roman" w:hAnsi="Times New Roman"/>
          <w:sz w:val="24"/>
        </w:rPr>
        <w:t>Automated Production Drift Monitoring: Extending Elena's mandate to real-time streaming inference, detecting covariate shift via Kolmogorov-Smirnov tests and triggering automated model retraining.</w:t>
      </w:r>
    </w:p>
    <w:p>
      <w:pPr>
        <w:pStyle w:val="ListBullet"/>
        <w:spacing w:line="312" w:lineRule="auto" w:after="80"/>
        <w:jc w:val="both"/>
      </w:pPr>
      <w:r>
        <w:rPr>
          <w:rFonts w:ascii="Times New Roman" w:hAnsi="Times New Roman"/>
          <w:b/>
          <w:sz w:val="24"/>
        </w:rPr>
        <w:t xml:space="preserve">3. Causal AI Expansion: </w:t>
      </w:r>
      <w:r>
        <w:rPr>
          <w:rFonts w:ascii="Times New Roman" w:hAnsi="Times New Roman"/>
          <w:sz w:val="24"/>
        </w:rPr>
        <w:t>Causal Inference Integration: Introducing a ninth specialist agent inspired by Judea Pearl to conduct causal DAG discovery, do-calculus, and counterfactual policy simulation beyond pure statistical correlation.</w:t>
      </w:r>
    </w:p>
    <w:p>
      <w:r>
        <w:br w:type="page"/>
      </w:r>
    </w:p>
    <w:p>
      <w:pPr>
        <w:keepNext/>
        <w:spacing w:before="360" w:after="160"/>
        <w:jc w:val="left"/>
      </w:pPr>
      <w:r>
        <w:rPr>
          <w:rFonts w:ascii="Times New Roman" w:hAnsi="Times New Roman"/>
          <w:b/>
          <w:color w:val="1E3A8A"/>
          <w:sz w:val="30"/>
        </w:rPr>
        <w:t>REFERENCES</w:t>
      </w:r>
    </w:p>
    <w:p>
      <w:pPr>
        <w:spacing w:line="276" w:lineRule="auto" w:after="60"/>
        <w:ind w:left="504" w:hanging="504"/>
      </w:pPr>
      <w:r>
        <w:rPr>
          <w:rFonts w:ascii="Times New Roman" w:hAnsi="Times New Roman"/>
          <w:sz w:val="20"/>
        </w:rPr>
        <w:t>[1] J. Tukey, Exploratory Data Analysis. Reading, MA: Addison-Wesley, 1977.</w:t>
      </w:r>
    </w:p>
    <w:p>
      <w:pPr>
        <w:spacing w:line="276" w:lineRule="auto" w:after="60"/>
        <w:ind w:left="504" w:hanging="504"/>
      </w:pPr>
      <w:r>
        <w:rPr>
          <w:rFonts w:ascii="Times New Roman" w:hAnsi="Times New Roman"/>
          <w:sz w:val="20"/>
        </w:rPr>
        <w:t>[2] R. Kimball and M. Ross, The Data Warehouse Toolkit: The Definitive Guide to Dimensional Modeling, 3rd ed. New York: Wiley, 2013.</w:t>
      </w:r>
    </w:p>
    <w:p>
      <w:pPr>
        <w:spacing w:line="276" w:lineRule="auto" w:after="60"/>
        <w:ind w:left="504" w:hanging="504"/>
      </w:pPr>
      <w:r>
        <w:rPr>
          <w:rFonts w:ascii="Times New Roman" w:hAnsi="Times New Roman"/>
          <w:sz w:val="20"/>
        </w:rPr>
        <w:t>[3] J. Celko, Joe Celko's SQL for Smarties: Advanced SQL Programming, 5th ed. Amsterdam: Morgan Kaufmann, 2014.</w:t>
      </w:r>
    </w:p>
    <w:p>
      <w:pPr>
        <w:spacing w:line="276" w:lineRule="auto" w:after="60"/>
        <w:ind w:left="504" w:hanging="504"/>
      </w:pPr>
      <w:r>
        <w:rPr>
          <w:rFonts w:ascii="Times New Roman" w:hAnsi="Times New Roman"/>
          <w:sz w:val="20"/>
        </w:rPr>
        <w:t>[4] W. E. Deming, Out of the Crisis. Cambridge, MA: MIT Press, 2000.</w:t>
      </w:r>
    </w:p>
    <w:p>
      <w:pPr>
        <w:spacing w:line="276" w:lineRule="auto" w:after="60"/>
        <w:ind w:left="504" w:hanging="504"/>
      </w:pPr>
      <w:r>
        <w:rPr>
          <w:rFonts w:ascii="Times New Roman" w:hAnsi="Times New Roman"/>
          <w:sz w:val="20"/>
        </w:rPr>
        <w:t>[5] L. Breiman, 'Random Forests,' Machine Learning, vol. 45, no. 1, pp. 5–32, 2001.</w:t>
      </w:r>
    </w:p>
    <w:p>
      <w:pPr>
        <w:spacing w:line="276" w:lineRule="auto" w:after="60"/>
        <w:ind w:left="504" w:hanging="504"/>
      </w:pPr>
      <w:r>
        <w:rPr>
          <w:rFonts w:ascii="Times New Roman" w:hAnsi="Times New Roman"/>
          <w:sz w:val="20"/>
        </w:rPr>
        <w:t>[6] T. Chen and C. Guestrin, 'XGBoost: A Scalable Tree Boosting System,' in Proc. 22nd ACM SIGKDD Int. Conf., 2016, pp. 785–794.</w:t>
      </w:r>
    </w:p>
    <w:p>
      <w:pPr>
        <w:spacing w:line="276" w:lineRule="auto" w:after="60"/>
        <w:ind w:left="504" w:hanging="504"/>
      </w:pPr>
      <w:r>
        <w:rPr>
          <w:rFonts w:ascii="Times New Roman" w:hAnsi="Times New Roman"/>
          <w:sz w:val="20"/>
        </w:rPr>
        <w:t>[7] G. Ke, Q. Meng, T. Finley, et al., 'LightGBM: A Highly Efficient Gradient Boosting Decision Tree,' in NeurIPS, vol. 30, 2017.</w:t>
      </w:r>
    </w:p>
    <w:p>
      <w:pPr>
        <w:spacing w:line="276" w:lineRule="auto" w:after="60"/>
        <w:ind w:left="504" w:hanging="504"/>
      </w:pPr>
      <w:r>
        <w:rPr>
          <w:rFonts w:ascii="Times New Roman" w:hAnsi="Times New Roman"/>
          <w:sz w:val="20"/>
        </w:rPr>
        <w:t>[8] S. M. Lundberg and S.-I. Lee, 'A Unified Approach to Interpreting Model Predictions,' in NeurIPS, vol. 30, 2017.</w:t>
      </w:r>
    </w:p>
    <w:p>
      <w:pPr>
        <w:spacing w:line="276" w:lineRule="auto" w:after="60"/>
        <w:ind w:left="504" w:hanging="504"/>
      </w:pPr>
      <w:r>
        <w:rPr>
          <w:rFonts w:ascii="Times New Roman" w:hAnsi="Times New Roman"/>
          <w:sz w:val="20"/>
        </w:rPr>
        <w:t>[9] C. Rudin, 'Stop Explaining Black Box Machine Learning Models for High Stakes Decisions,' Nature Machine Intelligence, vol. 1, pp. 206–215, 2019.</w:t>
      </w:r>
    </w:p>
    <w:p>
      <w:pPr>
        <w:spacing w:line="276" w:lineRule="auto" w:after="60"/>
        <w:ind w:left="504" w:hanging="504"/>
      </w:pPr>
      <w:r>
        <w:rPr>
          <w:rFonts w:ascii="Times New Roman" w:hAnsi="Times New Roman"/>
          <w:sz w:val="20"/>
        </w:rPr>
        <w:t>[10] E. R. Tufte, The Visual Display of Quantitative Information, 2nd ed. Cheshire, CT: Graphics Press, 2001.</w:t>
      </w:r>
    </w:p>
    <w:p>
      <w:pPr>
        <w:spacing w:line="276" w:lineRule="auto" w:after="60"/>
        <w:ind w:left="504" w:hanging="504"/>
      </w:pPr>
      <w:r>
        <w:rPr>
          <w:rFonts w:ascii="Times New Roman" w:hAnsi="Times New Roman"/>
          <w:sz w:val="20"/>
        </w:rPr>
        <w:t>[11] B. Minto, The Pyramid Principle: Logic in Writing and Thinking, 3rd ed. London: Financial Times, 2002.</w:t>
      </w:r>
    </w:p>
    <w:p>
      <w:pPr>
        <w:spacing w:line="276" w:lineRule="auto" w:after="60"/>
        <w:ind w:left="504" w:hanging="504"/>
      </w:pPr>
      <w:r>
        <w:rPr>
          <w:rFonts w:ascii="Times New Roman" w:hAnsi="Times New Roman"/>
          <w:sz w:val="20"/>
        </w:rPr>
        <w:t>[12] S. Yao, J. Zhao, D. Yu, et al., 'ReAct: Synergizing Reasoning and Acting in Language Models,' in ICLR, 2023.</w:t>
      </w:r>
    </w:p>
    <w:p>
      <w:pPr>
        <w:spacing w:line="276" w:lineRule="auto" w:after="60"/>
        <w:ind w:left="504" w:hanging="504"/>
      </w:pPr>
      <w:r>
        <w:rPr>
          <w:rFonts w:ascii="Times New Roman" w:hAnsi="Times New Roman"/>
          <w:sz w:val="20"/>
        </w:rPr>
        <w:t>[13] Q. Wu, G. Bansal, J. Zhang, et al., 'AutoGen: Enabling Next-Gen LLM Applications via Multi-Agent Conversation,' arXiv:2308.08155, 2023.</w:t>
      </w:r>
    </w:p>
    <w:p>
      <w:pPr>
        <w:spacing w:line="276" w:lineRule="auto" w:after="60"/>
        <w:ind w:left="504" w:hanging="504"/>
      </w:pPr>
      <w:r>
        <w:rPr>
          <w:rFonts w:ascii="Times New Roman" w:hAnsi="Times New Roman"/>
          <w:sz w:val="20"/>
        </w:rPr>
        <w:t>[14] C. Hong, M. Zhuge, J. Chen, et al., 'MetaGPT: Meta Programming for Multi-Agent Collaborative Framework,' arXiv:2308.00352, 2023.</w:t>
      </w:r>
    </w:p>
    <w:p>
      <w:pPr>
        <w:spacing w:line="276" w:lineRule="auto" w:after="60"/>
        <w:ind w:left="504" w:hanging="504"/>
      </w:pPr>
      <w:r>
        <w:rPr>
          <w:rFonts w:ascii="Times New Roman" w:hAnsi="Times New Roman"/>
          <w:sz w:val="20"/>
        </w:rPr>
        <w:t>[15] T. Akiba, S. Sano, T. Yanase, et al., 'Optuna: A Next-generation Hyperparameter Optimization Framework,' in KDD, 2019, pp. 2623–2631.</w:t>
      </w:r>
    </w:p>
    <w:p>
      <w:pPr>
        <w:spacing w:line="276" w:lineRule="auto" w:after="60"/>
        <w:ind w:left="504" w:hanging="504"/>
      </w:pPr>
      <w:r>
        <w:rPr>
          <w:rFonts w:ascii="Times New Roman" w:hAnsi="Times New Roman"/>
          <w:sz w:val="20"/>
        </w:rPr>
        <w:t>[16] F. Pedregosa, G. Varoquaux, et al., 'Scikit-learn: Machine Learning in Python,' JMLR, vol. 12, pp. 2825–2830, 2011.</w:t>
      </w:r>
    </w:p>
    <w:p>
      <w:pPr>
        <w:spacing w:line="276" w:lineRule="auto" w:after="60"/>
        <w:ind w:left="504" w:hanging="504"/>
      </w:pPr>
      <w:r>
        <w:rPr>
          <w:rFonts w:ascii="Times New Roman" w:hAnsi="Times New Roman"/>
          <w:sz w:val="20"/>
        </w:rPr>
        <w:t>[17] M. Raasveldt and H. Mühleisen, 'DuckDB: An Embeddable Analytical Database,' in Proc. ACM SIGMOD, 2019, pp. 1981–1984.</w:t>
      </w:r>
    </w:p>
    <w:p>
      <w:pPr>
        <w:spacing w:line="276" w:lineRule="auto" w:after="60"/>
        <w:ind w:left="504" w:hanging="504"/>
      </w:pPr>
      <w:r>
        <w:rPr>
          <w:rFonts w:ascii="Times New Roman" w:hAnsi="Times New Roman"/>
          <w:sz w:val="20"/>
        </w:rPr>
        <w:t>[18] S. Kaufman, S. Rosset, and C. Perlich, 'Leakage in Data Mining: Formulation, Detection, and Avoidance,' ACM TKDD, vol. 6, no. 4, 2012.</w:t>
      </w:r>
    </w:p>
    <w:p>
      <w:pPr>
        <w:keepNext/>
        <w:spacing w:before="320" w:after="160"/>
        <w:jc w:val="left"/>
      </w:pPr>
      <w:r>
        <w:rPr>
          <w:rFonts w:ascii="Times New Roman" w:hAnsi="Times New Roman"/>
          <w:b/>
          <w:color w:val="1E3A8A"/>
          <w:sz w:val="30"/>
        </w:rPr>
        <w:t>APPENDIX: SYSTEM PROMPTS &amp; PIPELINE ARTIFACTS</w:t>
      </w:r>
    </w:p>
    <w:p>
      <w:pPr>
        <w:keepNext/>
        <w:spacing w:before="200" w:after="80"/>
        <w:jc w:val="left"/>
      </w:pPr>
      <w:r>
        <w:rPr>
          <w:rFonts w:ascii="Times New Roman" w:hAnsi="Times New Roman"/>
          <w:b/>
          <w:color w:val="1F2937"/>
          <w:sz w:val="26"/>
        </w:rPr>
        <w:t>Appendix A: The ARIA Council Protocol System Kernel</w:t>
      </w:r>
    </w:p>
    <w:p>
      <w:pPr>
        <w:spacing w:line="360" w:lineRule="auto" w:after="120"/>
        <w:jc w:val="both"/>
      </w:pPr>
      <w:r>
        <w:rPr>
          <w:rFonts w:ascii="Times New Roman" w:hAnsi="Times New Roman"/>
          <w:color w:val="111827"/>
          <w:sz w:val="24"/>
        </w:rPr>
        <w:t>Below is the verified behavioral kernel enforcing adversarial cross-examination within the ARIA Council (ds-agent-council):</w:t>
      </w:r>
    </w:p>
    <w:p>
      <w:pPr>
        <w:pStyle w:val="ListBullet"/>
        <w:spacing w:line="312" w:lineRule="auto" w:after="80"/>
        <w:jc w:val="both"/>
      </w:pPr>
      <w:r>
        <w:rPr>
          <w:rFonts w:ascii="Times New Roman" w:hAnsi="Times New Roman"/>
          <w:b/>
          <w:sz w:val="24"/>
        </w:rPr>
        <w:t xml:space="preserve">Invariant 1: </w:t>
      </w:r>
      <w:r>
        <w:rPr>
          <w:rFonts w:ascii="Times New Roman" w:hAnsi="Times New Roman"/>
          <w:sz w:val="24"/>
        </w:rPr>
        <w:t>Dynamic Gating: Routine data inspections bypass the Council. High-stakes feature engineering, imputation strategies, and modeling dilemmas MANDATE the Council roundtable.</w:t>
      </w:r>
    </w:p>
    <w:p>
      <w:pPr>
        <w:pStyle w:val="ListBullet"/>
        <w:spacing w:line="312" w:lineRule="auto" w:after="80"/>
        <w:jc w:val="both"/>
      </w:pPr>
      <w:r>
        <w:rPr>
          <w:rFonts w:ascii="Times New Roman" w:hAnsi="Times New Roman"/>
          <w:b/>
          <w:sz w:val="24"/>
        </w:rPr>
        <w:t xml:space="preserve">Invariant 2: </w:t>
      </w:r>
      <w:r>
        <w:rPr>
          <w:rFonts w:ascii="Times New Roman" w:hAnsi="Times New Roman"/>
          <w:sz w:val="24"/>
        </w:rPr>
        <w:t>Adversarial Integrity: Each specialist must provide concrete statistical, pipeline, or governance critiques. Superficial consensus is strictly prohibited.</w:t>
      </w:r>
    </w:p>
    <w:p>
      <w:pPr>
        <w:pStyle w:val="ListBullet"/>
        <w:spacing w:line="312" w:lineRule="auto" w:after="80"/>
        <w:jc w:val="both"/>
      </w:pPr>
      <w:r>
        <w:rPr>
          <w:rFonts w:ascii="Times New Roman" w:hAnsi="Times New Roman"/>
          <w:b/>
          <w:sz w:val="24"/>
        </w:rPr>
        <w:t xml:space="preserve">Invariant 3: </w:t>
      </w:r>
      <w:r>
        <w:rPr>
          <w:rFonts w:ascii="Times New Roman" w:hAnsi="Times New Roman"/>
          <w:sz w:val="24"/>
        </w:rPr>
        <w:t>Zero Raw LaTeX Standard: Equations and metrics must be output as clean inline code spans (e.g. FamilySize = SibSp + Parch + 1) or Unicode mathematical symbols (±, ², ≥, ≤, ×, ÷). Raw LaTeX syntax ($...$, \text{...}) is permanently forbidden.</w:t>
      </w:r>
    </w:p>
    <w:p>
      <w:pPr>
        <w:pStyle w:val="ListBullet"/>
        <w:spacing w:line="312" w:lineRule="auto" w:after="80"/>
        <w:jc w:val="both"/>
      </w:pPr>
      <w:r>
        <w:rPr>
          <w:rFonts w:ascii="Times New Roman" w:hAnsi="Times New Roman"/>
          <w:b/>
          <w:sz w:val="24"/>
        </w:rPr>
        <w:t xml:space="preserve">Invariant 4: </w:t>
      </w:r>
      <w:r>
        <w:rPr>
          <w:rFonts w:ascii="Times New Roman" w:hAnsi="Times New Roman"/>
          <w:sz w:val="24"/>
        </w:rPr>
        <w:t>Human-in-the-Loop Confirmation Gate: No final Word deliverable is published without explicit user preview and sign-off.</w:t>
      </w:r>
    </w:p>
    <w:p>
      <w:pPr>
        <w:keepNext/>
        <w:spacing w:before="280" w:after="120"/>
        <w:jc w:val="left"/>
      </w:pPr>
      <w:r>
        <w:rPr>
          <w:rFonts w:ascii="Times New Roman" w:hAnsi="Times New Roman"/>
          <w:b/>
          <w:color w:val="1F2937"/>
          <w:sz w:val="26"/>
        </w:rPr>
        <w:t>Appendix B: Reproducible Pipeline Execution Artifacts</w:t>
      </w:r>
    </w:p>
    <w:p>
      <w:pPr>
        <w:spacing w:line="360" w:lineRule="auto" w:after="120"/>
        <w:jc w:val="both"/>
      </w:pPr>
      <w:r>
        <w:rPr>
          <w:rFonts w:ascii="Times New Roman" w:hAnsi="Times New Roman"/>
          <w:color w:val="111827"/>
          <w:sz w:val="24"/>
        </w:rPr>
        <w:t>All experimental pipelines, Parquet extracts, trained model binaries, and Optuna databases generated during this research are archived in the ARIA repository structure (scripts/, data/, models/, reports/). The complete software artifact suite is fully reproducible via standard Python 3.10+ execution environments.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