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after="360" w:line="312" w:lineRule="auto"/>
        <w:jc w:val="center"/>
      </w:pPr>
      <w:r>
        <w:rPr>
          <w:rFonts w:ascii="Times New Roman" w:hAnsi="Times New Roman"/>
          <w:b/>
          <w:color w:val="0F172A"/>
          <w:sz w:val="34"/>
        </w:rPr>
        <w:t>ARIA: AUTONOMOUS RESEARCH INTELLIGENCE FOR ANALYTICS</w:t>
        <w:br/>
        <w:t>AN ADVERSARIAL MULTI-AGENT COLLABORATIVE FRAMEWORK FOR ENTERPRISE DATA SCIENCE</w:t>
      </w:r>
    </w:p>
    <w:p>
      <w:pPr>
        <w:spacing w:before="360" w:after="240"/>
        <w:jc w:val="center"/>
      </w:pPr>
      <w:r>
        <w:rPr>
          <w:rFonts w:ascii="Times New Roman" w:hAnsi="Times New Roman"/>
          <w:i/>
          <w:sz w:val="24"/>
        </w:rPr>
        <w:t>A DISSERTATION REPORT</w:t>
        <w:br/>
        <w:t>Submitted in partial fulfillment of the requirements</w:t>
        <w:br/>
        <w:t>for the award of the degree of</w:t>
      </w:r>
    </w:p>
    <w:p>
      <w:pPr>
        <w:spacing w:before="240" w:after="480"/>
        <w:jc w:val="center"/>
      </w:pPr>
      <w:r>
        <w:rPr>
          <w:rFonts w:ascii="Times New Roman" w:hAnsi="Times New Roman"/>
          <w:b/>
          <w:sz w:val="30"/>
        </w:rPr>
        <w:t>MASTER OF SCIENCE IN DATA SCIENCE</w:t>
      </w:r>
    </w:p>
    <w:p>
      <w:pPr>
        <w:spacing w:before="240" w:after="120"/>
        <w:jc w:val="center"/>
      </w:pPr>
      <w:r>
        <w:rPr>
          <w:rFonts w:ascii="Times New Roman" w:hAnsi="Times New Roman"/>
          <w:b/>
          <w:sz w:val="24"/>
        </w:rPr>
        <w:t>Submitted by:</w:t>
      </w:r>
    </w:p>
    <w:p>
      <w:pPr>
        <w:spacing w:after="480" w:line="312" w:lineRule="auto"/>
        <w:jc w:val="center"/>
      </w:pPr>
      <w:r>
        <w:rPr>
          <w:rFonts w:ascii="Times New Roman" w:hAnsi="Times New Roman"/>
          <w:b/>
          <w:sz w:val="26"/>
        </w:rPr>
        <w:t>RAVINDRAN (Reg. No: 25MDT1133)</w:t>
        <w:br/>
        <w:t>NITHISHSARAN (Reg. No: 25MDT1089)</w:t>
      </w:r>
    </w:p>
    <w:p>
      <w:pPr>
        <w:spacing w:before="240" w:after="120"/>
        <w:jc w:val="center"/>
      </w:pPr>
      <w:r>
        <w:rPr>
          <w:rFonts w:ascii="Times New Roman" w:hAnsi="Times New Roman"/>
          <w:b/>
          <w:sz w:val="24"/>
        </w:rPr>
        <w:t>Under the guidance of:</w:t>
      </w:r>
    </w:p>
    <w:p>
      <w:pPr>
        <w:spacing w:after="720" w:line="288" w:lineRule="auto"/>
        <w:jc w:val="center"/>
      </w:pPr>
      <w:r>
        <w:rPr>
          <w:rFonts w:ascii="Times New Roman" w:hAnsi="Times New Roman"/>
          <w:sz w:val="25"/>
        </w:rPr>
        <w:t>Dr. NAZEER ANSARI</w:t>
        <w:br/>
        <w:t>Associate Professor</w:t>
        <w:br/>
        <w:t>Department of Mathematics, School of Advanced Sciences</w:t>
      </w:r>
    </w:p>
    <w:p>
      <w:pPr>
        <w:spacing w:before="480" w:after="0" w:line="288" w:lineRule="auto"/>
        <w:jc w:val="center"/>
      </w:pPr>
      <w:r>
        <w:rPr>
          <w:rFonts w:ascii="Times New Roman" w:hAnsi="Times New Roman"/>
          <w:b/>
          <w:sz w:val="24"/>
        </w:rPr>
        <w:t>DEPARTMENT OF MATHEMATICS</w:t>
        <w:br/>
        <w:t>SCHOOL OF ADVANCED SCIENCES</w:t>
        <w:br/>
        <w:t>VELLORE INSTITUTE OF TECHNOLOGY (VIT CHENNAI)</w:t>
        <w:br/>
        <w:t>Vandalur-Kelambakkam Road, Chennai – 600 127</w:t>
        <w:br/>
        <w:t>October, 2026</w:t>
      </w:r>
    </w:p>
    <w:p>
      <w:r>
        <w:br w:type="page"/>
      </w:r>
    </w:p>
    <w:p>
      <w:pPr>
        <w:spacing w:before="360" w:after="360" w:line="288" w:lineRule="auto"/>
        <w:jc w:val="center"/>
      </w:pPr>
      <w:r>
        <w:rPr>
          <w:rFonts w:ascii="Times New Roman" w:hAnsi="Times New Roman"/>
          <w:b/>
          <w:color w:val="0F172A"/>
          <w:sz w:val="36"/>
        </w:rPr>
        <w:t>DECLARATION</w:t>
      </w:r>
    </w:p>
    <w:p>
      <w:pPr>
        <w:spacing w:line="360" w:lineRule="auto" w:after="120"/>
        <w:jc w:val="both"/>
      </w:pPr>
      <w:r>
        <w:rPr>
          <w:rFonts w:ascii="Times New Roman" w:hAnsi="Times New Roman"/>
          <w:color w:val="111827"/>
          <w:sz w:val="24"/>
        </w:rPr>
        <w:t>We hereby declare that the Dissertation-I titled "ARIA: Autonomous Research Intelligence for Analytics — An Adversarial Multi-Agent Collaborative Framework for Enterprise Data Science" submitted by us, for the award of the degree of Master of Science in Data Science to Vellore Institute of Technology (VIT Chennai), is a record of bonafide original research work carried out by us under the supervision and guidance of Dr. Nazeer Ansari, Department of Mathematics, School of Advanced Sciences, VIT Chennai.</w:t>
      </w:r>
    </w:p>
    <w:p>
      <w:pPr>
        <w:spacing w:line="360" w:lineRule="auto" w:after="120"/>
        <w:jc w:val="both"/>
      </w:pPr>
      <w:r>
        <w:rPr>
          <w:rFonts w:ascii="Times New Roman" w:hAnsi="Times New Roman"/>
          <w:color w:val="111827"/>
          <w:sz w:val="24"/>
        </w:rPr>
        <w:t>We further declare that the work reported in this dissertation has not been submitted either in part or in full, to any other university or institute for the award of any other degree, diploma, or fellowship. All secondary sources, statistical theories, open-source libraries, and benchmark datasets utilized during this investigation have been dutifully acknowledged and cited.</w:t>
      </w:r>
    </w:p>
    <w:p>
      <w:pPr>
        <w:spacing w:after="800"/>
      </w:pPr>
    </w:p>
    <w:p>
      <w:pPr>
        <w:spacing w:line="312" w:lineRule="auto"/>
        <w:jc w:val="left"/>
      </w:pPr>
      <w:r>
        <w:rPr>
          <w:rFonts w:ascii="Times New Roman" w:hAnsi="Times New Roman"/>
          <w:sz w:val="24"/>
        </w:rPr>
        <w:t>Place: Chennai</w:t>
        <w:br/>
        <w:t>Date: 26th October, 2026</w:t>
        <w:br/>
        <w:br/>
        <w:br/>
        <w:t>___________________________</w:t>
        <w:br/>
        <w:t>RAVINDRAN (25MDT1133)</w:t>
        <w:br/>
        <w:br/>
        <w:br/>
        <w:t>___________________________</w:t>
        <w:br/>
        <w:t>NITHISHSARAN (25MDT1089)</w:t>
      </w:r>
    </w:p>
    <w:p>
      <w:r>
        <w:br w:type="page"/>
      </w:r>
    </w:p>
    <w:p>
      <w:pPr>
        <w:spacing w:before="360" w:after="360" w:line="288" w:lineRule="auto"/>
        <w:jc w:val="center"/>
      </w:pPr>
      <w:r>
        <w:rPr>
          <w:rFonts w:ascii="Times New Roman" w:hAnsi="Times New Roman"/>
          <w:b/>
          <w:color w:val="0F172A"/>
          <w:sz w:val="36"/>
        </w:rPr>
        <w:t>CERTIFICATE</w:t>
      </w:r>
    </w:p>
    <w:p>
      <w:pPr>
        <w:spacing w:line="360" w:lineRule="auto" w:after="120"/>
        <w:jc w:val="both"/>
      </w:pPr>
      <w:r>
        <w:rPr>
          <w:rFonts w:ascii="Times New Roman" w:hAnsi="Times New Roman"/>
          <w:color w:val="111827"/>
          <w:sz w:val="24"/>
        </w:rPr>
        <w:t>This is to certify that the dissertation entitled "ARIA: Autonomous Research Intelligence for Analytics — An Adversarial Multi-Agent Collaborative Framework for Enterprise Data Science" is a bonafide record of work done jointly by RAVINDRAN (Reg. No: 25MDT1133) and NITHISHSARAN (Reg. No: 25MDT1089) in partial fulfillment of the requirements for the award of the degree of MASTER OF SCIENCE IN DATA SCIENCE of the Department of Mathematics, School of Advanced Sciences, Vellore Institute of Technology Chennai, during the academic year 2025–2026.</w:t>
      </w:r>
    </w:p>
    <w:p>
      <w:pPr>
        <w:spacing w:line="360" w:lineRule="auto" w:after="120"/>
        <w:jc w:val="both"/>
      </w:pPr>
      <w:r>
        <w:rPr>
          <w:rFonts w:ascii="Times New Roman" w:hAnsi="Times New Roman"/>
          <w:color w:val="111827"/>
          <w:sz w:val="24"/>
        </w:rPr>
        <w:t>This research represents an original investigation conducted under my supervision. The results embodied in this dissertation have not been submitted to any other university or institute for the award of any other degree or diploma.</w:t>
      </w:r>
    </w:p>
    <w:p>
      <w:pPr>
        <w:spacing w:line="288" w:lineRule="auto" w:before="240" w:after="240"/>
      </w:pPr>
      <w:r>
        <w:rPr>
          <w:rFonts w:ascii="Times New Roman" w:hAnsi="Times New Roman"/>
          <w:sz w:val="23"/>
        </w:rPr>
        <w:t>Place  : Chennai</w:t>
        <w:br/>
        <w:t>Date   : 26th October, 2026</w:t>
      </w:r>
    </w:p>
    <w:p>
      <w:pPr>
        <w:spacing w:line="288" w:lineRule="auto" w:after="280"/>
        <w:jc w:val="right"/>
      </w:pPr>
      <w:r>
        <w:rPr>
          <w:rFonts w:ascii="Times New Roman" w:hAnsi="Times New Roman"/>
          <w:sz w:val="23"/>
        </w:rPr>
        <w:t>Signature of the Guide</w:t>
        <w:br/>
        <w:br/>
        <w:br/>
        <w:t>Dr. NAZEER ANSARI</w:t>
        <w:br/>
        <w:t>Department of Mathematics</w:t>
        <w:br/>
        <w:t>School of Advanced Sciences</w:t>
        <w:br/>
        <w:t>VIT Chennai — 600 127</w:t>
      </w:r>
    </w:p>
    <w:p>
      <w:pPr>
        <w:spacing w:line="288" w:lineRule="auto" w:after="280"/>
        <w:jc w:val="left"/>
      </w:pPr>
      <w:r>
        <w:rPr>
          <w:rFonts w:ascii="Times New Roman" w:hAnsi="Times New Roman"/>
          <w:sz w:val="23"/>
        </w:rPr>
        <w:t>Name &amp; Signature of the Examiner(s)</w:t>
        <w:br/>
        <w:t>1.</w:t>
        <w:br/>
        <w:br/>
        <w:t>2.</w:t>
      </w:r>
    </w:p>
    <w:p>
      <w:pPr>
        <w:spacing w:line="288" w:lineRule="auto"/>
        <w:jc w:val="right"/>
      </w:pPr>
      <w:r>
        <w:rPr>
          <w:rFonts w:ascii="Times New Roman" w:hAnsi="Times New Roman"/>
          <w:sz w:val="23"/>
        </w:rPr>
        <w:t>Dr. MANIVANNAN A</w:t>
        <w:br/>
        <w:t>Head, Department of Mathematics</w:t>
        <w:br/>
        <w:t>SAS, VIT-Chennai</w:t>
      </w:r>
    </w:p>
    <w:p>
      <w:r>
        <w:br w:type="page"/>
      </w:r>
    </w:p>
    <w:p>
      <w:pPr>
        <w:spacing w:before="360" w:after="360" w:line="288" w:lineRule="auto"/>
        <w:jc w:val="center"/>
      </w:pPr>
      <w:r>
        <w:rPr>
          <w:rFonts w:ascii="Times New Roman" w:hAnsi="Times New Roman"/>
          <w:b/>
          <w:color w:val="0F172A"/>
          <w:sz w:val="36"/>
        </w:rPr>
        <w:t>ACKNOWLEDGEMENTS</w:t>
      </w:r>
    </w:p>
    <w:p>
      <w:pPr>
        <w:spacing w:line="360" w:lineRule="auto" w:after="120"/>
        <w:jc w:val="both"/>
      </w:pPr>
      <w:r>
        <w:rPr>
          <w:rFonts w:ascii="Times New Roman" w:hAnsi="Times New Roman"/>
          <w:color w:val="111827"/>
          <w:sz w:val="24"/>
        </w:rPr>
        <w:t>First and foremost, we express our deepest sense of gratitude and reverence to our respected research supervisor, Dr. Nazeer Ansari, Associate Professor, Department of Mathematics, School of Advanced Sciences, VIT Chennai. His intellectual rigor, continuous encouragement, and profound insights in statistical modeling and machine learning architecture guided us through every phase of this research.</w:t>
      </w:r>
    </w:p>
    <w:p>
      <w:pPr>
        <w:spacing w:line="360" w:lineRule="auto" w:after="120"/>
        <w:jc w:val="both"/>
      </w:pPr>
      <w:r>
        <w:rPr>
          <w:rFonts w:ascii="Times New Roman" w:hAnsi="Times New Roman"/>
          <w:color w:val="111827"/>
          <w:sz w:val="24"/>
        </w:rPr>
        <w:t>We extend our sincere thanks to the Head of the Department of Mathematics and the Dean of the School of Advanced Sciences, Vellore Institute of Technology Chennai, for providing the state-of-the-art computational infrastructure, scholarly resources, and stimulating academic environment that made this research possible.</w:t>
      </w:r>
    </w:p>
    <w:p>
      <w:pPr>
        <w:spacing w:line="360" w:lineRule="auto" w:after="120"/>
        <w:jc w:val="both"/>
      </w:pPr>
      <w:r>
        <w:rPr>
          <w:rFonts w:ascii="Times New Roman" w:hAnsi="Times New Roman"/>
          <w:color w:val="111827"/>
          <w:sz w:val="24"/>
        </w:rPr>
        <w:t>We are profoundly indebted to the esteemed Chancellor and Vice-Chancellor of VIT Chennai for their visionary leadership in fostering advanced research in artificial intelligence, autonomous agentic systems, and mathematical data science.</w:t>
      </w:r>
    </w:p>
    <w:p>
      <w:pPr>
        <w:spacing w:line="360" w:lineRule="auto" w:after="120"/>
        <w:jc w:val="both"/>
      </w:pPr>
      <w:r>
        <w:rPr>
          <w:rFonts w:ascii="Times New Roman" w:hAnsi="Times New Roman"/>
          <w:color w:val="111827"/>
          <w:sz w:val="24"/>
        </w:rPr>
        <w:t>Finally, we express our heartfelt love and indebtedness to our parents and family members for their unconditional support, prayers, and patience throughout our academic journey.</w:t>
      </w:r>
    </w:p>
    <w:p>
      <w:pPr>
        <w:spacing w:after="600"/>
      </w:pPr>
    </w:p>
    <w:p>
      <w:pPr>
        <w:spacing w:line="312" w:lineRule="auto"/>
        <w:jc w:val="right"/>
      </w:pPr>
      <w:r>
        <w:rPr>
          <w:rFonts w:ascii="Times New Roman" w:hAnsi="Times New Roman"/>
          <w:sz w:val="23"/>
        </w:rPr>
        <w:t>Signature of the Student(s)</w:t>
        <w:br/>
        <w:br/>
        <w:br/>
        <w:t>___________________________</w:t>
        <w:br/>
        <w:t>RAVINDRAN (25MDT1133)</w:t>
        <w:br/>
        <w:br/>
        <w:br/>
        <w:t>___________________________</w:t>
        <w:br/>
        <w:t>NITHISHSARAN (25MDT1089)</w:t>
      </w:r>
    </w:p>
    <w:p>
      <w:r>
        <w:br w:type="page"/>
      </w:r>
    </w:p>
    <w:p>
      <w:pPr>
        <w:spacing w:before="280" w:after="240" w:line="288" w:lineRule="auto"/>
        <w:jc w:val="center"/>
      </w:pPr>
      <w:r>
        <w:rPr>
          <w:rFonts w:ascii="Times New Roman" w:hAnsi="Times New Roman"/>
          <w:b/>
          <w:color w:val="0F172A"/>
          <w:sz w:val="36"/>
        </w:rPr>
        <w:t>ABSTRACT</w:t>
      </w:r>
    </w:p>
    <w:p>
      <w:pPr>
        <w:spacing w:line="300" w:lineRule="auto" w:after="120"/>
        <w:jc w:val="both"/>
      </w:pPr>
      <w:r>
        <w:t>Modern enterprise data science workflows suffer from severe cognitive fragmentation, inadvertent data leakage, brittle manual scripting, and lack of cross-disciplinary audit rigor. While Large Language Models (LLMs) demonstrate remarkable generative code synthesis, single-agent architectures (e.g., OpenAI Advanced Data Analysis) exhibit critical vulnerabilities: they lack domain specialization, struggle with subtle lookahead data leakage during feature engineering, fail to validate statistical assumptions, and hallucinate uncalibrated confidence intervals. To resolve these systemic challenges, this dissertation introduces ARIA (Autonomous Research Intelligence for Analytics), an enterprise-grade multi-agent autonomous framework that models the complete eight-stage Data Science and Machine Learning lifecycle through specialized persona delegation, strict invariant enforcement, and adversarial peer review.</w:t>
      </w:r>
    </w:p>
    <w:p>
      <w:pPr>
        <w:spacing w:line="300" w:lineRule="auto" w:after="120"/>
        <w:jc w:val="both"/>
      </w:pPr>
      <w:r>
        <w:t>ARIA deploys eight world-class specialist agents grounded in the philosophies of historical luminaries including Ralph Kimball, Joe Celko, John Tukey, W. Edwards Deming, Kaggle Grandmasters, Leo Breiman, Cynthia Rudin, and Edward Tufte. A central architectural innovation is the 'Council Protocol'—a multi-agent adversarial cross-examination roundtable moderated by an executive concierge ('Alfred'). Rather than delivering unvetted algorithmic decisions, candidate features and models are subjected to rigorous peer debate: statistical validity challenges distribution assumptions, pipeline engineering attacks data leakage, feature architects defend signal extraction, ML engineers monitor overfitting, and governance auditors evaluate subgroup fairness and SHAP attribution. Empirical benchmarks across canonical datasets (Titanic, Telco Churn, Credit Risk) demonstrate that ARIA eliminates 100% of data leakage vectors, achieves an average 4.2% ROC-AUC improvement over standard AutoML pipelines, reduces generalization gaps by 68%, and autonomously compiles publication-grade Word deliverables with zero raw LaTeX artifacts.</w:t>
      </w:r>
    </w:p>
    <w:p>
      <w:pPr>
        <w:spacing w:line="288" w:lineRule="auto" w:after="80"/>
        <w:jc w:val="both"/>
      </w:pPr>
      <w:r>
        <w:rPr>
          <w:b/>
        </w:rPr>
        <w:t xml:space="preserve">Keywords: </w:t>
      </w:r>
      <w:r>
        <w:t>Autonomous AI Agents, Multi-Agent Systems, Adversarial Peer Review, Data Leakage Prevention, Automated Machine Learning (AutoML), Explainable AI (XAI), SHAP Governance, Executive Concierge Architecture.</w:t>
      </w:r>
    </w:p>
    <w:p>
      <w:r>
        <w:br w:type="page"/>
      </w:r>
    </w:p>
    <w:p>
      <w:pPr>
        <w:spacing w:before="360" w:after="360" w:line="288" w:lineRule="auto"/>
        <w:jc w:val="center"/>
      </w:pPr>
      <w:r>
        <w:rPr>
          <w:rFonts w:ascii="Times New Roman" w:hAnsi="Times New Roman"/>
          <w:b/>
          <w:color w:val="0F172A"/>
          <w:sz w:val="36"/>
        </w:rPr>
        <w:t>TABLE OF CONTENTS</w:t>
      </w:r>
    </w:p>
    <w:tbl>
      <w:tblPr>
        <w:tblW w:type="auto" w:w="0"/>
        <w:jc w:val="center"/>
        <w:tblLayout w:type="fixed"/>
        <w:tblLook w:firstColumn="1" w:firstRow="1" w:lastColumn="0" w:lastRow="0" w:noHBand="0" w:noVBand="1" w:val="04A0"/>
      </w:tblPr>
      <w:tblGrid>
        <w:gridCol w:w="4514"/>
        <w:gridCol w:w="4514"/>
      </w:tblGrid>
      <w:tr>
        <w:tc>
          <w:tcPr>
            <w:tcW w:type="dxa" w:w="7200"/>
            <w:shd w:fill="1E3A8A"/>
            <w:tcMar>
              <w:top w:w="120" w:type="dxa"/>
              <w:bottom w:w="120" w:type="dxa"/>
              <w:left w:w="140" w:type="dxa"/>
              <w:right w:w="140" w:type="dxa"/>
            </w:tcMar>
            <w:tcBorders>
              <w:top w:val="single" w:sz="6" w:space="0" w:color="1E3A8A"/>
              <w:left w:val="single" w:sz="4" w:space="0" w:color="CBD5E1"/>
              <w:bottom w:val="single" w:sz="12" w:space="0" w:color="0F172A"/>
              <w:right w:val="single" w:sz="4" w:space="0" w:color="CBD5E1"/>
            </w:tcBorders>
          </w:tcPr>
          <w:p>
            <w:pPr>
              <w:spacing w:after="0"/>
              <w:jc w:val="center"/>
            </w:pPr>
            <w:r>
              <w:rPr>
                <w:rFonts w:ascii="Times New Roman" w:hAnsi="Times New Roman"/>
                <w:b/>
                <w:color w:val="FFFFFF"/>
                <w:sz w:val="21"/>
              </w:rPr>
              <w:t>Section Title</w:t>
            </w:r>
          </w:p>
        </w:tc>
        <w:tc>
          <w:tcPr>
            <w:tcW w:type="dxa" w:w="1829"/>
            <w:shd w:fill="1E3A8A"/>
            <w:tcMar>
              <w:top w:w="120" w:type="dxa"/>
              <w:bottom w:w="120" w:type="dxa"/>
              <w:left w:w="140" w:type="dxa"/>
              <w:right w:w="140" w:type="dxa"/>
            </w:tcMar>
            <w:tcBorders>
              <w:top w:val="single" w:sz="6" w:space="0" w:color="1E3A8A"/>
              <w:left w:val="single" w:sz="4" w:space="0" w:color="CBD5E1"/>
              <w:bottom w:val="single" w:sz="12" w:space="0" w:color="0F172A"/>
              <w:right w:val="single" w:sz="4" w:space="0" w:color="CBD5E1"/>
            </w:tcBorders>
          </w:tcPr>
          <w:p>
            <w:pPr>
              <w:spacing w:after="0"/>
              <w:jc w:val="center"/>
            </w:pPr>
            <w:r>
              <w:rPr>
                <w:rFonts w:ascii="Times New Roman" w:hAnsi="Times New Roman"/>
                <w:b/>
                <w:color w:val="FFFFFF"/>
                <w:sz w:val="21"/>
              </w:rPr>
              <w:t>Page Number</w:t>
            </w:r>
          </w:p>
        </w:tc>
      </w:tr>
      <w:tr>
        <w:tc>
          <w:tcPr>
            <w:tcW w:type="dxa" w:w="7200"/>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left"/>
            </w:pPr>
            <w:r>
              <w:rPr>
                <w:rFonts w:ascii="Times New Roman" w:hAnsi="Times New Roman"/>
                <w:color w:val="1F2937"/>
                <w:sz w:val="20"/>
              </w:rPr>
              <w:t>Declaration</w:t>
            </w:r>
          </w:p>
        </w:tc>
        <w:tc>
          <w:tcPr>
            <w:tcW w:type="dxa" w:w="1829"/>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ii</w:t>
            </w:r>
          </w:p>
        </w:tc>
      </w:tr>
      <w:tr>
        <w:tc>
          <w:tcPr>
            <w:tcW w:type="dxa" w:w="7200"/>
            <w:shd w:fill="F8FAFC"/>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left"/>
            </w:pPr>
            <w:r>
              <w:rPr>
                <w:rFonts w:ascii="Times New Roman" w:hAnsi="Times New Roman"/>
                <w:color w:val="1F2937"/>
                <w:sz w:val="20"/>
              </w:rPr>
              <w:t>Certificate</w:t>
            </w:r>
          </w:p>
        </w:tc>
        <w:tc>
          <w:tcPr>
            <w:tcW w:type="dxa" w:w="1829"/>
            <w:shd w:fill="F8FAFC"/>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iii</w:t>
            </w:r>
          </w:p>
        </w:tc>
      </w:tr>
      <w:tr>
        <w:tc>
          <w:tcPr>
            <w:tcW w:type="dxa" w:w="7200"/>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left"/>
            </w:pPr>
            <w:r>
              <w:rPr>
                <w:rFonts w:ascii="Times New Roman" w:hAnsi="Times New Roman"/>
                <w:color w:val="1F2937"/>
                <w:sz w:val="20"/>
              </w:rPr>
              <w:t>Acknowledgements</w:t>
            </w:r>
          </w:p>
        </w:tc>
        <w:tc>
          <w:tcPr>
            <w:tcW w:type="dxa" w:w="1829"/>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iv</w:t>
            </w:r>
          </w:p>
        </w:tc>
      </w:tr>
      <w:tr>
        <w:tc>
          <w:tcPr>
            <w:tcW w:type="dxa" w:w="7200"/>
            <w:shd w:fill="F8FAFC"/>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left"/>
            </w:pPr>
            <w:r>
              <w:rPr>
                <w:rFonts w:ascii="Times New Roman" w:hAnsi="Times New Roman"/>
                <w:color w:val="1F2937"/>
                <w:sz w:val="20"/>
              </w:rPr>
              <w:t>Abstract</w:t>
            </w:r>
          </w:p>
        </w:tc>
        <w:tc>
          <w:tcPr>
            <w:tcW w:type="dxa" w:w="1829"/>
            <w:shd w:fill="F8FAFC"/>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v</w:t>
            </w:r>
          </w:p>
        </w:tc>
      </w:tr>
      <w:tr>
        <w:tc>
          <w:tcPr>
            <w:tcW w:type="dxa" w:w="7200"/>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left"/>
            </w:pPr>
            <w:r>
              <w:rPr>
                <w:rFonts w:ascii="Times New Roman" w:hAnsi="Times New Roman"/>
                <w:color w:val="1F2937"/>
                <w:sz w:val="20"/>
              </w:rPr>
              <w:t>List of Figures</w:t>
            </w:r>
          </w:p>
        </w:tc>
        <w:tc>
          <w:tcPr>
            <w:tcW w:type="dxa" w:w="1829"/>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vii</w:t>
            </w:r>
          </w:p>
        </w:tc>
      </w:tr>
      <w:tr>
        <w:tc>
          <w:tcPr>
            <w:tcW w:type="dxa" w:w="7200"/>
            <w:shd w:fill="F8FAFC"/>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left"/>
            </w:pPr>
            <w:r>
              <w:rPr>
                <w:rFonts w:ascii="Times New Roman" w:hAnsi="Times New Roman"/>
                <w:color w:val="1F2937"/>
                <w:sz w:val="20"/>
              </w:rPr>
              <w:t>List of Tables</w:t>
            </w:r>
          </w:p>
        </w:tc>
        <w:tc>
          <w:tcPr>
            <w:tcW w:type="dxa" w:w="1829"/>
            <w:shd w:fill="F8FAFC"/>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viii</w:t>
            </w:r>
          </w:p>
        </w:tc>
      </w:tr>
      <w:tr>
        <w:tc>
          <w:tcPr>
            <w:tcW w:type="dxa" w:w="7200"/>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left"/>
            </w:pPr>
            <w:r>
              <w:rPr>
                <w:rFonts w:ascii="Times New Roman" w:hAnsi="Times New Roman"/>
                <w:color w:val="1F2937"/>
                <w:sz w:val="20"/>
              </w:rPr>
              <w:t>List of Abbreviations</w:t>
            </w:r>
          </w:p>
        </w:tc>
        <w:tc>
          <w:tcPr>
            <w:tcW w:type="dxa" w:w="1829"/>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ix</w:t>
            </w:r>
          </w:p>
        </w:tc>
      </w:tr>
      <w:tr>
        <w:tc>
          <w:tcPr>
            <w:tcW w:type="dxa" w:w="7200"/>
            <w:shd w:fill="F8FAFC"/>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left"/>
            </w:pPr>
            <w:r>
              <w:rPr>
                <w:rFonts w:ascii="Times New Roman" w:hAnsi="Times New Roman"/>
                <w:color w:val="1F2937"/>
                <w:sz w:val="20"/>
              </w:rPr>
              <w:t>CHAPTER 1: INTRODUCTION</w:t>
            </w:r>
          </w:p>
        </w:tc>
        <w:tc>
          <w:tcPr>
            <w:tcW w:type="dxa" w:w="1829"/>
            <w:shd w:fill="F8FAFC"/>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1</w:t>
            </w:r>
          </w:p>
        </w:tc>
      </w:tr>
      <w:tr>
        <w:tc>
          <w:tcPr>
            <w:tcW w:type="dxa" w:w="7200"/>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left"/>
            </w:pPr>
            <w:r>
              <w:rPr>
                <w:rFonts w:ascii="Times New Roman" w:hAnsi="Times New Roman"/>
                <w:color w:val="1F2937"/>
                <w:sz w:val="20"/>
              </w:rPr>
              <w:t xml:space="preserve">   1.1 Motivation: Cognitive Fragmentation in Data Science</w:t>
            </w:r>
          </w:p>
        </w:tc>
        <w:tc>
          <w:tcPr>
            <w:tcW w:type="dxa" w:w="1829"/>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1</w:t>
            </w:r>
          </w:p>
        </w:tc>
      </w:tr>
      <w:tr>
        <w:tc>
          <w:tcPr>
            <w:tcW w:type="dxa" w:w="7200"/>
            <w:shd w:fill="F8FAFC"/>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left"/>
            </w:pPr>
            <w:r>
              <w:rPr>
                <w:rFonts w:ascii="Times New Roman" w:hAnsi="Times New Roman"/>
                <w:color w:val="1F2937"/>
                <w:sz w:val="20"/>
              </w:rPr>
              <w:t xml:space="preserve">   1.2 Background &amp; Related Work: The Evolution of Autonomous Agents</w:t>
            </w:r>
          </w:p>
        </w:tc>
        <w:tc>
          <w:tcPr>
            <w:tcW w:type="dxa" w:w="1829"/>
            <w:shd w:fill="F8FAFC"/>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2</w:t>
            </w:r>
          </w:p>
        </w:tc>
      </w:tr>
      <w:tr>
        <w:tc>
          <w:tcPr>
            <w:tcW w:type="dxa" w:w="7200"/>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left"/>
            </w:pPr>
            <w:r>
              <w:rPr>
                <w:rFonts w:ascii="Times New Roman" w:hAnsi="Times New Roman"/>
                <w:color w:val="1F2937"/>
                <w:sz w:val="20"/>
              </w:rPr>
              <w:t xml:space="preserve">   1.3 Problem Statement &amp; Research Hypotheses</w:t>
            </w:r>
          </w:p>
        </w:tc>
        <w:tc>
          <w:tcPr>
            <w:tcW w:type="dxa" w:w="1829"/>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3</w:t>
            </w:r>
          </w:p>
        </w:tc>
      </w:tr>
      <w:tr>
        <w:tc>
          <w:tcPr>
            <w:tcW w:type="dxa" w:w="7200"/>
            <w:shd w:fill="F8FAFC"/>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left"/>
            </w:pPr>
            <w:r>
              <w:rPr>
                <w:rFonts w:ascii="Times New Roman" w:hAnsi="Times New Roman"/>
                <w:color w:val="1F2937"/>
                <w:sz w:val="20"/>
              </w:rPr>
              <w:t xml:space="preserve">   1.4 Research Objectives</w:t>
            </w:r>
          </w:p>
        </w:tc>
        <w:tc>
          <w:tcPr>
            <w:tcW w:type="dxa" w:w="1829"/>
            <w:shd w:fill="F8FAFC"/>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4</w:t>
            </w:r>
          </w:p>
        </w:tc>
      </w:tr>
      <w:tr>
        <w:tc>
          <w:tcPr>
            <w:tcW w:type="dxa" w:w="7200"/>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left"/>
            </w:pPr>
            <w:r>
              <w:rPr>
                <w:rFonts w:ascii="Times New Roman" w:hAnsi="Times New Roman"/>
                <w:color w:val="1F2937"/>
                <w:sz w:val="20"/>
              </w:rPr>
              <w:t xml:space="preserve">   1.5 Dissertation Organization</w:t>
            </w:r>
          </w:p>
        </w:tc>
        <w:tc>
          <w:tcPr>
            <w:tcW w:type="dxa" w:w="1829"/>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4</w:t>
            </w:r>
          </w:p>
        </w:tc>
      </w:tr>
      <w:tr>
        <w:tc>
          <w:tcPr>
            <w:tcW w:type="dxa" w:w="7200"/>
            <w:shd w:fill="F8FAFC"/>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left"/>
            </w:pPr>
            <w:r>
              <w:rPr>
                <w:rFonts w:ascii="Times New Roman" w:hAnsi="Times New Roman"/>
                <w:color w:val="1F2937"/>
                <w:sz w:val="20"/>
              </w:rPr>
              <w:t>CHAPTER 2: SYSTEM ARCHITECTURE &amp; MULTI-AGENT DESIGN</w:t>
            </w:r>
          </w:p>
        </w:tc>
        <w:tc>
          <w:tcPr>
            <w:tcW w:type="dxa" w:w="1829"/>
            <w:shd w:fill="F8FAFC"/>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5</w:t>
            </w:r>
          </w:p>
        </w:tc>
      </w:tr>
      <w:tr>
        <w:tc>
          <w:tcPr>
            <w:tcW w:type="dxa" w:w="7200"/>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left"/>
            </w:pPr>
            <w:r>
              <w:rPr>
                <w:rFonts w:ascii="Times New Roman" w:hAnsi="Times New Roman"/>
                <w:color w:val="1F2937"/>
                <w:sz w:val="20"/>
              </w:rPr>
              <w:t xml:space="preserve">   2.1 Architectural Spine &amp; Core Philosophical Invariants</w:t>
            </w:r>
          </w:p>
        </w:tc>
        <w:tc>
          <w:tcPr>
            <w:tcW w:type="dxa" w:w="1829"/>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5</w:t>
            </w:r>
          </w:p>
        </w:tc>
      </w:tr>
      <w:tr>
        <w:tc>
          <w:tcPr>
            <w:tcW w:type="dxa" w:w="7200"/>
            <w:shd w:fill="F8FAFC"/>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left"/>
            </w:pPr>
            <w:r>
              <w:rPr>
                <w:rFonts w:ascii="Times New Roman" w:hAnsi="Times New Roman"/>
                <w:color w:val="1F2937"/>
                <w:sz w:val="20"/>
              </w:rPr>
              <w:t xml:space="preserve">   2.2 The Executive Concierge: Alfred the Major-Domo Orchestrator</w:t>
            </w:r>
          </w:p>
        </w:tc>
        <w:tc>
          <w:tcPr>
            <w:tcW w:type="dxa" w:w="1829"/>
            <w:shd w:fill="F8FAFC"/>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7</w:t>
            </w:r>
          </w:p>
        </w:tc>
      </w:tr>
      <w:tr>
        <w:tc>
          <w:tcPr>
            <w:tcW w:type="dxa" w:w="7200"/>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left"/>
            </w:pPr>
            <w:r>
              <w:rPr>
                <w:rFonts w:ascii="Times New Roman" w:hAnsi="Times New Roman"/>
                <w:color w:val="1F2937"/>
                <w:sz w:val="20"/>
              </w:rPr>
              <w:t xml:space="preserve">   2.3 The Roster of Specialized Domain Agents</w:t>
            </w:r>
          </w:p>
        </w:tc>
        <w:tc>
          <w:tcPr>
            <w:tcW w:type="dxa" w:w="1829"/>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8</w:t>
            </w:r>
          </w:p>
        </w:tc>
      </w:tr>
      <w:tr>
        <w:tc>
          <w:tcPr>
            <w:tcW w:type="dxa" w:w="7200"/>
            <w:shd w:fill="F8FAFC"/>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left"/>
            </w:pPr>
            <w:r>
              <w:rPr>
                <w:rFonts w:ascii="Times New Roman" w:hAnsi="Times New Roman"/>
                <w:color w:val="1F2937"/>
                <w:sz w:val="20"/>
              </w:rPr>
              <w:t xml:space="preserve">   2.4 The ARIA Council Protocol: Adversarial Peer Review</w:t>
            </w:r>
          </w:p>
        </w:tc>
        <w:tc>
          <w:tcPr>
            <w:tcW w:type="dxa" w:w="1829"/>
            <w:shd w:fill="F8FAFC"/>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10</w:t>
            </w:r>
          </w:p>
        </w:tc>
      </w:tr>
      <w:tr>
        <w:tc>
          <w:tcPr>
            <w:tcW w:type="dxa" w:w="7200"/>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left"/>
            </w:pPr>
            <w:r>
              <w:rPr>
                <w:rFonts w:ascii="Times New Roman" w:hAnsi="Times New Roman"/>
                <w:color w:val="1F2937"/>
                <w:sz w:val="20"/>
              </w:rPr>
              <w:t xml:space="preserve">   2.5 Invariant Enforcement: Zero Leakage and Clean Typography</w:t>
            </w:r>
          </w:p>
        </w:tc>
        <w:tc>
          <w:tcPr>
            <w:tcW w:type="dxa" w:w="1829"/>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12</w:t>
            </w:r>
          </w:p>
        </w:tc>
      </w:tr>
      <w:tr>
        <w:tc>
          <w:tcPr>
            <w:tcW w:type="dxa" w:w="7200"/>
            <w:shd w:fill="F8FAFC"/>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left"/>
            </w:pPr>
            <w:r>
              <w:rPr>
                <w:rFonts w:ascii="Times New Roman" w:hAnsi="Times New Roman"/>
                <w:color w:val="1F2937"/>
                <w:sz w:val="20"/>
              </w:rPr>
              <w:t>CHAPTER 3: IMPLEMENTATION, METHODOLOGY &amp; EXPERIMENTAL EVALUATION</w:t>
            </w:r>
          </w:p>
        </w:tc>
        <w:tc>
          <w:tcPr>
            <w:tcW w:type="dxa" w:w="1829"/>
            <w:shd w:fill="F8FAFC"/>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13</w:t>
            </w:r>
          </w:p>
        </w:tc>
      </w:tr>
      <w:tr>
        <w:tc>
          <w:tcPr>
            <w:tcW w:type="dxa" w:w="7200"/>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left"/>
            </w:pPr>
            <w:r>
              <w:rPr>
                <w:rFonts w:ascii="Times New Roman" w:hAnsi="Times New Roman"/>
                <w:color w:val="1F2937"/>
                <w:sz w:val="20"/>
              </w:rPr>
              <w:t xml:space="preserve">   3.1 Software Architecture &amp; Reproducible Execution Pipeline</w:t>
            </w:r>
          </w:p>
        </w:tc>
        <w:tc>
          <w:tcPr>
            <w:tcW w:type="dxa" w:w="1829"/>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13</w:t>
            </w:r>
          </w:p>
        </w:tc>
      </w:tr>
      <w:tr>
        <w:tc>
          <w:tcPr>
            <w:tcW w:type="dxa" w:w="7200"/>
            <w:shd w:fill="F8FAFC"/>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left"/>
            </w:pPr>
            <w:r>
              <w:rPr>
                <w:rFonts w:ascii="Times New Roman" w:hAnsi="Times New Roman"/>
                <w:color w:val="1F2937"/>
                <w:sz w:val="20"/>
              </w:rPr>
              <w:t xml:space="preserve">   3.2 Experimental Setup &amp; Benchmark Datasets</w:t>
            </w:r>
          </w:p>
        </w:tc>
        <w:tc>
          <w:tcPr>
            <w:tcW w:type="dxa" w:w="1829"/>
            <w:shd w:fill="F8FAFC"/>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14</w:t>
            </w:r>
          </w:p>
        </w:tc>
      </w:tr>
      <w:tr>
        <w:tc>
          <w:tcPr>
            <w:tcW w:type="dxa" w:w="7200"/>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left"/>
            </w:pPr>
            <w:r>
              <w:rPr>
                <w:rFonts w:ascii="Times New Roman" w:hAnsi="Times New Roman"/>
                <w:color w:val="1F2937"/>
                <w:sz w:val="20"/>
              </w:rPr>
              <w:t xml:space="preserve">   3.3 Multi-Agent Ablation Analysis: Single-Agent vs. Council Debate</w:t>
            </w:r>
          </w:p>
        </w:tc>
        <w:tc>
          <w:tcPr>
            <w:tcW w:type="dxa" w:w="1829"/>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15</w:t>
            </w:r>
          </w:p>
        </w:tc>
      </w:tr>
      <w:tr>
        <w:tc>
          <w:tcPr>
            <w:tcW w:type="dxa" w:w="7200"/>
            <w:shd w:fill="F8FAFC"/>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left"/>
            </w:pPr>
            <w:r>
              <w:rPr>
                <w:rFonts w:ascii="Times New Roman" w:hAnsi="Times New Roman"/>
                <w:color w:val="1F2937"/>
                <w:sz w:val="20"/>
              </w:rPr>
              <w:t xml:space="preserve">   3.4 Signal Extraction &amp; High-Order Feature Engineering Impact</w:t>
            </w:r>
          </w:p>
        </w:tc>
        <w:tc>
          <w:tcPr>
            <w:tcW w:type="dxa" w:w="1829"/>
            <w:shd w:fill="F8FAFC"/>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16</w:t>
            </w:r>
          </w:p>
        </w:tc>
      </w:tr>
      <w:tr>
        <w:tc>
          <w:tcPr>
            <w:tcW w:type="dxa" w:w="7200"/>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left"/>
            </w:pPr>
            <w:r>
              <w:rPr>
                <w:rFonts w:ascii="Times New Roman" w:hAnsi="Times New Roman"/>
                <w:color w:val="1F2937"/>
                <w:sz w:val="20"/>
              </w:rPr>
              <w:t xml:space="preserve">   3.5 Model Tournament &amp; Optuna Bayesian Optimization Trajectories</w:t>
            </w:r>
          </w:p>
        </w:tc>
        <w:tc>
          <w:tcPr>
            <w:tcW w:type="dxa" w:w="1829"/>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17</w:t>
            </w:r>
          </w:p>
        </w:tc>
      </w:tr>
      <w:tr>
        <w:tc>
          <w:tcPr>
            <w:tcW w:type="dxa" w:w="7200"/>
            <w:shd w:fill="F8FAFC"/>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left"/>
            </w:pPr>
            <w:r>
              <w:rPr>
                <w:rFonts w:ascii="Times New Roman" w:hAnsi="Times New Roman"/>
                <w:color w:val="1F2937"/>
                <w:sz w:val="20"/>
              </w:rPr>
              <w:t xml:space="preserve">   3.6 Model Governance, SHAP Attribution &amp; Cohort Fairness Auditing</w:t>
            </w:r>
          </w:p>
        </w:tc>
        <w:tc>
          <w:tcPr>
            <w:tcW w:type="dxa" w:w="1829"/>
            <w:shd w:fill="F8FAFC"/>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18</w:t>
            </w:r>
          </w:p>
        </w:tc>
      </w:tr>
      <w:tr>
        <w:tc>
          <w:tcPr>
            <w:tcW w:type="dxa" w:w="7200"/>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left"/>
            </w:pPr>
            <w:r>
              <w:rPr>
                <w:rFonts w:ascii="Times New Roman" w:hAnsi="Times New Roman"/>
                <w:color w:val="1F2937"/>
                <w:sz w:val="20"/>
              </w:rPr>
              <w:t>CHAPTER 4: CONCLUSION, FUTURE SCOPE &amp; REFERENCES</w:t>
            </w:r>
          </w:p>
        </w:tc>
        <w:tc>
          <w:tcPr>
            <w:tcW w:type="dxa" w:w="1829"/>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19</w:t>
            </w:r>
          </w:p>
        </w:tc>
      </w:tr>
      <w:tr>
        <w:tc>
          <w:tcPr>
            <w:tcW w:type="dxa" w:w="7200"/>
            <w:shd w:fill="F8FAFC"/>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left"/>
            </w:pPr>
            <w:r>
              <w:rPr>
                <w:rFonts w:ascii="Times New Roman" w:hAnsi="Times New Roman"/>
                <w:color w:val="1F2937"/>
                <w:sz w:val="20"/>
              </w:rPr>
              <w:t xml:space="preserve">   4.1 Summary of Scientific Contributions</w:t>
            </w:r>
          </w:p>
        </w:tc>
        <w:tc>
          <w:tcPr>
            <w:tcW w:type="dxa" w:w="1829"/>
            <w:shd w:fill="F8FAFC"/>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19</w:t>
            </w:r>
          </w:p>
        </w:tc>
      </w:tr>
      <w:tr>
        <w:tc>
          <w:tcPr>
            <w:tcW w:type="dxa" w:w="7200"/>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left"/>
            </w:pPr>
            <w:r>
              <w:rPr>
                <w:rFonts w:ascii="Times New Roman" w:hAnsi="Times New Roman"/>
                <w:color w:val="1F2937"/>
                <w:sz w:val="20"/>
              </w:rPr>
              <w:t xml:space="preserve">   4.2 Industry Implications &amp; Enterprise MLOps Integration</w:t>
            </w:r>
          </w:p>
        </w:tc>
        <w:tc>
          <w:tcPr>
            <w:tcW w:type="dxa" w:w="1829"/>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19</w:t>
            </w:r>
          </w:p>
        </w:tc>
      </w:tr>
      <w:tr>
        <w:tc>
          <w:tcPr>
            <w:tcW w:type="dxa" w:w="7200"/>
            <w:shd w:fill="F8FAFC"/>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left"/>
            </w:pPr>
            <w:r>
              <w:rPr>
                <w:rFonts w:ascii="Times New Roman" w:hAnsi="Times New Roman"/>
                <w:color w:val="1F2937"/>
                <w:sz w:val="20"/>
              </w:rPr>
              <w:t xml:space="preserve">   4.3 Limitations &amp; Failure Mode Analysis</w:t>
            </w:r>
          </w:p>
        </w:tc>
        <w:tc>
          <w:tcPr>
            <w:tcW w:type="dxa" w:w="1829"/>
            <w:shd w:fill="F8FAFC"/>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20</w:t>
            </w:r>
          </w:p>
        </w:tc>
      </w:tr>
      <w:tr>
        <w:tc>
          <w:tcPr>
            <w:tcW w:type="dxa" w:w="7200"/>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left"/>
            </w:pPr>
            <w:r>
              <w:rPr>
                <w:rFonts w:ascii="Times New Roman" w:hAnsi="Times New Roman"/>
                <w:color w:val="1F2937"/>
                <w:sz w:val="20"/>
              </w:rPr>
              <w:t xml:space="preserve">   4.4 Future Directions &amp; Research Roadmap</w:t>
            </w:r>
          </w:p>
        </w:tc>
        <w:tc>
          <w:tcPr>
            <w:tcW w:type="dxa" w:w="1829"/>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20</w:t>
            </w:r>
          </w:p>
        </w:tc>
      </w:tr>
      <w:tr>
        <w:tc>
          <w:tcPr>
            <w:tcW w:type="dxa" w:w="7200"/>
            <w:shd w:fill="F8FAFC"/>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left"/>
            </w:pPr>
            <w:r>
              <w:rPr>
                <w:rFonts w:ascii="Times New Roman" w:hAnsi="Times New Roman"/>
                <w:color w:val="1F2937"/>
                <w:sz w:val="20"/>
              </w:rPr>
              <w:t xml:space="preserve">   4.5 Academic References</w:t>
            </w:r>
          </w:p>
        </w:tc>
        <w:tc>
          <w:tcPr>
            <w:tcW w:type="dxa" w:w="1829"/>
            <w:shd w:fill="F8FAFC"/>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21</w:t>
            </w:r>
          </w:p>
        </w:tc>
      </w:tr>
      <w:tr>
        <w:tc>
          <w:tcPr>
            <w:tcW w:type="dxa" w:w="7200"/>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left"/>
            </w:pPr>
            <w:r>
              <w:rPr>
                <w:rFonts w:ascii="Times New Roman" w:hAnsi="Times New Roman"/>
                <w:color w:val="1F2937"/>
                <w:sz w:val="20"/>
              </w:rPr>
              <w:t>APPENDIX: SYSTEM PROMPTS, MATHEMATICAL SPECIFICATIONS &amp; ARTIFACTS</w:t>
            </w:r>
          </w:p>
        </w:tc>
        <w:tc>
          <w:tcPr>
            <w:tcW w:type="dxa" w:w="1829"/>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22</w:t>
            </w:r>
          </w:p>
        </w:tc>
      </w:tr>
    </w:tbl>
    <w:p>
      <w:pPr>
        <w:spacing w:after="120"/>
      </w:pPr>
    </w:p>
    <w:p>
      <w:r>
        <w:br w:type="page"/>
      </w:r>
    </w:p>
    <w:p>
      <w:pPr>
        <w:spacing w:before="360" w:after="280" w:line="288" w:lineRule="auto"/>
        <w:jc w:val="center"/>
      </w:pPr>
      <w:r>
        <w:rPr>
          <w:rFonts w:ascii="Times New Roman" w:hAnsi="Times New Roman"/>
          <w:b/>
          <w:color w:val="0F172A"/>
          <w:sz w:val="36"/>
        </w:rPr>
        <w:t>LIST OF FIGURES</w:t>
      </w:r>
    </w:p>
    <w:tbl>
      <w:tblPr>
        <w:tblW w:type="auto" w:w="0"/>
        <w:jc w:val="center"/>
        <w:tblLayout w:type="fixed"/>
        <w:tblLook w:firstColumn="1" w:firstRow="1" w:lastColumn="0" w:lastRow="0" w:noHBand="0" w:noVBand="1" w:val="04A0"/>
      </w:tblPr>
      <w:tblGrid>
        <w:gridCol w:w="3010"/>
        <w:gridCol w:w="3010"/>
        <w:gridCol w:w="3010"/>
      </w:tblGrid>
      <w:tr>
        <w:tc>
          <w:tcPr>
            <w:tcW w:type="dxa" w:w="1728"/>
            <w:shd w:fill="1E3A8A"/>
            <w:tcMar>
              <w:top w:w="120" w:type="dxa"/>
              <w:bottom w:w="120" w:type="dxa"/>
              <w:left w:w="140" w:type="dxa"/>
              <w:right w:w="140" w:type="dxa"/>
            </w:tcMar>
            <w:tcBorders>
              <w:top w:val="single" w:sz="6" w:space="0" w:color="1E3A8A"/>
              <w:left w:val="single" w:sz="4" w:space="0" w:color="CBD5E1"/>
              <w:bottom w:val="single" w:sz="12" w:space="0" w:color="0F172A"/>
              <w:right w:val="single" w:sz="4" w:space="0" w:color="CBD5E1"/>
            </w:tcBorders>
          </w:tcPr>
          <w:p>
            <w:pPr>
              <w:spacing w:after="0"/>
              <w:jc w:val="center"/>
            </w:pPr>
            <w:r>
              <w:rPr>
                <w:rFonts w:ascii="Times New Roman" w:hAnsi="Times New Roman"/>
                <w:b/>
                <w:color w:val="FFFFFF"/>
                <w:sz w:val="21"/>
              </w:rPr>
              <w:t>Figure No.</w:t>
            </w:r>
          </w:p>
        </w:tc>
        <w:tc>
          <w:tcPr>
            <w:tcW w:type="dxa" w:w="5760"/>
            <w:shd w:fill="1E3A8A"/>
            <w:tcMar>
              <w:top w:w="120" w:type="dxa"/>
              <w:bottom w:w="120" w:type="dxa"/>
              <w:left w:w="140" w:type="dxa"/>
              <w:right w:w="140" w:type="dxa"/>
            </w:tcMar>
            <w:tcBorders>
              <w:top w:val="single" w:sz="6" w:space="0" w:color="1E3A8A"/>
              <w:left w:val="single" w:sz="4" w:space="0" w:color="CBD5E1"/>
              <w:bottom w:val="single" w:sz="12" w:space="0" w:color="0F172A"/>
              <w:right w:val="single" w:sz="4" w:space="0" w:color="CBD5E1"/>
            </w:tcBorders>
          </w:tcPr>
          <w:p>
            <w:pPr>
              <w:spacing w:after="0"/>
              <w:jc w:val="center"/>
            </w:pPr>
            <w:r>
              <w:rPr>
                <w:rFonts w:ascii="Times New Roman" w:hAnsi="Times New Roman"/>
                <w:b/>
                <w:color w:val="FFFFFF"/>
                <w:sz w:val="21"/>
              </w:rPr>
              <w:t>Figure Caption</w:t>
            </w:r>
          </w:p>
        </w:tc>
        <w:tc>
          <w:tcPr>
            <w:tcW w:type="dxa" w:w="1541"/>
            <w:shd w:fill="1E3A8A"/>
            <w:tcMar>
              <w:top w:w="120" w:type="dxa"/>
              <w:bottom w:w="120" w:type="dxa"/>
              <w:left w:w="140" w:type="dxa"/>
              <w:right w:w="140" w:type="dxa"/>
            </w:tcMar>
            <w:tcBorders>
              <w:top w:val="single" w:sz="6" w:space="0" w:color="1E3A8A"/>
              <w:left w:val="single" w:sz="4" w:space="0" w:color="CBD5E1"/>
              <w:bottom w:val="single" w:sz="12" w:space="0" w:color="0F172A"/>
              <w:right w:val="single" w:sz="4" w:space="0" w:color="CBD5E1"/>
            </w:tcBorders>
          </w:tcPr>
          <w:p>
            <w:pPr>
              <w:spacing w:after="0"/>
              <w:jc w:val="center"/>
            </w:pPr>
            <w:r>
              <w:rPr>
                <w:rFonts w:ascii="Times New Roman" w:hAnsi="Times New Roman"/>
                <w:b/>
                <w:color w:val="FFFFFF"/>
                <w:sz w:val="21"/>
              </w:rPr>
              <w:t>Page</w:t>
            </w:r>
          </w:p>
        </w:tc>
      </w:tr>
      <w:tr>
        <w:tc>
          <w:tcPr>
            <w:tcW w:type="dxa" w:w="1728"/>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left"/>
            </w:pPr>
            <w:r>
              <w:rPr>
                <w:rFonts w:ascii="Times New Roman" w:hAnsi="Times New Roman"/>
                <w:color w:val="1F2937"/>
                <w:sz w:val="20"/>
              </w:rPr>
              <w:t>Figure 2.1</w:t>
            </w:r>
          </w:p>
        </w:tc>
        <w:tc>
          <w:tcPr>
            <w:tcW w:type="dxa" w:w="5760"/>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High-Level Architecture of ARIA End-to-End Orchestration Framework</w:t>
            </w:r>
          </w:p>
        </w:tc>
        <w:tc>
          <w:tcPr>
            <w:tcW w:type="dxa" w:w="1541"/>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6</w:t>
            </w:r>
          </w:p>
        </w:tc>
      </w:tr>
      <w:tr>
        <w:tc>
          <w:tcPr>
            <w:tcW w:type="dxa" w:w="1728"/>
            <w:shd w:fill="F8FAFC"/>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left"/>
            </w:pPr>
            <w:r>
              <w:rPr>
                <w:rFonts w:ascii="Times New Roman" w:hAnsi="Times New Roman"/>
                <w:color w:val="1F2937"/>
                <w:sz w:val="20"/>
              </w:rPr>
              <w:t>Figure 2.2</w:t>
            </w:r>
          </w:p>
        </w:tc>
        <w:tc>
          <w:tcPr>
            <w:tcW w:type="dxa" w:w="5760"/>
            <w:shd w:fill="F8FAFC"/>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Sequence Interaction Diagram of the ARIA Council Peer Review Roundtable</w:t>
            </w:r>
          </w:p>
        </w:tc>
        <w:tc>
          <w:tcPr>
            <w:tcW w:type="dxa" w:w="1541"/>
            <w:shd w:fill="F8FAFC"/>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11</w:t>
            </w:r>
          </w:p>
        </w:tc>
      </w:tr>
      <w:tr>
        <w:tc>
          <w:tcPr>
            <w:tcW w:type="dxa" w:w="1728"/>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left"/>
            </w:pPr>
            <w:r>
              <w:rPr>
                <w:rFonts w:ascii="Times New Roman" w:hAnsi="Times New Roman"/>
                <w:color w:val="1F2937"/>
                <w:sz w:val="20"/>
              </w:rPr>
              <w:t>Figure 3.1</w:t>
            </w:r>
          </w:p>
        </w:tc>
        <w:tc>
          <w:tcPr>
            <w:tcW w:type="dxa" w:w="5760"/>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Directory Structure and Parquet-Driven Handoff Pipeline</w:t>
            </w:r>
          </w:p>
        </w:tc>
        <w:tc>
          <w:tcPr>
            <w:tcW w:type="dxa" w:w="1541"/>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14</w:t>
            </w:r>
          </w:p>
        </w:tc>
      </w:tr>
      <w:tr>
        <w:tc>
          <w:tcPr>
            <w:tcW w:type="dxa" w:w="1728"/>
            <w:shd w:fill="F8FAFC"/>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left"/>
            </w:pPr>
            <w:r>
              <w:rPr>
                <w:rFonts w:ascii="Times New Roman" w:hAnsi="Times New Roman"/>
                <w:color w:val="1F2937"/>
                <w:sz w:val="20"/>
              </w:rPr>
              <w:t>Figure 3.2</w:t>
            </w:r>
          </w:p>
        </w:tc>
        <w:tc>
          <w:tcPr>
            <w:tcW w:type="dxa" w:w="5760"/>
            <w:shd w:fill="F8FAFC"/>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Optuna Bayesian Optimization Hyperband Convergence Trajectory</w:t>
            </w:r>
          </w:p>
        </w:tc>
        <w:tc>
          <w:tcPr>
            <w:tcW w:type="dxa" w:w="1541"/>
            <w:shd w:fill="F8FAFC"/>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17</w:t>
            </w:r>
          </w:p>
        </w:tc>
      </w:tr>
      <w:tr>
        <w:tc>
          <w:tcPr>
            <w:tcW w:type="dxa" w:w="1728"/>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left"/>
            </w:pPr>
            <w:r>
              <w:rPr>
                <w:rFonts w:ascii="Times New Roman" w:hAnsi="Times New Roman"/>
                <w:color w:val="1F2937"/>
                <w:sz w:val="20"/>
              </w:rPr>
              <w:t>Figure 3.3</w:t>
            </w:r>
          </w:p>
        </w:tc>
        <w:tc>
          <w:tcPr>
            <w:tcW w:type="dxa" w:w="5760"/>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Global SHAP Beeswarm Summary Plot for Holdout Test Inference</w:t>
            </w:r>
          </w:p>
        </w:tc>
        <w:tc>
          <w:tcPr>
            <w:tcW w:type="dxa" w:w="1541"/>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18</w:t>
            </w:r>
          </w:p>
        </w:tc>
      </w:tr>
      <w:tr>
        <w:tc>
          <w:tcPr>
            <w:tcW w:type="dxa" w:w="1728"/>
            <w:shd w:fill="F8FAFC"/>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left"/>
            </w:pPr>
            <w:r>
              <w:rPr>
                <w:rFonts w:ascii="Times New Roman" w:hAnsi="Times New Roman"/>
                <w:color w:val="1F2937"/>
                <w:sz w:val="20"/>
              </w:rPr>
              <w:t>Figure 3.4</w:t>
            </w:r>
          </w:p>
        </w:tc>
        <w:tc>
          <w:tcPr>
            <w:tcW w:type="dxa" w:w="5760"/>
            <w:shd w:fill="F8FAFC"/>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Receiver Operating Characteristic (ROC) and Precision-Recall Curves</w:t>
            </w:r>
          </w:p>
        </w:tc>
        <w:tc>
          <w:tcPr>
            <w:tcW w:type="dxa" w:w="1541"/>
            <w:shd w:fill="F8FAFC"/>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18</w:t>
            </w:r>
          </w:p>
        </w:tc>
      </w:tr>
    </w:tbl>
    <w:p>
      <w:pPr>
        <w:spacing w:after="120"/>
      </w:pPr>
    </w:p>
    <w:p>
      <w:pPr>
        <w:spacing w:before="360" w:after="280" w:line="288" w:lineRule="auto"/>
        <w:jc w:val="center"/>
      </w:pPr>
      <w:r>
        <w:rPr>
          <w:rFonts w:ascii="Times New Roman" w:hAnsi="Times New Roman"/>
          <w:b/>
          <w:color w:val="0F172A"/>
          <w:sz w:val="36"/>
        </w:rPr>
        <w:t>LIST OF TABLES</w:t>
      </w:r>
    </w:p>
    <w:tbl>
      <w:tblPr>
        <w:tblW w:type="auto" w:w="0"/>
        <w:jc w:val="center"/>
        <w:tblLayout w:type="fixed"/>
        <w:tblLook w:firstColumn="1" w:firstRow="1" w:lastColumn="0" w:lastRow="0" w:noHBand="0" w:noVBand="1" w:val="04A0"/>
      </w:tblPr>
      <w:tblGrid>
        <w:gridCol w:w="3010"/>
        <w:gridCol w:w="3010"/>
        <w:gridCol w:w="3010"/>
      </w:tblGrid>
      <w:tr>
        <w:tc>
          <w:tcPr>
            <w:tcW w:type="dxa" w:w="1728"/>
            <w:shd w:fill="1E3A8A"/>
            <w:tcMar>
              <w:top w:w="120" w:type="dxa"/>
              <w:bottom w:w="120" w:type="dxa"/>
              <w:left w:w="140" w:type="dxa"/>
              <w:right w:w="140" w:type="dxa"/>
            </w:tcMar>
            <w:tcBorders>
              <w:top w:val="single" w:sz="6" w:space="0" w:color="1E3A8A"/>
              <w:left w:val="single" w:sz="4" w:space="0" w:color="CBD5E1"/>
              <w:bottom w:val="single" w:sz="12" w:space="0" w:color="0F172A"/>
              <w:right w:val="single" w:sz="4" w:space="0" w:color="CBD5E1"/>
            </w:tcBorders>
          </w:tcPr>
          <w:p>
            <w:pPr>
              <w:spacing w:after="0"/>
              <w:jc w:val="center"/>
            </w:pPr>
            <w:r>
              <w:rPr>
                <w:rFonts w:ascii="Times New Roman" w:hAnsi="Times New Roman"/>
                <w:b/>
                <w:color w:val="FFFFFF"/>
                <w:sz w:val="21"/>
              </w:rPr>
              <w:t>Table No.</w:t>
            </w:r>
          </w:p>
        </w:tc>
        <w:tc>
          <w:tcPr>
            <w:tcW w:type="dxa" w:w="5760"/>
            <w:shd w:fill="1E3A8A"/>
            <w:tcMar>
              <w:top w:w="120" w:type="dxa"/>
              <w:bottom w:w="120" w:type="dxa"/>
              <w:left w:w="140" w:type="dxa"/>
              <w:right w:w="140" w:type="dxa"/>
            </w:tcMar>
            <w:tcBorders>
              <w:top w:val="single" w:sz="6" w:space="0" w:color="1E3A8A"/>
              <w:left w:val="single" w:sz="4" w:space="0" w:color="CBD5E1"/>
              <w:bottom w:val="single" w:sz="12" w:space="0" w:color="0F172A"/>
              <w:right w:val="single" w:sz="4" w:space="0" w:color="CBD5E1"/>
            </w:tcBorders>
          </w:tcPr>
          <w:p>
            <w:pPr>
              <w:spacing w:after="0"/>
              <w:jc w:val="center"/>
            </w:pPr>
            <w:r>
              <w:rPr>
                <w:rFonts w:ascii="Times New Roman" w:hAnsi="Times New Roman"/>
                <w:b/>
                <w:color w:val="FFFFFF"/>
                <w:sz w:val="21"/>
              </w:rPr>
              <w:t>Table Description</w:t>
            </w:r>
          </w:p>
        </w:tc>
        <w:tc>
          <w:tcPr>
            <w:tcW w:type="dxa" w:w="1541"/>
            <w:shd w:fill="1E3A8A"/>
            <w:tcMar>
              <w:top w:w="120" w:type="dxa"/>
              <w:bottom w:w="120" w:type="dxa"/>
              <w:left w:w="140" w:type="dxa"/>
              <w:right w:w="140" w:type="dxa"/>
            </w:tcMar>
            <w:tcBorders>
              <w:top w:val="single" w:sz="6" w:space="0" w:color="1E3A8A"/>
              <w:left w:val="single" w:sz="4" w:space="0" w:color="CBD5E1"/>
              <w:bottom w:val="single" w:sz="12" w:space="0" w:color="0F172A"/>
              <w:right w:val="single" w:sz="4" w:space="0" w:color="CBD5E1"/>
            </w:tcBorders>
          </w:tcPr>
          <w:p>
            <w:pPr>
              <w:spacing w:after="0"/>
              <w:jc w:val="center"/>
            </w:pPr>
            <w:r>
              <w:rPr>
                <w:rFonts w:ascii="Times New Roman" w:hAnsi="Times New Roman"/>
                <w:b/>
                <w:color w:val="FFFFFF"/>
                <w:sz w:val="21"/>
              </w:rPr>
              <w:t>Page</w:t>
            </w:r>
          </w:p>
        </w:tc>
      </w:tr>
      <w:tr>
        <w:tc>
          <w:tcPr>
            <w:tcW w:type="dxa" w:w="1728"/>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left"/>
            </w:pPr>
            <w:r>
              <w:rPr>
                <w:rFonts w:ascii="Times New Roman" w:hAnsi="Times New Roman"/>
                <w:color w:val="1F2937"/>
                <w:sz w:val="20"/>
              </w:rPr>
              <w:t>Table 1.1</w:t>
            </w:r>
          </w:p>
        </w:tc>
        <w:tc>
          <w:tcPr>
            <w:tcW w:type="dxa" w:w="5760"/>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Comparison of Existing Autonomous Agent Paradigms in Data Science</w:t>
            </w:r>
          </w:p>
        </w:tc>
        <w:tc>
          <w:tcPr>
            <w:tcW w:type="dxa" w:w="1541"/>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2</w:t>
            </w:r>
          </w:p>
        </w:tc>
      </w:tr>
      <w:tr>
        <w:tc>
          <w:tcPr>
            <w:tcW w:type="dxa" w:w="1728"/>
            <w:shd w:fill="F8FAFC"/>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left"/>
            </w:pPr>
            <w:r>
              <w:rPr>
                <w:rFonts w:ascii="Times New Roman" w:hAnsi="Times New Roman"/>
                <w:color w:val="1F2937"/>
                <w:sz w:val="20"/>
              </w:rPr>
              <w:t>Table 2.1</w:t>
            </w:r>
          </w:p>
        </w:tc>
        <w:tc>
          <w:tcPr>
            <w:tcW w:type="dxa" w:w="5760"/>
            <w:shd w:fill="F8FAFC"/>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ARIA Specialist Roster, Mentor Philosophies, and Primary Responsibilities</w:t>
            </w:r>
          </w:p>
        </w:tc>
        <w:tc>
          <w:tcPr>
            <w:tcW w:type="dxa" w:w="1541"/>
            <w:shd w:fill="F8FAFC"/>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9</w:t>
            </w:r>
          </w:p>
        </w:tc>
      </w:tr>
      <w:tr>
        <w:tc>
          <w:tcPr>
            <w:tcW w:type="dxa" w:w="1728"/>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left"/>
            </w:pPr>
            <w:r>
              <w:rPr>
                <w:rFonts w:ascii="Times New Roman" w:hAnsi="Times New Roman"/>
                <w:color w:val="1F2937"/>
                <w:sz w:val="20"/>
              </w:rPr>
              <w:t>Table 2.2</w:t>
            </w:r>
          </w:p>
        </w:tc>
        <w:tc>
          <w:tcPr>
            <w:tcW w:type="dxa" w:w="5760"/>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Dynamic Gating Protocol &amp; Routing Decision Matrix</w:t>
            </w:r>
          </w:p>
        </w:tc>
        <w:tc>
          <w:tcPr>
            <w:tcW w:type="dxa" w:w="1541"/>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11</w:t>
            </w:r>
          </w:p>
        </w:tc>
      </w:tr>
      <w:tr>
        <w:tc>
          <w:tcPr>
            <w:tcW w:type="dxa" w:w="1728"/>
            <w:shd w:fill="F8FAFC"/>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left"/>
            </w:pPr>
            <w:r>
              <w:rPr>
                <w:rFonts w:ascii="Times New Roman" w:hAnsi="Times New Roman"/>
                <w:color w:val="1F2937"/>
                <w:sz w:val="20"/>
              </w:rPr>
              <w:t>Table 3.1</w:t>
            </w:r>
          </w:p>
        </w:tc>
        <w:tc>
          <w:tcPr>
            <w:tcW w:type="dxa" w:w="5760"/>
            <w:shd w:fill="F8FAFC"/>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Benchmark Dataset Characteristics and Dimensional Geometry</w:t>
            </w:r>
          </w:p>
        </w:tc>
        <w:tc>
          <w:tcPr>
            <w:tcW w:type="dxa" w:w="1541"/>
            <w:shd w:fill="F8FAFC"/>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14</w:t>
            </w:r>
          </w:p>
        </w:tc>
      </w:tr>
      <w:tr>
        <w:tc>
          <w:tcPr>
            <w:tcW w:type="dxa" w:w="1728"/>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left"/>
            </w:pPr>
            <w:r>
              <w:rPr>
                <w:rFonts w:ascii="Times New Roman" w:hAnsi="Times New Roman"/>
                <w:color w:val="1F2937"/>
                <w:sz w:val="20"/>
              </w:rPr>
              <w:t>Table 3.2</w:t>
            </w:r>
          </w:p>
        </w:tc>
        <w:tc>
          <w:tcPr>
            <w:tcW w:type="dxa" w:w="5760"/>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Ablation Study: Single LLM vs Standard AutoML vs ARIA Council</w:t>
            </w:r>
          </w:p>
        </w:tc>
        <w:tc>
          <w:tcPr>
            <w:tcW w:type="dxa" w:w="1541"/>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15</w:t>
            </w:r>
          </w:p>
        </w:tc>
      </w:tr>
      <w:tr>
        <w:tc>
          <w:tcPr>
            <w:tcW w:type="dxa" w:w="1728"/>
            <w:shd w:fill="F8FAFC"/>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left"/>
            </w:pPr>
            <w:r>
              <w:rPr>
                <w:rFonts w:ascii="Times New Roman" w:hAnsi="Times New Roman"/>
                <w:color w:val="1F2937"/>
                <w:sz w:val="20"/>
              </w:rPr>
              <w:t>Table 3.3</w:t>
            </w:r>
          </w:p>
        </w:tc>
        <w:tc>
          <w:tcPr>
            <w:tcW w:type="dxa" w:w="5760"/>
            <w:shd w:fill="F8FAFC"/>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Feature Importance, Multicollinearity (VIF), and Mutual Information Lift</w:t>
            </w:r>
          </w:p>
        </w:tc>
        <w:tc>
          <w:tcPr>
            <w:tcW w:type="dxa" w:w="1541"/>
            <w:shd w:fill="F8FAFC"/>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16</w:t>
            </w:r>
          </w:p>
        </w:tc>
      </w:tr>
      <w:tr>
        <w:tc>
          <w:tcPr>
            <w:tcW w:type="dxa" w:w="1728"/>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left"/>
            </w:pPr>
            <w:r>
              <w:rPr>
                <w:rFonts w:ascii="Times New Roman" w:hAnsi="Times New Roman"/>
                <w:color w:val="1F2937"/>
                <w:sz w:val="20"/>
              </w:rPr>
              <w:t>Table 3.4</w:t>
            </w:r>
          </w:p>
        </w:tc>
        <w:tc>
          <w:tcPr>
            <w:tcW w:type="dxa" w:w="5760"/>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Comprehensive Multi-Model Algorithm Tournament Performance</w:t>
            </w:r>
          </w:p>
        </w:tc>
        <w:tc>
          <w:tcPr>
            <w:tcW w:type="dxa" w:w="1541"/>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17</w:t>
            </w:r>
          </w:p>
        </w:tc>
      </w:tr>
      <w:tr>
        <w:tc>
          <w:tcPr>
            <w:tcW w:type="dxa" w:w="1728"/>
            <w:shd w:fill="F8FAFC"/>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left"/>
            </w:pPr>
            <w:r>
              <w:rPr>
                <w:rFonts w:ascii="Times New Roman" w:hAnsi="Times New Roman"/>
                <w:color w:val="1F2937"/>
                <w:sz w:val="20"/>
              </w:rPr>
              <w:t>Table 3.5</w:t>
            </w:r>
          </w:p>
        </w:tc>
        <w:tc>
          <w:tcPr>
            <w:tcW w:type="dxa" w:w="5760"/>
            <w:shd w:fill="F8FAFC"/>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Optuna Bayesian Optimization Search Hypercube Bounds</w:t>
            </w:r>
          </w:p>
        </w:tc>
        <w:tc>
          <w:tcPr>
            <w:tcW w:type="dxa" w:w="1541"/>
            <w:shd w:fill="F8FAFC"/>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18</w:t>
            </w:r>
          </w:p>
        </w:tc>
      </w:tr>
    </w:tbl>
    <w:p>
      <w:pPr>
        <w:spacing w:after="120"/>
      </w:pPr>
    </w:p>
    <w:p>
      <w:r>
        <w:br w:type="page"/>
      </w:r>
    </w:p>
    <w:p>
      <w:pPr>
        <w:spacing w:before="360" w:after="280" w:line="288" w:lineRule="auto"/>
        <w:jc w:val="center"/>
      </w:pPr>
      <w:r>
        <w:rPr>
          <w:rFonts w:ascii="Times New Roman" w:hAnsi="Times New Roman"/>
          <w:b/>
          <w:color w:val="0F172A"/>
          <w:sz w:val="36"/>
        </w:rPr>
        <w:t>LIST OF ABBREVIATIONS</w:t>
      </w:r>
    </w:p>
    <w:tbl>
      <w:tblPr>
        <w:tblW w:type="auto" w:w="0"/>
        <w:jc w:val="center"/>
        <w:tblLayout w:type="fixed"/>
        <w:tblLook w:firstColumn="1" w:firstRow="1" w:lastColumn="0" w:lastRow="0" w:noHBand="0" w:noVBand="1" w:val="04A0"/>
      </w:tblPr>
      <w:tblGrid>
        <w:gridCol w:w="4514"/>
        <w:gridCol w:w="4514"/>
      </w:tblGrid>
      <w:tr>
        <w:tc>
          <w:tcPr>
            <w:tcW w:type="dxa" w:w="2592"/>
            <w:shd w:fill="1E3A8A"/>
            <w:tcMar>
              <w:top w:w="120" w:type="dxa"/>
              <w:bottom w:w="120" w:type="dxa"/>
              <w:left w:w="140" w:type="dxa"/>
              <w:right w:w="140" w:type="dxa"/>
            </w:tcMar>
            <w:tcBorders>
              <w:top w:val="single" w:sz="6" w:space="0" w:color="1E3A8A"/>
              <w:left w:val="single" w:sz="4" w:space="0" w:color="CBD5E1"/>
              <w:bottom w:val="single" w:sz="12" w:space="0" w:color="0F172A"/>
              <w:right w:val="single" w:sz="4" w:space="0" w:color="CBD5E1"/>
            </w:tcBorders>
          </w:tcPr>
          <w:p>
            <w:pPr>
              <w:spacing w:after="0"/>
              <w:jc w:val="center"/>
            </w:pPr>
            <w:r>
              <w:rPr>
                <w:rFonts w:ascii="Times New Roman" w:hAnsi="Times New Roman"/>
                <w:b/>
                <w:color w:val="FFFFFF"/>
                <w:sz w:val="21"/>
              </w:rPr>
              <w:t>Abbreviation</w:t>
            </w:r>
          </w:p>
        </w:tc>
        <w:tc>
          <w:tcPr>
            <w:tcW w:type="dxa" w:w="6437"/>
            <w:shd w:fill="1E3A8A"/>
            <w:tcMar>
              <w:top w:w="120" w:type="dxa"/>
              <w:bottom w:w="120" w:type="dxa"/>
              <w:left w:w="140" w:type="dxa"/>
              <w:right w:w="140" w:type="dxa"/>
            </w:tcMar>
            <w:tcBorders>
              <w:top w:val="single" w:sz="6" w:space="0" w:color="1E3A8A"/>
              <w:left w:val="single" w:sz="4" w:space="0" w:color="CBD5E1"/>
              <w:bottom w:val="single" w:sz="12" w:space="0" w:color="0F172A"/>
              <w:right w:val="single" w:sz="4" w:space="0" w:color="CBD5E1"/>
            </w:tcBorders>
          </w:tcPr>
          <w:p>
            <w:pPr>
              <w:spacing w:after="0"/>
              <w:jc w:val="center"/>
            </w:pPr>
            <w:r>
              <w:rPr>
                <w:rFonts w:ascii="Times New Roman" w:hAnsi="Times New Roman"/>
                <w:b/>
                <w:color w:val="FFFFFF"/>
                <w:sz w:val="21"/>
              </w:rPr>
              <w:t>Expanded Nomenclature</w:t>
            </w:r>
          </w:p>
        </w:tc>
      </w:tr>
      <w:tr>
        <w:tc>
          <w:tcPr>
            <w:tcW w:type="dxa" w:w="2592"/>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left"/>
            </w:pPr>
            <w:r>
              <w:rPr>
                <w:rFonts w:ascii="Times New Roman" w:hAnsi="Times New Roman"/>
                <w:color w:val="1F2937"/>
                <w:sz w:val="20"/>
              </w:rPr>
              <w:t>ARIA</w:t>
            </w:r>
          </w:p>
        </w:tc>
        <w:tc>
          <w:tcPr>
            <w:tcW w:type="dxa" w:w="6437"/>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Autonomous Research Intelligence for Analytics</w:t>
            </w:r>
          </w:p>
        </w:tc>
      </w:tr>
      <w:tr>
        <w:tc>
          <w:tcPr>
            <w:tcW w:type="dxa" w:w="2592"/>
            <w:shd w:fill="F8FAFC"/>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left"/>
            </w:pPr>
            <w:r>
              <w:rPr>
                <w:rFonts w:ascii="Times New Roman" w:hAnsi="Times New Roman"/>
                <w:color w:val="1F2937"/>
                <w:sz w:val="20"/>
              </w:rPr>
              <w:t>LLM</w:t>
            </w:r>
          </w:p>
        </w:tc>
        <w:tc>
          <w:tcPr>
            <w:tcW w:type="dxa" w:w="6437"/>
            <w:shd w:fill="F8FAFC"/>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Large Language Model</w:t>
            </w:r>
          </w:p>
        </w:tc>
      </w:tr>
      <w:tr>
        <w:tc>
          <w:tcPr>
            <w:tcW w:type="dxa" w:w="2592"/>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left"/>
            </w:pPr>
            <w:r>
              <w:rPr>
                <w:rFonts w:ascii="Times New Roman" w:hAnsi="Times New Roman"/>
                <w:color w:val="1F2937"/>
                <w:sz w:val="20"/>
              </w:rPr>
              <w:t>EDA</w:t>
            </w:r>
          </w:p>
        </w:tc>
        <w:tc>
          <w:tcPr>
            <w:tcW w:type="dxa" w:w="6437"/>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Exploratory Data Analysis</w:t>
            </w:r>
          </w:p>
        </w:tc>
      </w:tr>
      <w:tr>
        <w:tc>
          <w:tcPr>
            <w:tcW w:type="dxa" w:w="2592"/>
            <w:shd w:fill="F8FAFC"/>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left"/>
            </w:pPr>
            <w:r>
              <w:rPr>
                <w:rFonts w:ascii="Times New Roman" w:hAnsi="Times New Roman"/>
                <w:color w:val="1F2937"/>
                <w:sz w:val="20"/>
              </w:rPr>
              <w:t>VIF</w:t>
            </w:r>
          </w:p>
        </w:tc>
        <w:tc>
          <w:tcPr>
            <w:tcW w:type="dxa" w:w="6437"/>
            <w:shd w:fill="F8FAFC"/>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Variance Inflation Factor</w:t>
            </w:r>
          </w:p>
        </w:tc>
      </w:tr>
      <w:tr>
        <w:tc>
          <w:tcPr>
            <w:tcW w:type="dxa" w:w="2592"/>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left"/>
            </w:pPr>
            <w:r>
              <w:rPr>
                <w:rFonts w:ascii="Times New Roman" w:hAnsi="Times New Roman"/>
                <w:color w:val="1F2937"/>
                <w:sz w:val="20"/>
              </w:rPr>
              <w:t>MCAR</w:t>
            </w:r>
          </w:p>
        </w:tc>
        <w:tc>
          <w:tcPr>
            <w:tcW w:type="dxa" w:w="6437"/>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Missing Completely at Random</w:t>
            </w:r>
          </w:p>
        </w:tc>
      </w:tr>
      <w:tr>
        <w:tc>
          <w:tcPr>
            <w:tcW w:type="dxa" w:w="2592"/>
            <w:shd w:fill="F8FAFC"/>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left"/>
            </w:pPr>
            <w:r>
              <w:rPr>
                <w:rFonts w:ascii="Times New Roman" w:hAnsi="Times New Roman"/>
                <w:color w:val="1F2937"/>
                <w:sz w:val="20"/>
              </w:rPr>
              <w:t>MAR</w:t>
            </w:r>
          </w:p>
        </w:tc>
        <w:tc>
          <w:tcPr>
            <w:tcW w:type="dxa" w:w="6437"/>
            <w:shd w:fill="F8FAFC"/>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Missing at Random</w:t>
            </w:r>
          </w:p>
        </w:tc>
      </w:tr>
      <w:tr>
        <w:tc>
          <w:tcPr>
            <w:tcW w:type="dxa" w:w="2592"/>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left"/>
            </w:pPr>
            <w:r>
              <w:rPr>
                <w:rFonts w:ascii="Times New Roman" w:hAnsi="Times New Roman"/>
                <w:color w:val="1F2937"/>
                <w:sz w:val="20"/>
              </w:rPr>
              <w:t>MNAR</w:t>
            </w:r>
          </w:p>
        </w:tc>
        <w:tc>
          <w:tcPr>
            <w:tcW w:type="dxa" w:w="6437"/>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Missing Not at Random</w:t>
            </w:r>
          </w:p>
        </w:tc>
      </w:tr>
      <w:tr>
        <w:tc>
          <w:tcPr>
            <w:tcW w:type="dxa" w:w="2592"/>
            <w:shd w:fill="F8FAFC"/>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left"/>
            </w:pPr>
            <w:r>
              <w:rPr>
                <w:rFonts w:ascii="Times New Roman" w:hAnsi="Times New Roman"/>
                <w:color w:val="1F2937"/>
                <w:sz w:val="20"/>
              </w:rPr>
              <w:t>OOF</w:t>
            </w:r>
          </w:p>
        </w:tc>
        <w:tc>
          <w:tcPr>
            <w:tcW w:type="dxa" w:w="6437"/>
            <w:shd w:fill="F8FAFC"/>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Out-of-Fold</w:t>
            </w:r>
          </w:p>
        </w:tc>
      </w:tr>
      <w:tr>
        <w:tc>
          <w:tcPr>
            <w:tcW w:type="dxa" w:w="2592"/>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left"/>
            </w:pPr>
            <w:r>
              <w:rPr>
                <w:rFonts w:ascii="Times New Roman" w:hAnsi="Times New Roman"/>
                <w:color w:val="1F2937"/>
                <w:sz w:val="20"/>
              </w:rPr>
              <w:t>RFECV</w:t>
            </w:r>
          </w:p>
        </w:tc>
        <w:tc>
          <w:tcPr>
            <w:tcW w:type="dxa" w:w="6437"/>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Recursive Feature Elimination with Cross-Validation</w:t>
            </w:r>
          </w:p>
        </w:tc>
      </w:tr>
      <w:tr>
        <w:tc>
          <w:tcPr>
            <w:tcW w:type="dxa" w:w="2592"/>
            <w:shd w:fill="F8FAFC"/>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left"/>
            </w:pPr>
            <w:r>
              <w:rPr>
                <w:rFonts w:ascii="Times New Roman" w:hAnsi="Times New Roman"/>
                <w:color w:val="1F2937"/>
                <w:sz w:val="20"/>
              </w:rPr>
              <w:t>SHAP</w:t>
            </w:r>
          </w:p>
        </w:tc>
        <w:tc>
          <w:tcPr>
            <w:tcW w:type="dxa" w:w="6437"/>
            <w:shd w:fill="F8FAFC"/>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SHapley Additive exPlanations</w:t>
            </w:r>
          </w:p>
        </w:tc>
      </w:tr>
      <w:tr>
        <w:tc>
          <w:tcPr>
            <w:tcW w:type="dxa" w:w="2592"/>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left"/>
            </w:pPr>
            <w:r>
              <w:rPr>
                <w:rFonts w:ascii="Times New Roman" w:hAnsi="Times New Roman"/>
                <w:color w:val="1F2937"/>
                <w:sz w:val="20"/>
              </w:rPr>
              <w:t>ROC-AUC</w:t>
            </w:r>
          </w:p>
        </w:tc>
        <w:tc>
          <w:tcPr>
            <w:tcW w:type="dxa" w:w="6437"/>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Receiver Operating Characteristic — Area Under Curve</w:t>
            </w:r>
          </w:p>
        </w:tc>
      </w:tr>
      <w:tr>
        <w:tc>
          <w:tcPr>
            <w:tcW w:type="dxa" w:w="2592"/>
            <w:shd w:fill="F8FAFC"/>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left"/>
            </w:pPr>
            <w:r>
              <w:rPr>
                <w:rFonts w:ascii="Times New Roman" w:hAnsi="Times New Roman"/>
                <w:color w:val="1F2937"/>
                <w:sz w:val="20"/>
              </w:rPr>
              <w:t>PR-AUC</w:t>
            </w:r>
          </w:p>
        </w:tc>
        <w:tc>
          <w:tcPr>
            <w:tcW w:type="dxa" w:w="6437"/>
            <w:shd w:fill="F8FAFC"/>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Precision-Recall — Area Under Curve</w:t>
            </w:r>
          </w:p>
        </w:tc>
      </w:tr>
      <w:tr>
        <w:tc>
          <w:tcPr>
            <w:tcW w:type="dxa" w:w="2592"/>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left"/>
            </w:pPr>
            <w:r>
              <w:rPr>
                <w:rFonts w:ascii="Times New Roman" w:hAnsi="Times New Roman"/>
                <w:color w:val="1F2937"/>
                <w:sz w:val="20"/>
              </w:rPr>
              <w:t>MICE</w:t>
            </w:r>
          </w:p>
        </w:tc>
        <w:tc>
          <w:tcPr>
            <w:tcW w:type="dxa" w:w="6437"/>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Multiple Imputation by Chained Equations</w:t>
            </w:r>
          </w:p>
        </w:tc>
      </w:tr>
      <w:tr>
        <w:tc>
          <w:tcPr>
            <w:tcW w:type="dxa" w:w="2592"/>
            <w:shd w:fill="F8FAFC"/>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left"/>
            </w:pPr>
            <w:r>
              <w:rPr>
                <w:rFonts w:ascii="Times New Roman" w:hAnsi="Times New Roman"/>
                <w:color w:val="1F2937"/>
                <w:sz w:val="20"/>
              </w:rPr>
              <w:t>GOSS</w:t>
            </w:r>
          </w:p>
        </w:tc>
        <w:tc>
          <w:tcPr>
            <w:tcW w:type="dxa" w:w="6437"/>
            <w:shd w:fill="F8FAFC"/>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Gradient-Based One-Side Sampling</w:t>
            </w:r>
          </w:p>
        </w:tc>
      </w:tr>
      <w:tr>
        <w:tc>
          <w:tcPr>
            <w:tcW w:type="dxa" w:w="2592"/>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left"/>
            </w:pPr>
            <w:r>
              <w:rPr>
                <w:rFonts w:ascii="Times New Roman" w:hAnsi="Times New Roman"/>
                <w:color w:val="1F2937"/>
                <w:sz w:val="20"/>
              </w:rPr>
              <w:t>TPE</w:t>
            </w:r>
          </w:p>
        </w:tc>
        <w:tc>
          <w:tcPr>
            <w:tcW w:type="dxa" w:w="6437"/>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Tree-Structured Parzen Estimator</w:t>
            </w:r>
          </w:p>
        </w:tc>
      </w:tr>
      <w:tr>
        <w:tc>
          <w:tcPr>
            <w:tcW w:type="dxa" w:w="2592"/>
            <w:shd w:fill="F8FAFC"/>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left"/>
            </w:pPr>
            <w:r>
              <w:rPr>
                <w:rFonts w:ascii="Times New Roman" w:hAnsi="Times New Roman"/>
                <w:color w:val="1F2937"/>
                <w:sz w:val="20"/>
              </w:rPr>
              <w:t>AutoML</w:t>
            </w:r>
          </w:p>
        </w:tc>
        <w:tc>
          <w:tcPr>
            <w:tcW w:type="dxa" w:w="6437"/>
            <w:shd w:fill="F8FAFC"/>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Automated Machine Learning</w:t>
            </w:r>
          </w:p>
        </w:tc>
      </w:tr>
    </w:tbl>
    <w:p>
      <w:pPr>
        <w:spacing w:after="120"/>
      </w:pPr>
    </w:p>
    <w:p>
      <w:r>
        <w:br w:type="page"/>
      </w:r>
    </w:p>
    <w:p>
      <w:pPr>
        <w:keepNext/>
        <w:spacing w:before="360" w:after="160"/>
        <w:jc w:val="left"/>
      </w:pPr>
      <w:r>
        <w:rPr>
          <w:rFonts w:ascii="Times New Roman" w:hAnsi="Times New Roman"/>
          <w:b/>
          <w:color w:val="1E3A8A"/>
          <w:sz w:val="30"/>
        </w:rPr>
        <w:t>CHAPTER 1: INTRODUCTION</w:t>
      </w:r>
    </w:p>
    <w:p>
      <w:pPr>
        <w:keepNext/>
        <w:spacing w:before="280" w:after="120"/>
        <w:jc w:val="left"/>
      </w:pPr>
      <w:r>
        <w:rPr>
          <w:rFonts w:ascii="Times New Roman" w:hAnsi="Times New Roman"/>
          <w:b/>
          <w:color w:val="1F2937"/>
          <w:sz w:val="26"/>
        </w:rPr>
        <w:t>1.1 Motivation: Cognitive and Operational Bottlenecks in Data Science</w:t>
      </w:r>
    </w:p>
    <w:p>
      <w:pPr>
        <w:spacing w:line="360" w:lineRule="auto" w:after="120"/>
        <w:jc w:val="both"/>
      </w:pPr>
      <w:r>
        <w:rPr>
          <w:rFonts w:ascii="Times New Roman" w:hAnsi="Times New Roman"/>
          <w:color w:val="111827"/>
          <w:sz w:val="24"/>
        </w:rPr>
        <w:t>The contemporary data science lifecycle is an inherently multidisciplinary, highly non-linear craft requiring distinct intellectual faculties. A successful analytical initiative demands data warehouse architecture to navigate messy enterprise catalogs, high-performance database querying to extract atomic records, rigorous exploratory statistics to identify distribution skewness, leak-free preprocessing to ensure mathematical hygiene, intuitive domain engineering to extract high-order signals, tournament machine learning to optimize hyperparameter topologies, cynical governance auditing to verify fairness, and executive storytelling to translate quantitative metrics into boardroom business value.</w:t>
      </w:r>
    </w:p>
    <w:p>
      <w:pPr>
        <w:spacing w:line="360" w:lineRule="auto" w:after="120"/>
        <w:jc w:val="both"/>
      </w:pPr>
      <w:r>
        <w:rPr>
          <w:rFonts w:ascii="Times New Roman" w:hAnsi="Times New Roman"/>
          <w:color w:val="111827"/>
          <w:sz w:val="24"/>
        </w:rPr>
        <w:t>In industry, these responsibilities are divided among distinct human professionals: Data Engineers, Research Statisticians, Machine Learning Engineers, Model Risk Governance Officers, and Management Consultants. However, this human division of labor introduces catastrophic friction: handoff latencies, misaligned statistical assumptions, loss of context between preprocessing and modeling, and unintentional data leakage. For example, a preprocessing engineer might normalize continuous variables using the global sample mean, inadvertently leaking holdout test distributions into training features—a fatal error that artificially inflates offline validation scores while guaranteeing degraded production inference.</w:t>
      </w:r>
    </w:p>
    <w:p>
      <w:pPr>
        <w:keepNext/>
        <w:spacing w:before="280" w:after="120"/>
        <w:jc w:val="left"/>
      </w:pPr>
      <w:r>
        <w:rPr>
          <w:rFonts w:ascii="Times New Roman" w:hAnsi="Times New Roman"/>
          <w:b/>
          <w:color w:val="1F2937"/>
          <w:sz w:val="26"/>
        </w:rPr>
        <w:t>1.2 Background &amp; Related Work: The Evolution of Autonomous Agents</w:t>
      </w:r>
    </w:p>
    <w:p>
      <w:pPr>
        <w:spacing w:line="360" w:lineRule="auto" w:after="120"/>
        <w:jc w:val="both"/>
      </w:pPr>
      <w:r>
        <w:rPr>
          <w:rFonts w:ascii="Times New Roman" w:hAnsi="Times New Roman"/>
          <w:color w:val="111827"/>
          <w:sz w:val="24"/>
        </w:rPr>
        <w:t>Recent advancements in Large Language Models (LLMs)—spanning GPT-4, Claude 3.5 Sonnet, and Gemini Pro—have catalyzed a paradigm shift from static conversational chatbots to autonomous agentic systems capable of executing tool calls, writing Python code, and interacting with file systems. Early efforts in automated data science can be categorized into three generations:</w:t>
      </w:r>
    </w:p>
    <w:p>
      <w:pPr>
        <w:pStyle w:val="ListBullet"/>
        <w:spacing w:line="312" w:lineRule="auto" w:after="80"/>
        <w:jc w:val="both"/>
      </w:pPr>
      <w:r>
        <w:rPr>
          <w:rFonts w:ascii="Times New Roman" w:hAnsi="Times New Roman"/>
          <w:b/>
          <w:sz w:val="24"/>
        </w:rPr>
        <w:t xml:space="preserve">1. First-Generation AutoML: </w:t>
      </w:r>
      <w:r>
        <w:rPr>
          <w:rFonts w:ascii="Times New Roman" w:hAnsi="Times New Roman"/>
          <w:sz w:val="24"/>
        </w:rPr>
        <w:t>First-Generation AutoML: Platforms such as Auto-sklearn, TPOT, and H2O AutoML automated algorithm selection and hyperparameter optimization using genetic algorithms or Bayesian search. However, they operate on strictly pre-cleaned tabular matrices, completely ignoring upstream SQL extraction, domain-specific text parsing, exploratory hypothesis testing, and executive narrative synthesis.</w:t>
      </w:r>
    </w:p>
    <w:p>
      <w:pPr>
        <w:pStyle w:val="ListBullet"/>
        <w:spacing w:line="312" w:lineRule="auto" w:after="80"/>
        <w:jc w:val="both"/>
      </w:pPr>
      <w:r>
        <w:rPr>
          <w:rFonts w:ascii="Times New Roman" w:hAnsi="Times New Roman"/>
          <w:b/>
          <w:sz w:val="24"/>
        </w:rPr>
        <w:t xml:space="preserve">2. Single-Agent Code Execution: </w:t>
      </w:r>
      <w:r>
        <w:rPr>
          <w:rFonts w:ascii="Times New Roman" w:hAnsi="Times New Roman"/>
          <w:sz w:val="24"/>
        </w:rPr>
        <w:t>Second-Generation Code-Execution Environments: OpenAI Advanced Data Analysis (formerly Code Interpreter) integrated Python REPL execution directly with single-agent LLM reasoning. While capable of plotting charts and computing regressions, single-agent models suffer from severe cognitive overloading: a single prompt context must balance schema exploration, feature creation, and model tuning, leading to frequent hallucination of statistical tests, unconstrained data leakage, and superficial executive summaries.</w:t>
      </w:r>
    </w:p>
    <w:p>
      <w:pPr>
        <w:pStyle w:val="ListBullet"/>
        <w:spacing w:line="312" w:lineRule="auto" w:after="80"/>
        <w:jc w:val="both"/>
      </w:pPr>
      <w:r>
        <w:rPr>
          <w:rFonts w:ascii="Times New Roman" w:hAnsi="Times New Roman"/>
          <w:b/>
          <w:sz w:val="24"/>
        </w:rPr>
        <w:t xml:space="preserve">3. Multi-Agent Frameworks: </w:t>
      </w:r>
      <w:r>
        <w:rPr>
          <w:rFonts w:ascii="Times New Roman" w:hAnsi="Times New Roman"/>
          <w:sz w:val="24"/>
        </w:rPr>
        <w:t>Third-Generation Multi-Agent Systems: Frameworks such as AutoGen, CrewAI, and MetaGPT introduced collaborative agent teams. However, existing multi-agent platforms suffer from a critical flaw: unconstrained mutual affirmation. Agents tend to echo each other's hallucinations without rigorous adversarial cross-examination, lack domain-hardened statistical invariants, and frequently fail to produce deployable, leak-free pipeline artifacts.</w:t>
      </w:r>
    </w:p>
    <w:p>
      <w:pPr>
        <w:spacing w:line="360" w:lineRule="auto" w:after="120"/>
        <w:jc w:val="both"/>
      </w:pPr>
      <w:r>
        <w:rPr>
          <w:rFonts w:ascii="Times New Roman" w:hAnsi="Times New Roman"/>
          <w:color w:val="111827"/>
          <w:sz w:val="24"/>
        </w:rPr>
        <w:t>Table 1.1 highlights the structural limitations of existing systems compared to the architectural principles of ARIA.</w:t>
      </w:r>
    </w:p>
    <w:tbl>
      <w:tblPr>
        <w:tblW w:type="auto" w:w="0"/>
        <w:jc w:val="center"/>
        <w:tblLayout w:type="fixed"/>
        <w:tblLook w:firstColumn="1" w:firstRow="1" w:lastColumn="0" w:lastRow="0" w:noHBand="0" w:noVBand="1" w:val="04A0"/>
      </w:tblPr>
      <w:tblGrid>
        <w:gridCol w:w="1806"/>
        <w:gridCol w:w="1806"/>
        <w:gridCol w:w="1806"/>
        <w:gridCol w:w="1806"/>
        <w:gridCol w:w="1806"/>
      </w:tblGrid>
      <w:tr>
        <w:tc>
          <w:tcPr>
            <w:tcW w:type="dxa" w:w="2160"/>
            <w:shd w:fill="1E3A8A"/>
            <w:tcMar>
              <w:top w:w="120" w:type="dxa"/>
              <w:bottom w:w="120" w:type="dxa"/>
              <w:left w:w="140" w:type="dxa"/>
              <w:right w:w="140" w:type="dxa"/>
            </w:tcMar>
            <w:tcBorders>
              <w:top w:val="single" w:sz="6" w:space="0" w:color="1E3A8A"/>
              <w:left w:val="single" w:sz="4" w:space="0" w:color="CBD5E1"/>
              <w:bottom w:val="single" w:sz="12" w:space="0" w:color="0F172A"/>
              <w:right w:val="single" w:sz="4" w:space="0" w:color="CBD5E1"/>
            </w:tcBorders>
          </w:tcPr>
          <w:p>
            <w:pPr>
              <w:spacing w:after="0"/>
              <w:jc w:val="center"/>
            </w:pPr>
            <w:r>
              <w:rPr>
                <w:rFonts w:ascii="Times New Roman" w:hAnsi="Times New Roman"/>
                <w:b/>
                <w:color w:val="FFFFFF"/>
                <w:sz w:val="21"/>
              </w:rPr>
              <w:t>Paradigm</w:t>
            </w:r>
          </w:p>
        </w:tc>
        <w:tc>
          <w:tcPr>
            <w:tcW w:type="dxa" w:w="1728"/>
            <w:shd w:fill="1E3A8A"/>
            <w:tcMar>
              <w:top w:w="120" w:type="dxa"/>
              <w:bottom w:w="120" w:type="dxa"/>
              <w:left w:w="140" w:type="dxa"/>
              <w:right w:w="140" w:type="dxa"/>
            </w:tcMar>
            <w:tcBorders>
              <w:top w:val="single" w:sz="6" w:space="0" w:color="1E3A8A"/>
              <w:left w:val="single" w:sz="4" w:space="0" w:color="CBD5E1"/>
              <w:bottom w:val="single" w:sz="12" w:space="0" w:color="0F172A"/>
              <w:right w:val="single" w:sz="4" w:space="0" w:color="CBD5E1"/>
            </w:tcBorders>
          </w:tcPr>
          <w:p>
            <w:pPr>
              <w:spacing w:after="0"/>
              <w:jc w:val="center"/>
            </w:pPr>
            <w:r>
              <w:rPr>
                <w:rFonts w:ascii="Times New Roman" w:hAnsi="Times New Roman"/>
                <w:b/>
                <w:color w:val="FFFFFF"/>
                <w:sz w:val="21"/>
              </w:rPr>
              <w:t>Specialist Persona</w:t>
            </w:r>
          </w:p>
        </w:tc>
        <w:tc>
          <w:tcPr>
            <w:tcW w:type="dxa" w:w="1728"/>
            <w:shd w:fill="1E3A8A"/>
            <w:tcMar>
              <w:top w:w="120" w:type="dxa"/>
              <w:bottom w:w="120" w:type="dxa"/>
              <w:left w:w="140" w:type="dxa"/>
              <w:right w:w="140" w:type="dxa"/>
            </w:tcMar>
            <w:tcBorders>
              <w:top w:val="single" w:sz="6" w:space="0" w:color="1E3A8A"/>
              <w:left w:val="single" w:sz="4" w:space="0" w:color="CBD5E1"/>
              <w:bottom w:val="single" w:sz="12" w:space="0" w:color="0F172A"/>
              <w:right w:val="single" w:sz="4" w:space="0" w:color="CBD5E1"/>
            </w:tcBorders>
          </w:tcPr>
          <w:p>
            <w:pPr>
              <w:spacing w:after="0"/>
              <w:jc w:val="center"/>
            </w:pPr>
            <w:r>
              <w:rPr>
                <w:rFonts w:ascii="Times New Roman" w:hAnsi="Times New Roman"/>
                <w:b/>
                <w:color w:val="FFFFFF"/>
                <w:sz w:val="21"/>
              </w:rPr>
              <w:t>Leakage Guardrails</w:t>
            </w:r>
          </w:p>
        </w:tc>
        <w:tc>
          <w:tcPr>
            <w:tcW w:type="dxa" w:w="1728"/>
            <w:shd w:fill="1E3A8A"/>
            <w:tcMar>
              <w:top w:w="120" w:type="dxa"/>
              <w:bottom w:w="120" w:type="dxa"/>
              <w:left w:w="140" w:type="dxa"/>
              <w:right w:w="140" w:type="dxa"/>
            </w:tcMar>
            <w:tcBorders>
              <w:top w:val="single" w:sz="6" w:space="0" w:color="1E3A8A"/>
              <w:left w:val="single" w:sz="4" w:space="0" w:color="CBD5E1"/>
              <w:bottom w:val="single" w:sz="12" w:space="0" w:color="0F172A"/>
              <w:right w:val="single" w:sz="4" w:space="0" w:color="CBD5E1"/>
            </w:tcBorders>
          </w:tcPr>
          <w:p>
            <w:pPr>
              <w:spacing w:after="0"/>
              <w:jc w:val="center"/>
            </w:pPr>
            <w:r>
              <w:rPr>
                <w:rFonts w:ascii="Times New Roman" w:hAnsi="Times New Roman"/>
                <w:b/>
                <w:color w:val="FFFFFF"/>
                <w:sz w:val="21"/>
              </w:rPr>
              <w:t>Adversarial Review</w:t>
            </w:r>
          </w:p>
        </w:tc>
        <w:tc>
          <w:tcPr>
            <w:tcW w:type="dxa" w:w="1685"/>
            <w:shd w:fill="1E3A8A"/>
            <w:tcMar>
              <w:top w:w="120" w:type="dxa"/>
              <w:bottom w:w="120" w:type="dxa"/>
              <w:left w:w="140" w:type="dxa"/>
              <w:right w:w="140" w:type="dxa"/>
            </w:tcMar>
            <w:tcBorders>
              <w:top w:val="single" w:sz="6" w:space="0" w:color="1E3A8A"/>
              <w:left w:val="single" w:sz="4" w:space="0" w:color="CBD5E1"/>
              <w:bottom w:val="single" w:sz="12" w:space="0" w:color="0F172A"/>
              <w:right w:val="single" w:sz="4" w:space="0" w:color="CBD5E1"/>
            </w:tcBorders>
          </w:tcPr>
          <w:p>
            <w:pPr>
              <w:spacing w:after="0"/>
              <w:jc w:val="center"/>
            </w:pPr>
            <w:r>
              <w:rPr>
                <w:rFonts w:ascii="Times New Roman" w:hAnsi="Times New Roman"/>
                <w:b/>
                <w:color w:val="FFFFFF"/>
                <w:sz w:val="21"/>
              </w:rPr>
              <w:t>Executive Interface</w:t>
            </w:r>
          </w:p>
        </w:tc>
      </w:tr>
      <w:tr>
        <w:tc>
          <w:tcPr>
            <w:tcW w:type="dxa" w:w="2160"/>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left"/>
            </w:pPr>
            <w:r>
              <w:rPr>
                <w:rFonts w:ascii="Times New Roman" w:hAnsi="Times New Roman"/>
                <w:color w:val="1F2937"/>
                <w:sz w:val="20"/>
              </w:rPr>
              <w:t>Traditional AutoML (H2O)</w:t>
            </w:r>
          </w:p>
        </w:tc>
        <w:tc>
          <w:tcPr>
            <w:tcW w:type="dxa" w:w="1728"/>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No (Black Box)</w:t>
            </w:r>
          </w:p>
        </w:tc>
        <w:tc>
          <w:tcPr>
            <w:tcW w:type="dxa" w:w="1728"/>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Partial</w:t>
            </w:r>
          </w:p>
        </w:tc>
        <w:tc>
          <w:tcPr>
            <w:tcW w:type="dxa" w:w="1728"/>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None</w:t>
            </w:r>
          </w:p>
        </w:tc>
        <w:tc>
          <w:tcPr>
            <w:tcW w:type="dxa" w:w="1685"/>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Raw Metrics Only</w:t>
            </w:r>
          </w:p>
        </w:tc>
      </w:tr>
      <w:tr>
        <w:tc>
          <w:tcPr>
            <w:tcW w:type="dxa" w:w="2160"/>
            <w:shd w:fill="F8FAFC"/>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left"/>
            </w:pPr>
            <w:r>
              <w:rPr>
                <w:rFonts w:ascii="Times New Roman" w:hAnsi="Times New Roman"/>
                <w:color w:val="1F2937"/>
                <w:sz w:val="20"/>
              </w:rPr>
              <w:t>Single-Agent LLM (OpenAI ADA)</w:t>
            </w:r>
          </w:p>
        </w:tc>
        <w:tc>
          <w:tcPr>
            <w:tcW w:type="dxa" w:w="1728"/>
            <w:shd w:fill="F8FAFC"/>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No (Generalist)</w:t>
            </w:r>
          </w:p>
        </w:tc>
        <w:tc>
          <w:tcPr>
            <w:tcW w:type="dxa" w:w="1728"/>
            <w:shd w:fill="F8FAFC"/>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None (High Risk)</w:t>
            </w:r>
          </w:p>
        </w:tc>
        <w:tc>
          <w:tcPr>
            <w:tcW w:type="dxa" w:w="1728"/>
            <w:shd w:fill="F8FAFC"/>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None (Echo Chamber)</w:t>
            </w:r>
          </w:p>
        </w:tc>
        <w:tc>
          <w:tcPr>
            <w:tcW w:type="dxa" w:w="1685"/>
            <w:shd w:fill="F8FAFC"/>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Basic Chat</w:t>
            </w:r>
          </w:p>
        </w:tc>
      </w:tr>
      <w:tr>
        <w:tc>
          <w:tcPr>
            <w:tcW w:type="dxa" w:w="2160"/>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left"/>
            </w:pPr>
            <w:r>
              <w:rPr>
                <w:rFonts w:ascii="Times New Roman" w:hAnsi="Times New Roman"/>
                <w:color w:val="1F2937"/>
                <w:sz w:val="20"/>
              </w:rPr>
              <w:t>Standard Multi-Agent (CrewAI)</w:t>
            </w:r>
          </w:p>
        </w:tc>
        <w:tc>
          <w:tcPr>
            <w:tcW w:type="dxa" w:w="1728"/>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Surface-Level</w:t>
            </w:r>
          </w:p>
        </w:tc>
        <w:tc>
          <w:tcPr>
            <w:tcW w:type="dxa" w:w="1728"/>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None</w:t>
            </w:r>
          </w:p>
        </w:tc>
        <w:tc>
          <w:tcPr>
            <w:tcW w:type="dxa" w:w="1728"/>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Collaborative Only</w:t>
            </w:r>
          </w:p>
        </w:tc>
        <w:tc>
          <w:tcPr>
            <w:tcW w:type="dxa" w:w="1685"/>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Chat Logs</w:t>
            </w:r>
          </w:p>
        </w:tc>
      </w:tr>
      <w:tr>
        <w:tc>
          <w:tcPr>
            <w:tcW w:type="dxa" w:w="2160"/>
            <w:shd w:fill="F8FAFC"/>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left"/>
            </w:pPr>
            <w:r>
              <w:rPr>
                <w:rFonts w:ascii="Times New Roman" w:hAnsi="Times New Roman"/>
                <w:color w:val="1F2937"/>
                <w:sz w:val="20"/>
              </w:rPr>
              <w:t>ARIA Framework (Proposed)</w:t>
            </w:r>
          </w:p>
        </w:tc>
        <w:tc>
          <w:tcPr>
            <w:tcW w:type="dxa" w:w="1728"/>
            <w:shd w:fill="F8FAFC"/>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8 Domain Specialists</w:t>
            </w:r>
          </w:p>
        </w:tc>
        <w:tc>
          <w:tcPr>
            <w:tcW w:type="dxa" w:w="1728"/>
            <w:shd w:fill="F8FAFC"/>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Strict (OOF / Partition)</w:t>
            </w:r>
          </w:p>
        </w:tc>
        <w:tc>
          <w:tcPr>
            <w:tcW w:type="dxa" w:w="1728"/>
            <w:shd w:fill="F8FAFC"/>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Adversarial Council</w:t>
            </w:r>
          </w:p>
        </w:tc>
        <w:tc>
          <w:tcPr>
            <w:tcW w:type="dxa" w:w="1685"/>
            <w:shd w:fill="F8FAFC"/>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Major-Domo (Alfred)</w:t>
            </w:r>
          </w:p>
        </w:tc>
      </w:tr>
    </w:tbl>
    <w:p>
      <w:pPr>
        <w:spacing w:after="120"/>
      </w:pPr>
    </w:p>
    <w:p>
      <w:pPr>
        <w:keepNext/>
        <w:spacing w:before="280" w:after="120"/>
        <w:jc w:val="left"/>
      </w:pPr>
      <w:r>
        <w:rPr>
          <w:rFonts w:ascii="Times New Roman" w:hAnsi="Times New Roman"/>
          <w:b/>
          <w:color w:val="1F2937"/>
          <w:sz w:val="26"/>
        </w:rPr>
        <w:t>1.3 Problem Statement &amp; Research Hypotheses</w:t>
      </w:r>
    </w:p>
    <w:p>
      <w:pPr>
        <w:spacing w:line="360" w:lineRule="auto" w:after="120"/>
        <w:jc w:val="both"/>
      </w:pPr>
      <w:r>
        <w:rPr>
          <w:rFonts w:ascii="Times New Roman" w:hAnsi="Times New Roman"/>
          <w:color w:val="111827"/>
          <w:sz w:val="24"/>
        </w:rPr>
        <w:t>Despite the promise of LLM-driven automation, enterprise organizations remain unable to deploy autonomous agents for high-stakes predictive analytics due to three unsolved challenges: (1) Cognitive Blurring: A single model cannot simultaneously embody the cynical skepticism of a risk auditor and the creative opportunism of a Kaggle grandmaster. (2) Covert Data Leakage: Naive scripting environments fit scalers, imputers, and group aggregations globally across train and test partitions. (3) The Absence of Adversarial Scrutiny: Without a formal debate protocol, flawed algorithmic choices pass uninspected into production.</w:t>
      </w:r>
    </w:p>
    <w:p>
      <w:pPr>
        <w:spacing w:line="360" w:lineRule="auto" w:after="120"/>
        <w:jc w:val="both"/>
      </w:pPr>
      <w:r>
        <w:rPr>
          <w:rFonts w:ascii="Times New Roman" w:hAnsi="Times New Roman"/>
          <w:b/>
          <w:color w:val="111827"/>
          <w:sz w:val="24"/>
        </w:rPr>
        <w:t xml:space="preserve">Hypothesis 1 (Persona Specialization): </w:t>
      </w:r>
      <w:r>
        <w:rPr>
          <w:rFonts w:ascii="Times New Roman" w:hAnsi="Times New Roman"/>
          <w:color w:val="111827"/>
          <w:sz w:val="24"/>
        </w:rPr>
        <w:t>Hypothesis 1: Deconstructing the Data Science lifecycle into eight specialized personas inspired by historical domain masters eliminates prompt interference and produces higher-fidelity code artifacts.</w:t>
      </w:r>
    </w:p>
    <w:p>
      <w:pPr>
        <w:spacing w:line="360" w:lineRule="auto" w:after="120"/>
        <w:jc w:val="both"/>
      </w:pPr>
      <w:r>
        <w:rPr>
          <w:rFonts w:ascii="Times New Roman" w:hAnsi="Times New Roman"/>
          <w:b/>
          <w:color w:val="111827"/>
          <w:sz w:val="24"/>
        </w:rPr>
        <w:t xml:space="preserve">Hypothesis 2 (Adversarial Peer Review): </w:t>
      </w:r>
      <w:r>
        <w:rPr>
          <w:rFonts w:ascii="Times New Roman" w:hAnsi="Times New Roman"/>
          <w:color w:val="111827"/>
          <w:sz w:val="24"/>
        </w:rPr>
        <w:t>Hypothesis 2: Introducing an Adversarial Council Roundtable Protocol—where specialists actively challenge and cross-examine proposals from statistical, pipeline, modeling, and governance perspectives—identifies and eliminates 100% of data leakage vectors before model training.</w:t>
      </w:r>
    </w:p>
    <w:p>
      <w:pPr>
        <w:spacing w:line="360" w:lineRule="auto" w:after="120"/>
        <w:jc w:val="both"/>
      </w:pPr>
      <w:r>
        <w:rPr>
          <w:rFonts w:ascii="Times New Roman" w:hAnsi="Times New Roman"/>
          <w:b/>
          <w:color w:val="111827"/>
          <w:sz w:val="24"/>
        </w:rPr>
        <w:t xml:space="preserve">Hypothesis 3 (Concierge Orchestration): </w:t>
      </w:r>
      <w:r>
        <w:rPr>
          <w:rFonts w:ascii="Times New Roman" w:hAnsi="Times New Roman"/>
          <w:color w:val="111827"/>
          <w:sz w:val="24"/>
        </w:rPr>
        <w:t>Hypothesis 3: Mediating specialist complexity through a unified executive major-domo concierge ('Alfred') allows non-technical stakeholders to orchestrate enterprise ML lifecycles using casual natural language while guaranteeing publication-grade Word deliverables.</w:t>
      </w:r>
    </w:p>
    <w:p>
      <w:pPr>
        <w:keepNext/>
        <w:spacing w:before="280" w:after="120"/>
        <w:jc w:val="left"/>
      </w:pPr>
      <w:r>
        <w:rPr>
          <w:rFonts w:ascii="Times New Roman" w:hAnsi="Times New Roman"/>
          <w:b/>
          <w:color w:val="1F2937"/>
          <w:sz w:val="26"/>
        </w:rPr>
        <w:t>1.4 Research Objectives</w:t>
      </w:r>
    </w:p>
    <w:p>
      <w:pPr>
        <w:spacing w:line="360" w:lineRule="auto" w:after="120"/>
        <w:jc w:val="both"/>
      </w:pPr>
      <w:r>
        <w:rPr>
          <w:rFonts w:ascii="Times New Roman" w:hAnsi="Times New Roman"/>
          <w:color w:val="111827"/>
          <w:sz w:val="24"/>
        </w:rPr>
        <w:t>To validate these hypotheses, this dissertation accomplishes the following research objectives:</w:t>
      </w:r>
    </w:p>
    <w:p>
      <w:pPr>
        <w:pStyle w:val="ListBullet"/>
        <w:spacing w:line="312" w:lineRule="auto" w:after="80"/>
        <w:jc w:val="both"/>
      </w:pPr>
      <w:r>
        <w:rPr>
          <w:rFonts w:ascii="Times New Roman" w:hAnsi="Times New Roman"/>
          <w:sz w:val="24"/>
        </w:rPr>
        <w:t>Design and formalize the ARIA architectural spine, establishing eight specialized agent personas with dedicated behavioral signatures and philosophical mentor groundings.</w:t>
      </w:r>
    </w:p>
    <w:p>
      <w:pPr>
        <w:pStyle w:val="ListBullet"/>
        <w:spacing w:line="312" w:lineRule="auto" w:after="80"/>
        <w:jc w:val="both"/>
      </w:pPr>
      <w:r>
        <w:rPr>
          <w:rFonts w:ascii="Times New Roman" w:hAnsi="Times New Roman"/>
          <w:sz w:val="24"/>
        </w:rPr>
        <w:t>Develop the ARIA Council Protocol—a structured, multi-agent adversarial peer-review mechanism that gates analytical proposals through competitive debate prior to execution.</w:t>
      </w:r>
    </w:p>
    <w:p>
      <w:pPr>
        <w:pStyle w:val="ListBullet"/>
        <w:spacing w:line="312" w:lineRule="auto" w:after="80"/>
        <w:jc w:val="both"/>
      </w:pPr>
      <w:r>
        <w:rPr>
          <w:rFonts w:ascii="Times New Roman" w:hAnsi="Times New Roman"/>
          <w:sz w:val="24"/>
        </w:rPr>
        <w:t>Engineer strict architectural invariants, including a zero-leakage cross-validation isolation harness, deterministic joblib pipeline serialization, and a zero raw LaTeX formatting standard.</w:t>
      </w:r>
    </w:p>
    <w:p>
      <w:pPr>
        <w:pStyle w:val="ListBullet"/>
        <w:spacing w:line="312" w:lineRule="auto" w:after="80"/>
        <w:jc w:val="both"/>
      </w:pPr>
      <w:r>
        <w:rPr>
          <w:rFonts w:ascii="Times New Roman" w:hAnsi="Times New Roman"/>
          <w:sz w:val="24"/>
        </w:rPr>
        <w:t>Implement Alfred, an executive concierge orchestrator that manages conversational flow, user preferences, dynamic routing, and human confirmation gates.</w:t>
      </w:r>
    </w:p>
    <w:p>
      <w:pPr>
        <w:pStyle w:val="ListBullet"/>
        <w:spacing w:line="312" w:lineRule="auto" w:after="80"/>
        <w:jc w:val="both"/>
      </w:pPr>
      <w:r>
        <w:rPr>
          <w:rFonts w:ascii="Times New Roman" w:hAnsi="Times New Roman"/>
          <w:sz w:val="24"/>
        </w:rPr>
        <w:t>Conduct rigorous empirical benchmarks and ablation studies across canonical datasets (Titanic, Telco Churn, Credit Risk) to evaluate predictive performance, data leakage immunity, and computational efficiency.</w:t>
      </w:r>
    </w:p>
    <w:p>
      <w:pPr>
        <w:keepNext/>
        <w:spacing w:before="280" w:after="120"/>
        <w:jc w:val="left"/>
      </w:pPr>
      <w:r>
        <w:rPr>
          <w:rFonts w:ascii="Times New Roman" w:hAnsi="Times New Roman"/>
          <w:b/>
          <w:color w:val="1F2937"/>
          <w:sz w:val="26"/>
        </w:rPr>
        <w:t>1.5 Dissertation Organization</w:t>
      </w:r>
    </w:p>
    <w:p>
      <w:pPr>
        <w:spacing w:line="360" w:lineRule="auto" w:after="120"/>
        <w:jc w:val="both"/>
      </w:pPr>
      <w:r>
        <w:rPr>
          <w:rFonts w:ascii="Times New Roman" w:hAnsi="Times New Roman"/>
          <w:color w:val="111827"/>
          <w:sz w:val="24"/>
        </w:rPr>
        <w:t>The remainder of this dissertation is organized as follows: Chapter 2 details the System Architecture and Multi-Agent Design of ARIA, detailing the eight specialist personas, the Alfred concierge engine, and the Council Protocol. Chapter 3 presents the Implementation Methodology, Software Stack, Experimental Benchmark Setup, and Comprehensive Ablation Results. Finally, Chapter 4 summarizes our scientific contributions, outlines enterprise MLOps implications, addresses current limitations, and charts future research trajectories.</w:t>
      </w:r>
    </w:p>
    <w:p>
      <w:r>
        <w:br w:type="page"/>
      </w:r>
    </w:p>
    <w:p>
      <w:pPr>
        <w:keepNext/>
        <w:spacing w:before="360" w:after="160"/>
        <w:jc w:val="left"/>
      </w:pPr>
      <w:r>
        <w:rPr>
          <w:rFonts w:ascii="Times New Roman" w:hAnsi="Times New Roman"/>
          <w:b/>
          <w:color w:val="1E3A8A"/>
          <w:sz w:val="30"/>
        </w:rPr>
        <w:t>CHAPTER 2: SYSTEM ARCHITECTURE &amp; MULTI-AGENT DESIGN</w:t>
      </w:r>
    </w:p>
    <w:p>
      <w:pPr>
        <w:keepNext/>
        <w:spacing w:before="280" w:after="120"/>
        <w:jc w:val="left"/>
      </w:pPr>
      <w:r>
        <w:rPr>
          <w:rFonts w:ascii="Times New Roman" w:hAnsi="Times New Roman"/>
          <w:b/>
          <w:color w:val="1F2937"/>
          <w:sz w:val="26"/>
        </w:rPr>
        <w:t>2.1 Architectural Spine &amp; Core Philosophical Invariants</w:t>
      </w:r>
    </w:p>
    <w:p>
      <w:pPr>
        <w:spacing w:line="360" w:lineRule="auto" w:after="120"/>
        <w:jc w:val="both"/>
      </w:pPr>
      <w:r>
        <w:rPr>
          <w:rFonts w:ascii="Times New Roman" w:hAnsi="Times New Roman"/>
          <w:color w:val="111827"/>
          <w:sz w:val="24"/>
        </w:rPr>
        <w:t>The architecture of ARIA is constructed upon a foundational principle: autonomous data science cannot succeed as an unconstrained monolithic generation task. Instead, it must operate as a disciplined spine of invariant-preserving, stage-gated transformations. In classical software engineering, pipelines enforce strong typing and hermetic builds; in ARIA, we formalize the Data Science Lifecycle through an artifact-driven state machine where each transition between analytical stages is mediated by explicit Parquet contracts, serializable pipeline definitions, and self-verifying test assertions.</w:t>
      </w:r>
    </w:p>
    <w:p>
      <w:pPr>
        <w:spacing w:line="360" w:lineRule="auto" w:after="120"/>
        <w:jc w:val="both"/>
      </w:pPr>
      <w:r>
        <w:rPr>
          <w:rFonts w:ascii="Times New Roman" w:hAnsi="Times New Roman"/>
          <w:color w:val="111827"/>
          <w:sz w:val="24"/>
        </w:rPr>
        <w:t>Figure 2.1 illustrates the architectural topology of ARIA. The framework segregates cognitive responsibilities into three distinct layers: (1) The Concierge &amp; Orchestration Layer, (2) The Specialist Execution Layer, and (3) The Adversarial Governance &amp; Council Layer.</w:t>
      </w:r>
    </w:p>
    <w:tbl>
      <w:tblPr>
        <w:tblW w:type="auto" w:w="0"/>
        <w:jc w:val="center"/>
        <w:tblLayout w:type="fixed"/>
        <w:tblLook w:firstColumn="1" w:firstRow="1" w:lastColumn="0" w:lastRow="0" w:noHBand="0" w:noVBand="1" w:val="04A0"/>
      </w:tblPr>
      <w:tblGrid>
        <w:gridCol w:w="3010"/>
        <w:gridCol w:w="3010"/>
        <w:gridCol w:w="3010"/>
      </w:tblGrid>
      <w:tr>
        <w:tc>
          <w:tcPr>
            <w:tcW w:type="dxa" w:w="2160"/>
            <w:shd w:fill="1E3A8A"/>
            <w:tcMar>
              <w:top w:w="120" w:type="dxa"/>
              <w:bottom w:w="120" w:type="dxa"/>
              <w:left w:w="140" w:type="dxa"/>
              <w:right w:w="140" w:type="dxa"/>
            </w:tcMar>
            <w:tcBorders>
              <w:top w:val="single" w:sz="6" w:space="0" w:color="1E3A8A"/>
              <w:left w:val="single" w:sz="4" w:space="0" w:color="CBD5E1"/>
              <w:bottom w:val="single" w:sz="12" w:space="0" w:color="0F172A"/>
              <w:right w:val="single" w:sz="4" w:space="0" w:color="CBD5E1"/>
            </w:tcBorders>
          </w:tcPr>
          <w:p>
            <w:pPr>
              <w:spacing w:after="0"/>
              <w:jc w:val="center"/>
            </w:pPr>
            <w:r>
              <w:rPr>
                <w:rFonts w:ascii="Times New Roman" w:hAnsi="Times New Roman"/>
                <w:b/>
                <w:color w:val="FFFFFF"/>
                <w:sz w:val="21"/>
              </w:rPr>
              <w:t>Architectural Layer</w:t>
            </w:r>
          </w:p>
        </w:tc>
        <w:tc>
          <w:tcPr>
            <w:tcW w:type="dxa" w:w="3168"/>
            <w:shd w:fill="1E3A8A"/>
            <w:tcMar>
              <w:top w:w="120" w:type="dxa"/>
              <w:bottom w:w="120" w:type="dxa"/>
              <w:left w:w="140" w:type="dxa"/>
              <w:right w:w="140" w:type="dxa"/>
            </w:tcMar>
            <w:tcBorders>
              <w:top w:val="single" w:sz="6" w:space="0" w:color="1E3A8A"/>
              <w:left w:val="single" w:sz="4" w:space="0" w:color="CBD5E1"/>
              <w:bottom w:val="single" w:sz="12" w:space="0" w:color="0F172A"/>
              <w:right w:val="single" w:sz="4" w:space="0" w:color="CBD5E1"/>
            </w:tcBorders>
          </w:tcPr>
          <w:p>
            <w:pPr>
              <w:spacing w:after="0"/>
              <w:jc w:val="center"/>
            </w:pPr>
            <w:r>
              <w:rPr>
                <w:rFonts w:ascii="Times New Roman" w:hAnsi="Times New Roman"/>
                <w:b/>
                <w:color w:val="FFFFFF"/>
                <w:sz w:val="21"/>
              </w:rPr>
              <w:t>Assigned Specialist</w:t>
            </w:r>
          </w:p>
        </w:tc>
        <w:tc>
          <w:tcPr>
            <w:tcW w:type="dxa" w:w="3701"/>
            <w:shd w:fill="1E3A8A"/>
            <w:tcMar>
              <w:top w:w="120" w:type="dxa"/>
              <w:bottom w:w="120" w:type="dxa"/>
              <w:left w:w="140" w:type="dxa"/>
              <w:right w:w="140" w:type="dxa"/>
            </w:tcMar>
            <w:tcBorders>
              <w:top w:val="single" w:sz="6" w:space="0" w:color="1E3A8A"/>
              <w:left w:val="single" w:sz="4" w:space="0" w:color="CBD5E1"/>
              <w:bottom w:val="single" w:sz="12" w:space="0" w:color="0F172A"/>
              <w:right w:val="single" w:sz="4" w:space="0" w:color="CBD5E1"/>
            </w:tcBorders>
          </w:tcPr>
          <w:p>
            <w:pPr>
              <w:spacing w:after="0"/>
              <w:jc w:val="center"/>
            </w:pPr>
            <w:r>
              <w:rPr>
                <w:rFonts w:ascii="Times New Roman" w:hAnsi="Times New Roman"/>
                <w:b/>
                <w:color w:val="FFFFFF"/>
                <w:sz w:val="21"/>
              </w:rPr>
              <w:t>Core Functional Invariant</w:t>
            </w:r>
          </w:p>
        </w:tc>
      </w:tr>
      <w:tr>
        <w:tc>
          <w:tcPr>
            <w:tcW w:type="dxa" w:w="2160"/>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left"/>
            </w:pPr>
            <w:r>
              <w:rPr>
                <w:rFonts w:ascii="Times New Roman" w:hAnsi="Times New Roman"/>
                <w:color w:val="1F2937"/>
                <w:sz w:val="20"/>
              </w:rPr>
              <w:t>Concierge Layer</w:t>
            </w:r>
          </w:p>
        </w:tc>
        <w:tc>
          <w:tcPr>
            <w:tcW w:type="dxa" w:w="3168"/>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Alfred (Executive Concierge &amp; Major-Domo)</w:t>
            </w:r>
          </w:p>
        </w:tc>
        <w:tc>
          <w:tcPr>
            <w:tcW w:type="dxa" w:w="3701"/>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Conversational interface, casual intent parsing, human confirmation gates.</w:t>
            </w:r>
          </w:p>
        </w:tc>
      </w:tr>
      <w:tr>
        <w:tc>
          <w:tcPr>
            <w:tcW w:type="dxa" w:w="2160"/>
            <w:shd w:fill="F8FAFC"/>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left"/>
            </w:pPr>
            <w:r>
              <w:rPr>
                <w:rFonts w:ascii="Times New Roman" w:hAnsi="Times New Roman"/>
                <w:color w:val="1F2937"/>
                <w:sz w:val="20"/>
              </w:rPr>
              <w:t>Ingestion Layer</w:t>
            </w:r>
          </w:p>
        </w:tc>
        <w:tc>
          <w:tcPr>
            <w:tcW w:type="dxa" w:w="3168"/>
            <w:shd w:fill="F8FAFC"/>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Arthur (Source Discovery) + Silas (SQL / DuckDB)</w:t>
            </w:r>
          </w:p>
        </w:tc>
        <w:tc>
          <w:tcPr>
            <w:tcW w:type="dxa" w:w="3701"/>
            <w:shd w:fill="F8FAFC"/>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Catalog navigation, ER schema mapping, sargable CTE query execution.</w:t>
            </w:r>
          </w:p>
        </w:tc>
      </w:tr>
      <w:tr>
        <w:tc>
          <w:tcPr>
            <w:tcW w:type="dxa" w:w="2160"/>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left"/>
            </w:pPr>
            <w:r>
              <w:rPr>
                <w:rFonts w:ascii="Times New Roman" w:hAnsi="Times New Roman"/>
                <w:color w:val="1F2937"/>
                <w:sz w:val="20"/>
              </w:rPr>
              <w:t>Exploration Layer</w:t>
            </w:r>
          </w:p>
        </w:tc>
        <w:tc>
          <w:tcPr>
            <w:tcW w:type="dxa" w:w="3168"/>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Maya (EDA &amp; Distributions)</w:t>
            </w:r>
          </w:p>
        </w:tc>
        <w:tc>
          <w:tcPr>
            <w:tcW w:type="dxa" w:w="3701"/>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Tukey statistical moments, VIF collinearity, MCAR missingness tests, UMAP.</w:t>
            </w:r>
          </w:p>
        </w:tc>
      </w:tr>
      <w:tr>
        <w:tc>
          <w:tcPr>
            <w:tcW w:type="dxa" w:w="2160"/>
            <w:shd w:fill="F8FAFC"/>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left"/>
            </w:pPr>
            <w:r>
              <w:rPr>
                <w:rFonts w:ascii="Times New Roman" w:hAnsi="Times New Roman"/>
                <w:color w:val="1F2937"/>
                <w:sz w:val="20"/>
              </w:rPr>
              <w:t>Hygiene Layer</w:t>
            </w:r>
          </w:p>
        </w:tc>
        <w:tc>
          <w:tcPr>
            <w:tcW w:type="dxa" w:w="3168"/>
            <w:shd w:fill="F8FAFC"/>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Leo (Leak-Free Preprocessing)</w:t>
            </w:r>
          </w:p>
        </w:tc>
        <w:tc>
          <w:tcPr>
            <w:tcW w:type="dxa" w:w="3701"/>
            <w:shd w:fill="F8FAFC"/>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Deming quality principles, train/test split isolation, ColumnTransformer serialization.</w:t>
            </w:r>
          </w:p>
        </w:tc>
      </w:tr>
      <w:tr>
        <w:tc>
          <w:tcPr>
            <w:tcW w:type="dxa" w:w="2160"/>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left"/>
            </w:pPr>
            <w:r>
              <w:rPr>
                <w:rFonts w:ascii="Times New Roman" w:hAnsi="Times New Roman"/>
                <w:color w:val="1F2937"/>
                <w:sz w:val="20"/>
              </w:rPr>
              <w:t>Signal Layer</w:t>
            </w:r>
          </w:p>
        </w:tc>
        <w:tc>
          <w:tcPr>
            <w:tcW w:type="dxa" w:w="3168"/>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Priya (Feature Engineering)</w:t>
            </w:r>
          </w:p>
        </w:tc>
        <w:tc>
          <w:tcPr>
            <w:tcW w:type="dxa" w:w="3701"/>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Kaggle Grandmaster tactics, cyclical encoding, Out-of-Fold target aggregations.</w:t>
            </w:r>
          </w:p>
        </w:tc>
      </w:tr>
      <w:tr>
        <w:tc>
          <w:tcPr>
            <w:tcW w:type="dxa" w:w="2160"/>
            <w:shd w:fill="F8FAFC"/>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left"/>
            </w:pPr>
            <w:r>
              <w:rPr>
                <w:rFonts w:ascii="Times New Roman" w:hAnsi="Times New Roman"/>
                <w:color w:val="1F2937"/>
                <w:sz w:val="20"/>
              </w:rPr>
              <w:t>Tournament Layer</w:t>
            </w:r>
          </w:p>
        </w:tc>
        <w:tc>
          <w:tcPr>
            <w:tcW w:type="dxa" w:w="3168"/>
            <w:shd w:fill="F8FAFC"/>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Julian (Modeling &amp; Optuna)</w:t>
            </w:r>
          </w:p>
        </w:tc>
        <w:tc>
          <w:tcPr>
            <w:tcW w:type="dxa" w:w="3701"/>
            <w:shd w:fill="F8FAFC"/>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Breiman bagging &amp; gradient boosting tournament, TPE Bayesian hyperparameter tuning.</w:t>
            </w:r>
          </w:p>
        </w:tc>
      </w:tr>
      <w:tr>
        <w:tc>
          <w:tcPr>
            <w:tcW w:type="dxa" w:w="2160"/>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left"/>
            </w:pPr>
            <w:r>
              <w:rPr>
                <w:rFonts w:ascii="Times New Roman" w:hAnsi="Times New Roman"/>
                <w:color w:val="1F2937"/>
                <w:sz w:val="20"/>
              </w:rPr>
              <w:t>Auditing Layer</w:t>
            </w:r>
          </w:p>
        </w:tc>
        <w:tc>
          <w:tcPr>
            <w:tcW w:type="dxa" w:w="3168"/>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Elena (Model Evaluation &amp; Governance)</w:t>
            </w:r>
          </w:p>
        </w:tc>
        <w:tc>
          <w:tcPr>
            <w:tcW w:type="dxa" w:w="3701"/>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Rudin white-box scrutiny, SHAP beeswarm attributions, cohort error slicing.</w:t>
            </w:r>
          </w:p>
        </w:tc>
      </w:tr>
      <w:tr>
        <w:tc>
          <w:tcPr>
            <w:tcW w:type="dxa" w:w="2160"/>
            <w:shd w:fill="F8FAFC"/>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left"/>
            </w:pPr>
            <w:r>
              <w:rPr>
                <w:rFonts w:ascii="Times New Roman" w:hAnsi="Times New Roman"/>
                <w:color w:val="1F2937"/>
                <w:sz w:val="20"/>
              </w:rPr>
              <w:t>Storytelling Layer</w:t>
            </w:r>
          </w:p>
        </w:tc>
        <w:tc>
          <w:tcPr>
            <w:tcW w:type="dxa" w:w="3168"/>
            <w:shd w:fill="F8FAFC"/>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Marcus (Executive Storytelling)</w:t>
            </w:r>
          </w:p>
        </w:tc>
        <w:tc>
          <w:tcPr>
            <w:tcW w:type="dxa" w:w="3701"/>
            <w:shd w:fill="F8FAFC"/>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Tufte data-to-ink ratio, Anthropic DOCX compilation, slide deck authoring.</w:t>
            </w:r>
          </w:p>
        </w:tc>
      </w:tr>
      <w:tr>
        <w:tc>
          <w:tcPr>
            <w:tcW w:type="dxa" w:w="2160"/>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left"/>
            </w:pPr>
            <w:r>
              <w:rPr>
                <w:rFonts w:ascii="Times New Roman" w:hAnsi="Times New Roman"/>
                <w:color w:val="1F2937"/>
                <w:sz w:val="20"/>
              </w:rPr>
              <w:t>Council Layer</w:t>
            </w:r>
          </w:p>
        </w:tc>
        <w:tc>
          <w:tcPr>
            <w:tcW w:type="dxa" w:w="3168"/>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The ARIA Council (Adversarial Roundtable)</w:t>
            </w:r>
          </w:p>
        </w:tc>
        <w:tc>
          <w:tcPr>
            <w:tcW w:type="dxa" w:w="3701"/>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Multi-agent cross-examination of complex, high-stakes hypotheses.</w:t>
            </w:r>
          </w:p>
        </w:tc>
      </w:tr>
    </w:tbl>
    <w:p>
      <w:pPr>
        <w:spacing w:after="120"/>
      </w:pPr>
    </w:p>
    <w:p>
      <w:pPr>
        <w:keepNext/>
        <w:spacing w:before="280" w:after="120"/>
        <w:jc w:val="left"/>
      </w:pPr>
      <w:r>
        <w:rPr>
          <w:rFonts w:ascii="Times New Roman" w:hAnsi="Times New Roman"/>
          <w:b/>
          <w:color w:val="1F2937"/>
          <w:sz w:val="26"/>
        </w:rPr>
        <w:t>2.2 The Executive Liaison: Alfred the Major-Domo Orchestrator</w:t>
      </w:r>
    </w:p>
    <w:p>
      <w:pPr>
        <w:spacing w:line="360" w:lineRule="auto" w:after="120"/>
        <w:jc w:val="both"/>
      </w:pPr>
      <w:r>
        <w:rPr>
          <w:rFonts w:ascii="Times New Roman" w:hAnsi="Times New Roman"/>
          <w:color w:val="111827"/>
          <w:sz w:val="24"/>
        </w:rPr>
        <w:t>One of the primary friction points of modern AI tools is the user experience burden. Non-technical executives, product managers, and senior researchers often struggle with brittle prompt engineering, complex syntax flags, or navigating fragmented file trees. To solve this, ARIA introduces Alfred, an executive concierge and major-domo inspired by the quintessential British butler (Alfred Pennyworth) combined with the proactive computational intelligence of JARVIS.</w:t>
      </w:r>
    </w:p>
    <w:p>
      <w:pPr>
        <w:spacing w:line="360" w:lineRule="auto" w:after="120"/>
        <w:jc w:val="both"/>
      </w:pPr>
      <w:r>
        <w:rPr>
          <w:rFonts w:ascii="Times New Roman" w:hAnsi="Times New Roman"/>
          <w:color w:val="111827"/>
          <w:sz w:val="24"/>
        </w:rPr>
        <w:t>Alfred serves as the sole direct interlocutor between the human user and the underlying specialist agents. Operating with polished courtesy, warmth, and quiet dignity, Alfred performs three vital orchestration functions:</w:t>
      </w:r>
    </w:p>
    <w:p>
      <w:pPr>
        <w:pStyle w:val="ListBullet"/>
        <w:spacing w:line="312" w:lineRule="auto" w:after="80"/>
        <w:jc w:val="both"/>
      </w:pPr>
      <w:r>
        <w:rPr>
          <w:rFonts w:ascii="Times New Roman" w:hAnsi="Times New Roman"/>
          <w:b/>
          <w:sz w:val="24"/>
        </w:rPr>
        <w:t xml:space="preserve">1. Effortless Delegation: </w:t>
      </w:r>
      <w:r>
        <w:rPr>
          <w:rFonts w:ascii="Times New Roman" w:hAnsi="Times New Roman"/>
          <w:sz w:val="24"/>
        </w:rPr>
        <w:t>Effortless Delegation &amp; Intent Parsing: The user communicates in natural, casual language ('Alfred, check the users in that database and see who is burning out'). Alfred interprets the latent data science task, decomposes the analytical objectives, and commissions Silas and Maya behind the scenes without requiring the user to specify table joins or statistical methods.</w:t>
      </w:r>
    </w:p>
    <w:p>
      <w:pPr>
        <w:pStyle w:val="ListBullet"/>
        <w:spacing w:line="312" w:lineRule="auto" w:after="80"/>
        <w:jc w:val="both"/>
      </w:pPr>
      <w:r>
        <w:rPr>
          <w:rFonts w:ascii="Times New Roman" w:hAnsi="Times New Roman"/>
          <w:b/>
          <w:sz w:val="24"/>
        </w:rPr>
        <w:t xml:space="preserve">2. Attentive Companionship: </w:t>
      </w:r>
      <w:r>
        <w:rPr>
          <w:rFonts w:ascii="Times New Roman" w:hAnsi="Times New Roman"/>
          <w:sz w:val="24"/>
        </w:rPr>
        <w:t>Contextual Companionship &amp; Cognitive Relief: Alfred monitors the cadence of analytical work, provides reassuring updates, manages personal preferences, and gracefully handles unexpected data exceptions without exposing raw stack traces to the user.</w:t>
      </w:r>
    </w:p>
    <w:p>
      <w:pPr>
        <w:pStyle w:val="ListBullet"/>
        <w:spacing w:line="312" w:lineRule="auto" w:after="80"/>
        <w:jc w:val="both"/>
      </w:pPr>
      <w:r>
        <w:rPr>
          <w:rFonts w:ascii="Times New Roman" w:hAnsi="Times New Roman"/>
          <w:b/>
          <w:sz w:val="24"/>
        </w:rPr>
        <w:t xml:space="preserve">3. Human-in-the-Loop Gate: </w:t>
      </w:r>
      <w:r>
        <w:rPr>
          <w:rFonts w:ascii="Times New Roman" w:hAnsi="Times New Roman"/>
          <w:sz w:val="24"/>
        </w:rPr>
        <w:t>The Mandatory Human Confirmation Gate: In accordance with high-stakes enterprise governance, Alfred enforces an inviolable rule: no final client Word (.docx) deliverable is ever published without presenting an executive summary preview and soliciting explicit user sign-off.</w:t>
      </w:r>
    </w:p>
    <w:p>
      <w:pPr>
        <w:keepNext/>
        <w:spacing w:before="280" w:after="120"/>
        <w:jc w:val="left"/>
      </w:pPr>
      <w:r>
        <w:rPr>
          <w:rFonts w:ascii="Times New Roman" w:hAnsi="Times New Roman"/>
          <w:b/>
          <w:color w:val="1F2937"/>
          <w:sz w:val="26"/>
        </w:rPr>
        <w:t>2.3 The Roster of Specialized Domain Agents</w:t>
      </w:r>
    </w:p>
    <w:p>
      <w:pPr>
        <w:spacing w:line="360" w:lineRule="auto" w:after="120"/>
        <w:jc w:val="both"/>
      </w:pPr>
      <w:r>
        <w:rPr>
          <w:rFonts w:ascii="Times New Roman" w:hAnsi="Times New Roman"/>
          <w:color w:val="111827"/>
          <w:sz w:val="24"/>
        </w:rPr>
        <w:t>To avoid the cognitive blurring that plagues generalist LLMs, ARIA establishes eight dedicated specialist agents. Each agent is equipped with a distinct behavioral signature, a curated prompt kernel, and foundational grounding in the published philosophy of a legendary pioneer:</w:t>
      </w:r>
    </w:p>
    <w:p>
      <w:pPr>
        <w:keepNext/>
        <w:spacing w:before="200" w:after="80"/>
        <w:jc w:val="left"/>
      </w:pPr>
      <w:r>
        <w:rPr>
          <w:rFonts w:ascii="Times New Roman" w:hAnsi="Times New Roman"/>
          <w:b/>
          <w:i/>
          <w:color w:val="374151"/>
          <w:sz w:val="24"/>
        </w:rPr>
        <w:t>2.3.1 Arthur (Ralph Kimball): Data Source Discovery &amp; Catalog Navigation</w:t>
      </w:r>
    </w:p>
    <w:p>
      <w:pPr>
        <w:spacing w:line="360" w:lineRule="auto" w:after="120"/>
        <w:jc w:val="both"/>
      </w:pPr>
      <w:r>
        <w:rPr>
          <w:rFonts w:ascii="Times New Roman" w:hAnsi="Times New Roman"/>
          <w:color w:val="111827"/>
          <w:sz w:val="24"/>
        </w:rPr>
        <w:t>Inspired by Ralph Kimball, the pioneer of dimensional modeling, Arthur navigates enterprise data catalogs, parses entity-relationship (ER) schemas, identifies fact and dimension tables, and pinpoints candidate sources for any business inquiry. Arthur produces 'data/source_discovery_manifest.md', outlining primary keys, foreign key joins, and grain definitions.</w:t>
      </w:r>
    </w:p>
    <w:p>
      <w:pPr>
        <w:keepNext/>
        <w:spacing w:before="200" w:after="80"/>
        <w:jc w:val="left"/>
      </w:pPr>
      <w:r>
        <w:rPr>
          <w:rFonts w:ascii="Times New Roman" w:hAnsi="Times New Roman"/>
          <w:b/>
          <w:i/>
          <w:color w:val="374151"/>
          <w:sz w:val="24"/>
        </w:rPr>
        <w:t>2.3.2 Silas (Joe Celko): SQL Architecture &amp; High-Performance Extraction</w:t>
      </w:r>
    </w:p>
    <w:p>
      <w:pPr>
        <w:spacing w:line="360" w:lineRule="auto" w:after="120"/>
        <w:jc w:val="both"/>
      </w:pPr>
      <w:r>
        <w:rPr>
          <w:rFonts w:ascii="Times New Roman" w:hAnsi="Times New Roman"/>
          <w:color w:val="111827"/>
          <w:sz w:val="24"/>
        </w:rPr>
        <w:t>Inspired by Joe Celko, author of 'SQL for Smarties', Silas writes optimized, production-grade SQL utilizing Common Table Expressions (CTEs), window functions, and sargable filters. Silas executes queries against DuckDB, PostgreSQL, or Snowflake, enforcing zero 'SELECT *' policies and safe division (NULLIF) to export clean Parquet extracts to 'data/raw/'.</w:t>
      </w:r>
    </w:p>
    <w:p>
      <w:pPr>
        <w:keepNext/>
        <w:spacing w:before="200" w:after="80"/>
        <w:jc w:val="left"/>
      </w:pPr>
      <w:r>
        <w:rPr>
          <w:rFonts w:ascii="Times New Roman" w:hAnsi="Times New Roman"/>
          <w:b/>
          <w:i/>
          <w:color w:val="374151"/>
          <w:sz w:val="24"/>
        </w:rPr>
        <w:t>2.3.3 Maya (John Tukey): Exploratory Data Analysis &amp; Distribution Profiling</w:t>
      </w:r>
    </w:p>
    <w:p>
      <w:pPr>
        <w:spacing w:line="360" w:lineRule="auto" w:after="120"/>
        <w:jc w:val="both"/>
      </w:pPr>
      <w:r>
        <w:rPr>
          <w:rFonts w:ascii="Times New Roman" w:hAnsi="Times New Roman"/>
          <w:color w:val="111827"/>
          <w:sz w:val="24"/>
        </w:rPr>
        <w:t>Inspired by John Tukey, the father of Exploratory Data Analysis, and Florence Nightingale, Maya champions distribution honesty. She computes higher-order moments (skewness, kurtosis), diagnoses multicollinearity via Variance Inflation Factors (VIF), conducts Little's MCAR tests on missingness, and executes UMAP high-dimensional manifold projections. She hands off 'data/data_understanding_report.md' and publication-grade EDA visualizations.</w:t>
      </w:r>
    </w:p>
    <w:p>
      <w:pPr>
        <w:keepNext/>
        <w:spacing w:before="200" w:after="80"/>
        <w:jc w:val="left"/>
      </w:pPr>
      <w:r>
        <w:rPr>
          <w:rFonts w:ascii="Times New Roman" w:hAnsi="Times New Roman"/>
          <w:b/>
          <w:i/>
          <w:color w:val="374151"/>
          <w:sz w:val="24"/>
        </w:rPr>
        <w:t>2.3.4 Leo (W. Edwards Deming): Data Cleaning &amp; Leak-Free Preprocessing</w:t>
      </w:r>
    </w:p>
    <w:p>
      <w:pPr>
        <w:spacing w:line="360" w:lineRule="auto" w:after="120"/>
        <w:jc w:val="both"/>
      </w:pPr>
      <w:r>
        <w:rPr>
          <w:rFonts w:ascii="Times New Roman" w:hAnsi="Times New Roman"/>
          <w:color w:val="111827"/>
          <w:sz w:val="24"/>
        </w:rPr>
        <w:t>Inspired by W. Edwards Deming and total quality management, Leo treats data preprocessing as a zero-defect manufacturing process. His golden rule is strict partition isolation: preprocessors (StandardScaler, IterativeImputer, TargetEncoder) fit strictly on training data and transform test data. Leo serializes the end-to-end ColumnTransformer pipeline to 'models/preprocessor.joblib' and exports cleaned Parquet matrices.</w:t>
      </w:r>
    </w:p>
    <w:p>
      <w:pPr>
        <w:keepNext/>
        <w:spacing w:before="200" w:after="80"/>
        <w:jc w:val="left"/>
      </w:pPr>
      <w:r>
        <w:rPr>
          <w:rFonts w:ascii="Times New Roman" w:hAnsi="Times New Roman"/>
          <w:b/>
          <w:i/>
          <w:color w:val="374151"/>
          <w:sz w:val="24"/>
        </w:rPr>
        <w:t>2.3.5 Priya (Kaggle Grandmaster): Feature Engineering Architect</w:t>
      </w:r>
    </w:p>
    <w:p>
      <w:pPr>
        <w:spacing w:line="360" w:lineRule="auto" w:after="120"/>
        <w:jc w:val="both"/>
      </w:pPr>
      <w:r>
        <w:rPr>
          <w:rFonts w:ascii="Times New Roman" w:hAnsi="Times New Roman"/>
          <w:color w:val="111827"/>
          <w:sz w:val="24"/>
        </w:rPr>
        <w:t>Inspired by top-ranked Kaggle Grandmasters, Priya extracts non-linear domain signals that algorithms cannot learn on their own. She constructs continuous trigonometric cyclical time encodings (sin/cos), computes Out-of-Fold (OOF) target aggregations without lookahead bias, and executes a 4-stage feature selection cascade (Variance -&gt; Collinearity -&gt; Mutual Information -&gt; RFECV), saving feature matrices to 'data/features/'.</w:t>
      </w:r>
    </w:p>
    <w:p>
      <w:pPr>
        <w:keepNext/>
        <w:spacing w:before="200" w:after="80"/>
        <w:jc w:val="left"/>
      </w:pPr>
      <w:r>
        <w:rPr>
          <w:rFonts w:ascii="Times New Roman" w:hAnsi="Times New Roman"/>
          <w:b/>
          <w:i/>
          <w:color w:val="374151"/>
          <w:sz w:val="24"/>
        </w:rPr>
        <w:t>2.3.6 Julian (Leo Breiman &amp; Tianqi Chen): Machine Learning Tournament &amp; Optuna Tuning</w:t>
      </w:r>
    </w:p>
    <w:p>
      <w:pPr>
        <w:spacing w:line="360" w:lineRule="auto" w:after="120"/>
        <w:jc w:val="both"/>
      </w:pPr>
      <w:r>
        <w:rPr>
          <w:rFonts w:ascii="Times New Roman" w:hAnsi="Times New Roman"/>
          <w:color w:val="111827"/>
          <w:sz w:val="24"/>
        </w:rPr>
        <w:t>Inspired by Leo Breiman (Random Forests) and Tianqi Chen (XGBoost), Julian believes in empirical tournaments over algorithmic dogma. He benchmarks candidate algorithms (Linear, Random Forest, HistGradientBoosting, LightGBM, XGBoost, CatBoost) under identical stratified cross-validation, optimizes hyperparameters using Optuna's Tree-Structured Parzen Estimator (TPE), and enforces strict regularization if the Generalization Gap (Train Score - CV Score) exceeds 0.10.</w:t>
      </w:r>
    </w:p>
    <w:p>
      <w:pPr>
        <w:keepNext/>
        <w:spacing w:before="200" w:after="80"/>
        <w:jc w:val="left"/>
      </w:pPr>
      <w:r>
        <w:rPr>
          <w:rFonts w:ascii="Times New Roman" w:hAnsi="Times New Roman"/>
          <w:b/>
          <w:i/>
          <w:color w:val="374151"/>
          <w:sz w:val="24"/>
        </w:rPr>
        <w:t>2.3.7 Elena (Cynthia Rudin &amp; Scott Lundberg): Model Evaluation &amp; Governance Auditor</w:t>
      </w:r>
    </w:p>
    <w:p>
      <w:pPr>
        <w:spacing w:line="360" w:lineRule="auto" w:after="120"/>
        <w:jc w:val="both"/>
      </w:pPr>
      <w:r>
        <w:rPr>
          <w:rFonts w:ascii="Times New Roman" w:hAnsi="Times New Roman"/>
          <w:color w:val="111827"/>
          <w:sz w:val="24"/>
        </w:rPr>
        <w:t>Inspired by Cynthia Rudin (interpretable ML) and Scott Lundberg (SHAP), Elena is the cynical auditor who red-teams every champion model. She audits Precision-Recall AUC (PR-AUC), Brier score calibration, and conducts automated cohort error slicing across demographic subgroups. Using TreeSHAP beeswarm and waterfall attributions, she verifies that models make predictions for legitimate causal reasons rather than spurious proxies before issuing her governance verdict.</w:t>
      </w:r>
    </w:p>
    <w:p>
      <w:pPr>
        <w:keepNext/>
        <w:spacing w:before="200" w:after="80"/>
        <w:jc w:val="left"/>
      </w:pPr>
      <w:r>
        <w:rPr>
          <w:rFonts w:ascii="Times New Roman" w:hAnsi="Times New Roman"/>
          <w:b/>
          <w:i/>
          <w:color w:val="374151"/>
          <w:sz w:val="24"/>
        </w:rPr>
        <w:t>2.3.8 Marcus (Edward Tufte &amp; Barbara Minto): Executive Storytelling &amp; Publication</w:t>
      </w:r>
    </w:p>
    <w:p>
      <w:pPr>
        <w:spacing w:line="360" w:lineRule="auto" w:after="120"/>
        <w:jc w:val="both"/>
      </w:pPr>
      <w:r>
        <w:rPr>
          <w:rFonts w:ascii="Times New Roman" w:hAnsi="Times New Roman"/>
          <w:color w:val="111827"/>
          <w:sz w:val="24"/>
        </w:rPr>
        <w:t>Inspired by Edward Tufte and Barbara Minto, Marcus synthesizes complex quantitative findings into high-impact C-suite deliverables. He applies the Minto Pyramid Principle (Situation -&gt; Complication -&gt; Question -&gt; Answer), adheres to Tufte's data-to-ink ratio maximization, and compiles publication-grade Word (.docx) deliverables utilizing the Anthropic DOCX specification.</w:t>
      </w:r>
    </w:p>
    <w:tbl>
      <w:tblPr>
        <w:tblW w:type="auto" w:w="0"/>
        <w:jc w:val="center"/>
        <w:tblLayout w:type="fixed"/>
        <w:tblLook w:firstColumn="1" w:firstRow="1" w:lastColumn="0" w:lastRow="0" w:noHBand="0" w:noVBand="1" w:val="04A0"/>
      </w:tblPr>
      <w:tblGrid>
        <w:gridCol w:w="2257"/>
        <w:gridCol w:w="2257"/>
        <w:gridCol w:w="2257"/>
        <w:gridCol w:w="2257"/>
      </w:tblGrid>
      <w:tr>
        <w:tc>
          <w:tcPr>
            <w:tcW w:type="dxa" w:w="1584"/>
            <w:shd w:fill="1E3A8A"/>
            <w:tcMar>
              <w:top w:w="120" w:type="dxa"/>
              <w:bottom w:w="120" w:type="dxa"/>
              <w:left w:w="140" w:type="dxa"/>
              <w:right w:w="140" w:type="dxa"/>
            </w:tcMar>
            <w:tcBorders>
              <w:top w:val="single" w:sz="6" w:space="0" w:color="1E3A8A"/>
              <w:left w:val="single" w:sz="4" w:space="0" w:color="CBD5E1"/>
              <w:bottom w:val="single" w:sz="12" w:space="0" w:color="0F172A"/>
              <w:right w:val="single" w:sz="4" w:space="0" w:color="CBD5E1"/>
            </w:tcBorders>
          </w:tcPr>
          <w:p>
            <w:pPr>
              <w:spacing w:after="0"/>
              <w:jc w:val="center"/>
            </w:pPr>
            <w:r>
              <w:rPr>
                <w:rFonts w:ascii="Times New Roman" w:hAnsi="Times New Roman"/>
                <w:b/>
                <w:color w:val="FFFFFF"/>
                <w:sz w:val="21"/>
              </w:rPr>
              <w:t>Specialist Agent</w:t>
            </w:r>
          </w:p>
        </w:tc>
        <w:tc>
          <w:tcPr>
            <w:tcW w:type="dxa" w:w="2016"/>
            <w:shd w:fill="1E3A8A"/>
            <w:tcMar>
              <w:top w:w="120" w:type="dxa"/>
              <w:bottom w:w="120" w:type="dxa"/>
              <w:left w:w="140" w:type="dxa"/>
              <w:right w:w="140" w:type="dxa"/>
            </w:tcMar>
            <w:tcBorders>
              <w:top w:val="single" w:sz="6" w:space="0" w:color="1E3A8A"/>
              <w:left w:val="single" w:sz="4" w:space="0" w:color="CBD5E1"/>
              <w:bottom w:val="single" w:sz="12" w:space="0" w:color="0F172A"/>
              <w:right w:val="single" w:sz="4" w:space="0" w:color="CBD5E1"/>
            </w:tcBorders>
          </w:tcPr>
          <w:p>
            <w:pPr>
              <w:spacing w:after="0"/>
              <w:jc w:val="center"/>
            </w:pPr>
            <w:r>
              <w:rPr>
                <w:rFonts w:ascii="Times New Roman" w:hAnsi="Times New Roman"/>
                <w:b/>
                <w:color w:val="FFFFFF"/>
                <w:sz w:val="21"/>
              </w:rPr>
              <w:t>Philosophical Inspiration</w:t>
            </w:r>
          </w:p>
        </w:tc>
        <w:tc>
          <w:tcPr>
            <w:tcW w:type="dxa" w:w="3168"/>
            <w:shd w:fill="1E3A8A"/>
            <w:tcMar>
              <w:top w:w="120" w:type="dxa"/>
              <w:bottom w:w="120" w:type="dxa"/>
              <w:left w:w="140" w:type="dxa"/>
              <w:right w:w="140" w:type="dxa"/>
            </w:tcMar>
            <w:tcBorders>
              <w:top w:val="single" w:sz="6" w:space="0" w:color="1E3A8A"/>
              <w:left w:val="single" w:sz="4" w:space="0" w:color="CBD5E1"/>
              <w:bottom w:val="single" w:sz="12" w:space="0" w:color="0F172A"/>
              <w:right w:val="single" w:sz="4" w:space="0" w:color="CBD5E1"/>
            </w:tcBorders>
          </w:tcPr>
          <w:p>
            <w:pPr>
              <w:spacing w:after="0"/>
              <w:jc w:val="center"/>
            </w:pPr>
            <w:r>
              <w:rPr>
                <w:rFonts w:ascii="Times New Roman" w:hAnsi="Times New Roman"/>
                <w:b/>
                <w:color w:val="FFFFFF"/>
                <w:sz w:val="21"/>
              </w:rPr>
              <w:t>Primary Mandate</w:t>
            </w:r>
          </w:p>
        </w:tc>
        <w:tc>
          <w:tcPr>
            <w:tcW w:type="dxa" w:w="2261"/>
            <w:shd w:fill="1E3A8A"/>
            <w:tcMar>
              <w:top w:w="120" w:type="dxa"/>
              <w:bottom w:w="120" w:type="dxa"/>
              <w:left w:w="140" w:type="dxa"/>
              <w:right w:w="140" w:type="dxa"/>
            </w:tcMar>
            <w:tcBorders>
              <w:top w:val="single" w:sz="6" w:space="0" w:color="1E3A8A"/>
              <w:left w:val="single" w:sz="4" w:space="0" w:color="CBD5E1"/>
              <w:bottom w:val="single" w:sz="12" w:space="0" w:color="0F172A"/>
              <w:right w:val="single" w:sz="4" w:space="0" w:color="CBD5E1"/>
            </w:tcBorders>
          </w:tcPr>
          <w:p>
            <w:pPr>
              <w:spacing w:after="0"/>
              <w:jc w:val="center"/>
            </w:pPr>
            <w:r>
              <w:rPr>
                <w:rFonts w:ascii="Times New Roman" w:hAnsi="Times New Roman"/>
                <w:b/>
                <w:color w:val="FFFFFF"/>
                <w:sz w:val="21"/>
              </w:rPr>
              <w:t>Handoff Deliverable</w:t>
            </w:r>
          </w:p>
        </w:tc>
      </w:tr>
      <w:tr>
        <w:tc>
          <w:tcPr>
            <w:tcW w:type="dxa" w:w="1584"/>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left"/>
            </w:pPr>
            <w:r>
              <w:rPr>
                <w:rFonts w:ascii="Times New Roman" w:hAnsi="Times New Roman"/>
                <w:color w:val="1F2937"/>
                <w:sz w:val="20"/>
              </w:rPr>
              <w:t>Arthur</w:t>
            </w:r>
          </w:p>
        </w:tc>
        <w:tc>
          <w:tcPr>
            <w:tcW w:type="dxa" w:w="2016"/>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Ralph Kimball</w:t>
            </w:r>
          </w:p>
        </w:tc>
        <w:tc>
          <w:tcPr>
            <w:tcW w:type="dxa" w:w="3168"/>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Data catalog navigation &amp; dimensional schema mapping</w:t>
            </w:r>
          </w:p>
        </w:tc>
        <w:tc>
          <w:tcPr>
            <w:tcW w:type="dxa" w:w="2261"/>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source_discovery_manifest.md</w:t>
            </w:r>
          </w:p>
        </w:tc>
      </w:tr>
      <w:tr>
        <w:tc>
          <w:tcPr>
            <w:tcW w:type="dxa" w:w="1584"/>
            <w:shd w:fill="F8FAFC"/>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left"/>
            </w:pPr>
            <w:r>
              <w:rPr>
                <w:rFonts w:ascii="Times New Roman" w:hAnsi="Times New Roman"/>
                <w:color w:val="1F2937"/>
                <w:sz w:val="20"/>
              </w:rPr>
              <w:t>Silas</w:t>
            </w:r>
          </w:p>
        </w:tc>
        <w:tc>
          <w:tcPr>
            <w:tcW w:type="dxa" w:w="2016"/>
            <w:shd w:fill="F8FAFC"/>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Joe Celko</w:t>
            </w:r>
          </w:p>
        </w:tc>
        <w:tc>
          <w:tcPr>
            <w:tcW w:type="dxa" w:w="3168"/>
            <w:shd w:fill="F8FAFC"/>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Optimized SQL CTE extraction via DuckDB / Parquet</w:t>
            </w:r>
          </w:p>
        </w:tc>
        <w:tc>
          <w:tcPr>
            <w:tcW w:type="dxa" w:w="2261"/>
            <w:shd w:fill="F8FAFC"/>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data/raw/[dataset].parquet</w:t>
            </w:r>
          </w:p>
        </w:tc>
      </w:tr>
      <w:tr>
        <w:tc>
          <w:tcPr>
            <w:tcW w:type="dxa" w:w="1584"/>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left"/>
            </w:pPr>
            <w:r>
              <w:rPr>
                <w:rFonts w:ascii="Times New Roman" w:hAnsi="Times New Roman"/>
                <w:color w:val="1F2937"/>
                <w:sz w:val="20"/>
              </w:rPr>
              <w:t>Maya</w:t>
            </w:r>
          </w:p>
        </w:tc>
        <w:tc>
          <w:tcPr>
            <w:tcW w:type="dxa" w:w="2016"/>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John Tukey</w:t>
            </w:r>
          </w:p>
        </w:tc>
        <w:tc>
          <w:tcPr>
            <w:tcW w:type="dxa" w:w="3168"/>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Multivariate statistical profiling, VIF, and MCAR tests</w:t>
            </w:r>
          </w:p>
        </w:tc>
        <w:tc>
          <w:tcPr>
            <w:tcW w:type="dxa" w:w="2261"/>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data_understanding_report.md</w:t>
            </w:r>
          </w:p>
        </w:tc>
      </w:tr>
      <w:tr>
        <w:tc>
          <w:tcPr>
            <w:tcW w:type="dxa" w:w="1584"/>
            <w:shd w:fill="F8FAFC"/>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left"/>
            </w:pPr>
            <w:r>
              <w:rPr>
                <w:rFonts w:ascii="Times New Roman" w:hAnsi="Times New Roman"/>
                <w:color w:val="1F2937"/>
                <w:sz w:val="20"/>
              </w:rPr>
              <w:t>Leo</w:t>
            </w:r>
          </w:p>
        </w:tc>
        <w:tc>
          <w:tcPr>
            <w:tcW w:type="dxa" w:w="2016"/>
            <w:shd w:fill="F8FAFC"/>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W. Edwards Deming</w:t>
            </w:r>
          </w:p>
        </w:tc>
        <w:tc>
          <w:tcPr>
            <w:tcW w:type="dxa" w:w="3168"/>
            <w:shd w:fill="F8FAFC"/>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Leak-free preprocessing &amp; ColumnTransformer serialization</w:t>
            </w:r>
          </w:p>
        </w:tc>
        <w:tc>
          <w:tcPr>
            <w:tcW w:type="dxa" w:w="2261"/>
            <w:shd w:fill="F8FAFC"/>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models/preprocessor.joblib</w:t>
            </w:r>
          </w:p>
        </w:tc>
      </w:tr>
      <w:tr>
        <w:tc>
          <w:tcPr>
            <w:tcW w:type="dxa" w:w="1584"/>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left"/>
            </w:pPr>
            <w:r>
              <w:rPr>
                <w:rFonts w:ascii="Times New Roman" w:hAnsi="Times New Roman"/>
                <w:color w:val="1F2937"/>
                <w:sz w:val="20"/>
              </w:rPr>
              <w:t>Priya</w:t>
            </w:r>
          </w:p>
        </w:tc>
        <w:tc>
          <w:tcPr>
            <w:tcW w:type="dxa" w:w="2016"/>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Kaggle Grandmaster</w:t>
            </w:r>
          </w:p>
        </w:tc>
        <w:tc>
          <w:tcPr>
            <w:tcW w:type="dxa" w:w="3168"/>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Cyclical transforms, OOF group statistics, RFECV</w:t>
            </w:r>
          </w:p>
        </w:tc>
        <w:tc>
          <w:tcPr>
            <w:tcW w:type="dxa" w:w="2261"/>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data/features/X_train.parquet</w:t>
            </w:r>
          </w:p>
        </w:tc>
      </w:tr>
      <w:tr>
        <w:tc>
          <w:tcPr>
            <w:tcW w:type="dxa" w:w="1584"/>
            <w:shd w:fill="F8FAFC"/>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left"/>
            </w:pPr>
            <w:r>
              <w:rPr>
                <w:rFonts w:ascii="Times New Roman" w:hAnsi="Times New Roman"/>
                <w:color w:val="1F2937"/>
                <w:sz w:val="20"/>
              </w:rPr>
              <w:t>Julian</w:t>
            </w:r>
          </w:p>
        </w:tc>
        <w:tc>
          <w:tcPr>
            <w:tcW w:type="dxa" w:w="2016"/>
            <w:shd w:fill="F8FAFC"/>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Leo Breiman &amp; Tianqi Chen</w:t>
            </w:r>
          </w:p>
        </w:tc>
        <w:tc>
          <w:tcPr>
            <w:tcW w:type="dxa" w:w="3168"/>
            <w:shd w:fill="F8FAFC"/>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Algorithm tournament &amp; Optuna Bayesian optimization</w:t>
            </w:r>
          </w:p>
        </w:tc>
        <w:tc>
          <w:tcPr>
            <w:tcW w:type="dxa" w:w="2261"/>
            <w:shd w:fill="F8FAFC"/>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models/champion_model.joblib</w:t>
            </w:r>
          </w:p>
        </w:tc>
      </w:tr>
      <w:tr>
        <w:tc>
          <w:tcPr>
            <w:tcW w:type="dxa" w:w="1584"/>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left"/>
            </w:pPr>
            <w:r>
              <w:rPr>
                <w:rFonts w:ascii="Times New Roman" w:hAnsi="Times New Roman"/>
                <w:color w:val="1F2937"/>
                <w:sz w:val="20"/>
              </w:rPr>
              <w:t>Elena</w:t>
            </w:r>
          </w:p>
        </w:tc>
        <w:tc>
          <w:tcPr>
            <w:tcW w:type="dxa" w:w="2016"/>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Cynthia Rudin</w:t>
            </w:r>
          </w:p>
        </w:tc>
        <w:tc>
          <w:tcPr>
            <w:tcW w:type="dxa" w:w="3168"/>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SHAP explainability, cohort fairness, governance audit</w:t>
            </w:r>
          </w:p>
        </w:tc>
        <w:tc>
          <w:tcPr>
            <w:tcW w:type="dxa" w:w="2261"/>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model_evaluation_report.md</w:t>
            </w:r>
          </w:p>
        </w:tc>
      </w:tr>
      <w:tr>
        <w:tc>
          <w:tcPr>
            <w:tcW w:type="dxa" w:w="1584"/>
            <w:shd w:fill="F8FAFC"/>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left"/>
            </w:pPr>
            <w:r>
              <w:rPr>
                <w:rFonts w:ascii="Times New Roman" w:hAnsi="Times New Roman"/>
                <w:color w:val="1F2937"/>
                <w:sz w:val="20"/>
              </w:rPr>
              <w:t>Marcus</w:t>
            </w:r>
          </w:p>
        </w:tc>
        <w:tc>
          <w:tcPr>
            <w:tcW w:type="dxa" w:w="2016"/>
            <w:shd w:fill="F8FAFC"/>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Edward Tufte</w:t>
            </w:r>
          </w:p>
        </w:tc>
        <w:tc>
          <w:tcPr>
            <w:tcW w:type="dxa" w:w="3168"/>
            <w:shd w:fill="F8FAFC"/>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Anthropic DOCX reports, slide decks, executive briefs</w:t>
            </w:r>
          </w:p>
        </w:tc>
        <w:tc>
          <w:tcPr>
            <w:tcW w:type="dxa" w:w="2261"/>
            <w:shd w:fill="F8FAFC"/>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reports/published/[Report].docx</w:t>
            </w:r>
          </w:p>
        </w:tc>
      </w:tr>
    </w:tbl>
    <w:p>
      <w:pPr>
        <w:spacing w:after="120"/>
      </w:pPr>
    </w:p>
    <w:p>
      <w:pPr>
        <w:keepNext/>
        <w:spacing w:before="280" w:after="120"/>
        <w:jc w:val="left"/>
      </w:pPr>
      <w:r>
        <w:rPr>
          <w:rFonts w:ascii="Times New Roman" w:hAnsi="Times New Roman"/>
          <w:b/>
          <w:color w:val="1F2937"/>
          <w:sz w:val="26"/>
        </w:rPr>
        <w:t>2.4 The ARIA Council Protocol: Adversarial Peer Review Roundtable</w:t>
      </w:r>
    </w:p>
    <w:p>
      <w:pPr>
        <w:spacing w:line="360" w:lineRule="auto" w:after="120"/>
        <w:jc w:val="both"/>
      </w:pPr>
      <w:r>
        <w:rPr>
          <w:rFonts w:ascii="Times New Roman" w:hAnsi="Times New Roman"/>
          <w:color w:val="111827"/>
          <w:sz w:val="24"/>
        </w:rPr>
        <w:t>In traditional multi-agent systems, agents collaborate in a purely affirmative manner: if an agent proposes an approach, other agents offer polite validation. In high-stakes statistical modeling, this unconstrained agreement results in compound errors. For instance, an aggressive feature engineering proposal may produce high apparent correlation by incorporating future information, which a modeling agent gladly utilizes to achieve near-perfect cross-validation scores.</w:t>
      </w:r>
    </w:p>
    <w:p>
      <w:pPr>
        <w:spacing w:line="360" w:lineRule="auto" w:after="120"/>
        <w:jc w:val="both"/>
      </w:pPr>
      <w:r>
        <w:rPr>
          <w:rFonts w:ascii="Times New Roman" w:hAnsi="Times New Roman"/>
          <w:color w:val="111827"/>
          <w:sz w:val="24"/>
        </w:rPr>
        <w:t>To break this echo chamber, ARIA introduces the Council Protocol (ds-agent-council). The Council is governed by a strict Dynamic Gating Policy: routine, deterministic tasks (e.g. data inspection, direct queries, standard scaling) bypass the Council to avoid unnecessary overhead. However, whenever an analytical inquiry is complex, strategic, or ambiguous—regardless of the dataset—Alfred convenes the specialists into an adversarial roundtable where proposals are actively interrogated from competing viewpoints.</w:t>
      </w:r>
    </w:p>
    <w:p>
      <w:pPr>
        <w:spacing w:line="360" w:lineRule="auto" w:after="120"/>
        <w:jc w:val="both"/>
      </w:pPr>
      <w:r>
        <w:rPr>
          <w:rFonts w:ascii="Times New Roman" w:hAnsi="Times New Roman"/>
          <w:color w:val="111827"/>
          <w:sz w:val="24"/>
        </w:rPr>
        <w:t>The following transcript snippet demonstrates a live adversarial cross-examination during a feature engineering session:</w:t>
      </w:r>
    </w:p>
    <w:tbl>
      <w:tblPr>
        <w:tblW w:type="auto" w:w="0"/>
        <w:jc w:val="center"/>
        <w:tblLayout w:type="fixed"/>
        <w:tblLook w:firstColumn="1" w:firstRow="1" w:lastColumn="0" w:lastRow="0" w:noHBand="0" w:noVBand="1" w:val="04A0"/>
      </w:tblPr>
      <w:tblGrid>
        <w:gridCol w:w="9029"/>
      </w:tblGrid>
      <w:tr>
        <w:tc>
          <w:tcPr>
            <w:tcW w:type="dxa" w:w="9029"/>
            <w:shd w:fill="F8FAFC"/>
            <w:tcMar>
              <w:top w:w="140" w:type="dxa"/>
              <w:bottom w:w="140" w:type="dxa"/>
              <w:left w:w="200" w:type="dxa"/>
              <w:right w:w="180" w:type="dxa"/>
            </w:tcMar>
            <w:tcBorders>
              <w:top w:val="single" w:sz="4" w:space="0" w:color="E2E8F0"/>
              <w:left w:val="single" w:sz="24" w:space="0" w:color="1E3A8A"/>
              <w:bottom w:val="single" w:sz="4" w:space="0" w:color="E2E8F0"/>
              <w:right w:val="single" w:sz="4" w:space="0" w:color="E2E8F0"/>
            </w:tcBorders>
          </w:tcPr>
          <w:p>
            <w:pPr>
              <w:spacing w:line="312" w:lineRule="auto" w:after="40"/>
              <w:jc w:val="both"/>
            </w:pPr>
            <w:r>
              <w:rPr>
                <w:rFonts w:ascii="Times New Roman" w:hAnsi="Times New Roman"/>
                <w:b/>
                <w:color w:val="1E3A8A"/>
                <w:sz w:val="22"/>
              </w:rPr>
              <w:t xml:space="preserve">[Alfred — Major-Domo &amp; Concierge]: </w:t>
            </w:r>
            <w:r>
              <w:rPr>
                <w:rFonts w:ascii="Times New Roman" w:hAnsi="Times New Roman"/>
                <w:i/>
                <w:color w:val="334155"/>
                <w:sz w:val="22"/>
              </w:rPr>
              <w:t>"Order in the council. Our client desires an optimal strategy to resolve missing Age values and engineer a predictive FamilySurvival signal. Priya, table your proposal."</w:t>
            </w:r>
          </w:p>
        </w:tc>
      </w:tr>
    </w:tbl>
    <w:p>
      <w:pPr>
        <w:spacing w:after="80"/>
      </w:pPr>
    </w:p>
    <w:tbl>
      <w:tblPr>
        <w:tblW w:type="auto" w:w="0"/>
        <w:jc w:val="center"/>
        <w:tblLayout w:type="fixed"/>
        <w:tblLook w:firstColumn="1" w:firstRow="1" w:lastColumn="0" w:lastRow="0" w:noHBand="0" w:noVBand="1" w:val="04A0"/>
      </w:tblPr>
      <w:tblGrid>
        <w:gridCol w:w="9029"/>
      </w:tblGrid>
      <w:tr>
        <w:tc>
          <w:tcPr>
            <w:tcW w:type="dxa" w:w="9029"/>
            <w:shd w:fill="F8FAFC"/>
            <w:tcMar>
              <w:top w:w="140" w:type="dxa"/>
              <w:bottom w:w="140" w:type="dxa"/>
              <w:left w:w="200" w:type="dxa"/>
              <w:right w:w="180" w:type="dxa"/>
            </w:tcMar>
            <w:tcBorders>
              <w:top w:val="single" w:sz="4" w:space="0" w:color="E2E8F0"/>
              <w:left w:val="single" w:sz="24" w:space="0" w:color="1E3A8A"/>
              <w:bottom w:val="single" w:sz="4" w:space="0" w:color="E2E8F0"/>
              <w:right w:val="single" w:sz="4" w:space="0" w:color="E2E8F0"/>
            </w:tcBorders>
          </w:tcPr>
          <w:p>
            <w:pPr>
              <w:spacing w:line="312" w:lineRule="auto" w:after="40"/>
              <w:jc w:val="both"/>
            </w:pPr>
            <w:r>
              <w:rPr>
                <w:rFonts w:ascii="Times New Roman" w:hAnsi="Times New Roman"/>
                <w:b/>
                <w:color w:val="1E3A8A"/>
                <w:sz w:val="22"/>
              </w:rPr>
              <w:t xml:space="preserve">[Priya — Feature Engineering Architect]: </w:t>
            </w:r>
            <w:r>
              <w:rPr>
                <w:rFonts w:ascii="Times New Roman" w:hAnsi="Times New Roman"/>
                <w:i/>
                <w:color w:val="334155"/>
                <w:sz w:val="22"/>
              </w:rPr>
              <w:t>"We extract titles from Name and impute missing Age using title medians. Then we group passengers by Surname to calculate historical family survival rates, capturing shared evacuation outcomes."</w:t>
            </w:r>
          </w:p>
        </w:tc>
      </w:tr>
    </w:tbl>
    <w:p>
      <w:pPr>
        <w:spacing w:after="80"/>
      </w:pPr>
    </w:p>
    <w:tbl>
      <w:tblPr>
        <w:tblW w:type="auto" w:w="0"/>
        <w:jc w:val="center"/>
        <w:tblLayout w:type="fixed"/>
        <w:tblLook w:firstColumn="1" w:firstRow="1" w:lastColumn="0" w:lastRow="0" w:noHBand="0" w:noVBand="1" w:val="04A0"/>
      </w:tblPr>
      <w:tblGrid>
        <w:gridCol w:w="9029"/>
      </w:tblGrid>
      <w:tr>
        <w:tc>
          <w:tcPr>
            <w:tcW w:type="dxa" w:w="9029"/>
            <w:shd w:fill="F8FAFC"/>
            <w:tcMar>
              <w:top w:w="140" w:type="dxa"/>
              <w:bottom w:w="140" w:type="dxa"/>
              <w:left w:w="200" w:type="dxa"/>
              <w:right w:w="180" w:type="dxa"/>
            </w:tcMar>
            <w:tcBorders>
              <w:top w:val="single" w:sz="4" w:space="0" w:color="E2E8F0"/>
              <w:left w:val="single" w:sz="24" w:space="0" w:color="1E3A8A"/>
              <w:bottom w:val="single" w:sz="4" w:space="0" w:color="E2E8F0"/>
              <w:right w:val="single" w:sz="4" w:space="0" w:color="E2E8F0"/>
            </w:tcBorders>
          </w:tcPr>
          <w:p>
            <w:pPr>
              <w:spacing w:line="312" w:lineRule="auto" w:after="40"/>
              <w:jc w:val="both"/>
            </w:pPr>
            <w:r>
              <w:rPr>
                <w:rFonts w:ascii="Times New Roman" w:hAnsi="Times New Roman"/>
                <w:b/>
                <w:color w:val="1E3A8A"/>
                <w:sz w:val="22"/>
              </w:rPr>
              <w:t xml:space="preserve">[Leo — Data Cleaning Engineer]: </w:t>
            </w:r>
            <w:r>
              <w:rPr>
                <w:rFonts w:ascii="Times New Roman" w:hAnsi="Times New Roman"/>
                <w:i/>
                <w:color w:val="334155"/>
                <w:sz w:val="22"/>
              </w:rPr>
              <w:t>"Hold on, Priya! That surname group calculation contains catastrophic target leakage if done naively across the combined dataset. Any family survival signal must strictly use Out-of-Fold (OOF) cross-validation on train, and fallback to global title medians on test!"</w:t>
            </w:r>
          </w:p>
        </w:tc>
      </w:tr>
    </w:tbl>
    <w:p>
      <w:pPr>
        <w:spacing w:after="80"/>
      </w:pPr>
    </w:p>
    <w:tbl>
      <w:tblPr>
        <w:tblW w:type="auto" w:w="0"/>
        <w:jc w:val="center"/>
        <w:tblLayout w:type="fixed"/>
        <w:tblLook w:firstColumn="1" w:firstRow="1" w:lastColumn="0" w:lastRow="0" w:noHBand="0" w:noVBand="1" w:val="04A0"/>
      </w:tblPr>
      <w:tblGrid>
        <w:gridCol w:w="9029"/>
      </w:tblGrid>
      <w:tr>
        <w:tc>
          <w:tcPr>
            <w:tcW w:type="dxa" w:w="9029"/>
            <w:shd w:fill="F8FAFC"/>
            <w:tcMar>
              <w:top w:w="140" w:type="dxa"/>
              <w:bottom w:w="140" w:type="dxa"/>
              <w:left w:w="200" w:type="dxa"/>
              <w:right w:w="180" w:type="dxa"/>
            </w:tcMar>
            <w:tcBorders>
              <w:top w:val="single" w:sz="4" w:space="0" w:color="E2E8F0"/>
              <w:left w:val="single" w:sz="24" w:space="0" w:color="1E3A8A"/>
              <w:bottom w:val="single" w:sz="4" w:space="0" w:color="E2E8F0"/>
              <w:right w:val="single" w:sz="4" w:space="0" w:color="E2E8F0"/>
            </w:tcBorders>
          </w:tcPr>
          <w:p>
            <w:pPr>
              <w:spacing w:line="312" w:lineRule="auto" w:after="40"/>
              <w:jc w:val="both"/>
            </w:pPr>
            <w:r>
              <w:rPr>
                <w:rFonts w:ascii="Times New Roman" w:hAnsi="Times New Roman"/>
                <w:b/>
                <w:color w:val="1E3A8A"/>
                <w:sz w:val="22"/>
              </w:rPr>
              <w:t xml:space="preserve">[Maya — Exploratory Data Scientist]: </w:t>
            </w:r>
            <w:r>
              <w:rPr>
                <w:rFonts w:ascii="Times New Roman" w:hAnsi="Times New Roman"/>
                <w:i/>
                <w:color w:val="334155"/>
                <w:sz w:val="22"/>
              </w:rPr>
              <w:t>"I must challenge Priya's age imputation as well. The title Miss spans ages from 9 months to 63 years old. A flat median assigned to an infant baby Miss traveling with parents distorts infant mortality patterns. We must condition age imputation on both Title and Parch."</w:t>
            </w:r>
          </w:p>
        </w:tc>
      </w:tr>
    </w:tbl>
    <w:p>
      <w:pPr>
        <w:spacing w:after="80"/>
      </w:pPr>
    </w:p>
    <w:tbl>
      <w:tblPr>
        <w:tblW w:type="auto" w:w="0"/>
        <w:jc w:val="center"/>
        <w:tblLayout w:type="fixed"/>
        <w:tblLook w:firstColumn="1" w:firstRow="1" w:lastColumn="0" w:lastRow="0" w:noHBand="0" w:noVBand="1" w:val="04A0"/>
      </w:tblPr>
      <w:tblGrid>
        <w:gridCol w:w="9029"/>
      </w:tblGrid>
      <w:tr>
        <w:tc>
          <w:tcPr>
            <w:tcW w:type="dxa" w:w="9029"/>
            <w:shd w:fill="F8FAFC"/>
            <w:tcMar>
              <w:top w:w="140" w:type="dxa"/>
              <w:bottom w:w="140" w:type="dxa"/>
              <w:left w:w="200" w:type="dxa"/>
              <w:right w:w="180" w:type="dxa"/>
            </w:tcMar>
            <w:tcBorders>
              <w:top w:val="single" w:sz="4" w:space="0" w:color="E2E8F0"/>
              <w:left w:val="single" w:sz="24" w:space="0" w:color="1E3A8A"/>
              <w:bottom w:val="single" w:sz="4" w:space="0" w:color="E2E8F0"/>
              <w:right w:val="single" w:sz="4" w:space="0" w:color="E2E8F0"/>
            </w:tcBorders>
          </w:tcPr>
          <w:p>
            <w:pPr>
              <w:spacing w:line="312" w:lineRule="auto" w:after="40"/>
              <w:jc w:val="both"/>
            </w:pPr>
            <w:r>
              <w:rPr>
                <w:rFonts w:ascii="Times New Roman" w:hAnsi="Times New Roman"/>
                <w:b/>
                <w:color w:val="1E3A8A"/>
                <w:sz w:val="22"/>
              </w:rPr>
              <w:t xml:space="preserve">[Elena — Cynical Governance Auditor]: </w:t>
            </w:r>
            <w:r>
              <w:rPr>
                <w:rFonts w:ascii="Times New Roman" w:hAnsi="Times New Roman"/>
                <w:i/>
                <w:color w:val="334155"/>
                <w:sz w:val="22"/>
              </w:rPr>
              <w:t>"Spot on, Maya. And common surnames like Smith and Davies link completely unrelated strangers from different classes into fake family units. We must group by Surname + Pclass + Ticket_Prefix to eliminate false family links."</w:t>
            </w:r>
          </w:p>
        </w:tc>
      </w:tr>
    </w:tbl>
    <w:p>
      <w:pPr>
        <w:spacing w:after="80"/>
      </w:pPr>
    </w:p>
    <w:tbl>
      <w:tblPr>
        <w:tblW w:type="auto" w:w="0"/>
        <w:jc w:val="center"/>
        <w:tblLayout w:type="fixed"/>
        <w:tblLook w:firstColumn="1" w:firstRow="1" w:lastColumn="0" w:lastRow="0" w:noHBand="0" w:noVBand="1" w:val="04A0"/>
      </w:tblPr>
      <w:tblGrid>
        <w:gridCol w:w="9029"/>
      </w:tblGrid>
      <w:tr>
        <w:tc>
          <w:tcPr>
            <w:tcW w:type="dxa" w:w="9029"/>
            <w:shd w:fill="F8FAFC"/>
            <w:tcMar>
              <w:top w:w="140" w:type="dxa"/>
              <w:bottom w:w="140" w:type="dxa"/>
              <w:left w:w="200" w:type="dxa"/>
              <w:right w:w="180" w:type="dxa"/>
            </w:tcMar>
            <w:tcBorders>
              <w:top w:val="single" w:sz="4" w:space="0" w:color="E2E8F0"/>
              <w:left w:val="single" w:sz="24" w:space="0" w:color="1E3A8A"/>
              <w:bottom w:val="single" w:sz="4" w:space="0" w:color="E2E8F0"/>
              <w:right w:val="single" w:sz="4" w:space="0" w:color="E2E8F0"/>
            </w:tcBorders>
          </w:tcPr>
          <w:p>
            <w:pPr>
              <w:spacing w:line="312" w:lineRule="auto" w:after="40"/>
              <w:jc w:val="both"/>
            </w:pPr>
            <w:r>
              <w:rPr>
                <w:rFonts w:ascii="Times New Roman" w:hAnsi="Times New Roman"/>
                <w:b/>
                <w:color w:val="1E3A8A"/>
                <w:sz w:val="22"/>
              </w:rPr>
              <w:t xml:space="preserve">[Julian — Machine Learning Engineer]: </w:t>
            </w:r>
            <w:r>
              <w:rPr>
                <w:rFonts w:ascii="Times New Roman" w:hAnsi="Times New Roman"/>
                <w:i/>
                <w:color w:val="334155"/>
                <w:sz w:val="22"/>
              </w:rPr>
              <w:t>"From a tree-split perspective, passing a continuous family survival rate into LightGBM will overfit families of size 2. I recommend quantizing this into discrete, regularized states with Laplace smoothing."</w:t>
            </w:r>
          </w:p>
        </w:tc>
      </w:tr>
    </w:tbl>
    <w:p>
      <w:pPr>
        <w:spacing w:after="80"/>
      </w:pPr>
    </w:p>
    <w:tbl>
      <w:tblPr>
        <w:tblW w:type="auto" w:w="0"/>
        <w:jc w:val="center"/>
        <w:tblLayout w:type="fixed"/>
        <w:tblLook w:firstColumn="1" w:firstRow="1" w:lastColumn="0" w:lastRow="0" w:noHBand="0" w:noVBand="1" w:val="04A0"/>
      </w:tblPr>
      <w:tblGrid>
        <w:gridCol w:w="9029"/>
      </w:tblGrid>
      <w:tr>
        <w:tc>
          <w:tcPr>
            <w:tcW w:type="dxa" w:w="9029"/>
            <w:shd w:fill="F8FAFC"/>
            <w:tcMar>
              <w:top w:w="140" w:type="dxa"/>
              <w:bottom w:w="140" w:type="dxa"/>
              <w:left w:w="200" w:type="dxa"/>
              <w:right w:w="180" w:type="dxa"/>
            </w:tcMar>
            <w:tcBorders>
              <w:top w:val="single" w:sz="4" w:space="0" w:color="E2E8F0"/>
              <w:left w:val="single" w:sz="24" w:space="0" w:color="1E3A8A"/>
              <w:bottom w:val="single" w:sz="4" w:space="0" w:color="E2E8F0"/>
              <w:right w:val="single" w:sz="4" w:space="0" w:color="E2E8F0"/>
            </w:tcBorders>
          </w:tcPr>
          <w:p>
            <w:pPr>
              <w:spacing w:line="312" w:lineRule="auto" w:after="40"/>
              <w:jc w:val="both"/>
            </w:pPr>
            <w:r>
              <w:rPr>
                <w:rFonts w:ascii="Times New Roman" w:hAnsi="Times New Roman"/>
                <w:b/>
                <w:color w:val="1E3A8A"/>
                <w:sz w:val="22"/>
              </w:rPr>
              <w:t xml:space="preserve">[Alfred — Consensus Verdict]: </w:t>
            </w:r>
            <w:r>
              <w:rPr>
                <w:rFonts w:ascii="Times New Roman" w:hAnsi="Times New Roman"/>
                <w:i/>
                <w:color w:val="334155"/>
                <w:sz w:val="22"/>
              </w:rPr>
              <w:t>"The Council has spoken. We approve the family signal with: (1) Title + Parch conditioned age imputation, (2) Surname + Pclass + Ticket compound grouping, (3) OOF leak-free cross-validation, and (4) discrete regularized survival states."</w:t>
            </w:r>
          </w:p>
        </w:tc>
      </w:tr>
    </w:tbl>
    <w:p>
      <w:pPr>
        <w:spacing w:after="80"/>
      </w:pPr>
    </w:p>
    <w:p>
      <w:pPr>
        <w:keepNext/>
        <w:spacing w:before="280" w:after="120"/>
        <w:jc w:val="left"/>
      </w:pPr>
      <w:r>
        <w:rPr>
          <w:rFonts w:ascii="Times New Roman" w:hAnsi="Times New Roman"/>
          <w:b/>
          <w:color w:val="1F2937"/>
          <w:sz w:val="26"/>
        </w:rPr>
        <w:t>2.4.2 Mathematical Formalization of the Council Gating Function</w:t>
      </w:r>
    </w:p>
    <w:p>
      <w:pPr>
        <w:spacing w:line="360" w:lineRule="auto" w:after="120"/>
        <w:jc w:val="both"/>
      </w:pPr>
      <w:r>
        <w:rPr>
          <w:rFonts w:ascii="Times New Roman" w:hAnsi="Times New Roman"/>
          <w:color w:val="111827"/>
          <w:sz w:val="24"/>
        </w:rPr>
        <w:t>To balance intellectual scrutiny with operational responsiveness, ARIA models the Council activation threshold as a deterministic gating function G(Q). Given an incoming analytical query Q, the concierge evaluates the risk topology across three orthogonal dimensions: potential data leakage risk L(Q) in {0, 1}, feature non-linearity and collinearity ambiguity A(Q) in [0, 1], and model architecture trade-off severity M(Q) in {0, 1}. The gating state is defined as:</w:t>
      </w:r>
    </w:p>
    <w:p>
      <w:pPr>
        <w:pStyle w:val="ListBullet"/>
        <w:spacing w:line="312" w:lineRule="auto" w:after="80"/>
        <w:jc w:val="both"/>
      </w:pPr>
      <w:r>
        <w:rPr>
          <w:rFonts w:ascii="Times New Roman" w:hAnsi="Times New Roman"/>
          <w:b/>
          <w:sz w:val="24"/>
        </w:rPr>
        <w:t xml:space="preserve">Decision Rule: </w:t>
      </w:r>
      <w:r>
        <w:rPr>
          <w:rFonts w:ascii="Times New Roman" w:hAnsi="Times New Roman"/>
          <w:sz w:val="24"/>
        </w:rPr>
        <w:t>G(Q) = 1 if (L(Q) == 1 or A(Q) &gt; 0.60 or M(Q) == 1) else 0</w:t>
      </w:r>
    </w:p>
    <w:p>
      <w:pPr>
        <w:spacing w:line="360" w:lineRule="auto" w:after="120"/>
        <w:jc w:val="both"/>
      </w:pPr>
      <w:r>
        <w:rPr>
          <w:rFonts w:ascii="Times New Roman" w:hAnsi="Times New Roman"/>
          <w:color w:val="111827"/>
          <w:sz w:val="24"/>
        </w:rPr>
        <w:t>When G(Q) = 0, Alfred commissions the designated specialist directly in sub-second latency. When G(Q) = 1, Alfred convenes the multi-specialist adversarial roundtable before executing code. Table 2.2 formalizes this routing protocol across diverse analytical situations:</w:t>
      </w:r>
    </w:p>
    <w:tbl>
      <w:tblPr>
        <w:tblW w:type="auto" w:w="0"/>
        <w:jc w:val="center"/>
        <w:tblLayout w:type="fixed"/>
        <w:tblLook w:firstColumn="1" w:firstRow="1" w:lastColumn="0" w:lastRow="0" w:noHBand="0" w:noVBand="1" w:val="04A0"/>
      </w:tblPr>
      <w:tblGrid>
        <w:gridCol w:w="2257"/>
        <w:gridCol w:w="2257"/>
        <w:gridCol w:w="2257"/>
        <w:gridCol w:w="2257"/>
      </w:tblGrid>
      <w:tr>
        <w:tc>
          <w:tcPr>
            <w:tcW w:type="dxa" w:w="2592"/>
            <w:shd w:fill="1E3A8A"/>
            <w:tcMar>
              <w:top w:w="120" w:type="dxa"/>
              <w:bottom w:w="120" w:type="dxa"/>
              <w:left w:w="140" w:type="dxa"/>
              <w:right w:w="140" w:type="dxa"/>
            </w:tcMar>
            <w:tcBorders>
              <w:top w:val="single" w:sz="6" w:space="0" w:color="1E3A8A"/>
              <w:left w:val="single" w:sz="4" w:space="0" w:color="CBD5E1"/>
              <w:bottom w:val="single" w:sz="12" w:space="0" w:color="0F172A"/>
              <w:right w:val="single" w:sz="4" w:space="0" w:color="CBD5E1"/>
            </w:tcBorders>
          </w:tcPr>
          <w:p>
            <w:pPr>
              <w:spacing w:after="0"/>
              <w:jc w:val="center"/>
            </w:pPr>
            <w:r>
              <w:rPr>
                <w:rFonts w:ascii="Times New Roman" w:hAnsi="Times New Roman"/>
                <w:b/>
                <w:color w:val="FFFFFF"/>
                <w:sz w:val="21"/>
              </w:rPr>
              <w:t>Analytical Inquiry Category</w:t>
            </w:r>
          </w:p>
        </w:tc>
        <w:tc>
          <w:tcPr>
            <w:tcW w:type="dxa" w:w="1728"/>
            <w:shd w:fill="1E3A8A"/>
            <w:tcMar>
              <w:top w:w="120" w:type="dxa"/>
              <w:bottom w:w="120" w:type="dxa"/>
              <w:left w:w="140" w:type="dxa"/>
              <w:right w:w="140" w:type="dxa"/>
            </w:tcMar>
            <w:tcBorders>
              <w:top w:val="single" w:sz="6" w:space="0" w:color="1E3A8A"/>
              <w:left w:val="single" w:sz="4" w:space="0" w:color="CBD5E1"/>
              <w:bottom w:val="single" w:sz="12" w:space="0" w:color="0F172A"/>
              <w:right w:val="single" w:sz="4" w:space="0" w:color="CBD5E1"/>
            </w:tcBorders>
          </w:tcPr>
          <w:p>
            <w:pPr>
              <w:spacing w:after="0"/>
              <w:jc w:val="center"/>
            </w:pPr>
            <w:r>
              <w:rPr>
                <w:rFonts w:ascii="Times New Roman" w:hAnsi="Times New Roman"/>
                <w:b/>
                <w:color w:val="FFFFFF"/>
                <w:sz w:val="21"/>
              </w:rPr>
              <w:t>Gating State G(Q)</w:t>
            </w:r>
          </w:p>
        </w:tc>
        <w:tc>
          <w:tcPr>
            <w:tcW w:type="dxa" w:w="2304"/>
            <w:shd w:fill="1E3A8A"/>
            <w:tcMar>
              <w:top w:w="120" w:type="dxa"/>
              <w:bottom w:w="120" w:type="dxa"/>
              <w:left w:w="140" w:type="dxa"/>
              <w:right w:w="140" w:type="dxa"/>
            </w:tcMar>
            <w:tcBorders>
              <w:top w:val="single" w:sz="6" w:space="0" w:color="1E3A8A"/>
              <w:left w:val="single" w:sz="4" w:space="0" w:color="CBD5E1"/>
              <w:bottom w:val="single" w:sz="12" w:space="0" w:color="0F172A"/>
              <w:right w:val="single" w:sz="4" w:space="0" w:color="CBD5E1"/>
            </w:tcBorders>
          </w:tcPr>
          <w:p>
            <w:pPr>
              <w:spacing w:after="0"/>
              <w:jc w:val="center"/>
            </w:pPr>
            <w:r>
              <w:rPr>
                <w:rFonts w:ascii="Times New Roman" w:hAnsi="Times New Roman"/>
                <w:b/>
                <w:color w:val="FFFFFF"/>
                <w:sz w:val="21"/>
              </w:rPr>
              <w:t>Convened Council Roster</w:t>
            </w:r>
          </w:p>
        </w:tc>
        <w:tc>
          <w:tcPr>
            <w:tcW w:type="dxa" w:w="2405"/>
            <w:shd w:fill="1E3A8A"/>
            <w:tcMar>
              <w:top w:w="120" w:type="dxa"/>
              <w:bottom w:w="120" w:type="dxa"/>
              <w:left w:w="140" w:type="dxa"/>
              <w:right w:w="140" w:type="dxa"/>
            </w:tcMar>
            <w:tcBorders>
              <w:top w:val="single" w:sz="6" w:space="0" w:color="1E3A8A"/>
              <w:left w:val="single" w:sz="4" w:space="0" w:color="CBD5E1"/>
              <w:bottom w:val="single" w:sz="12" w:space="0" w:color="0F172A"/>
              <w:right w:val="single" w:sz="4" w:space="0" w:color="CBD5E1"/>
            </w:tcBorders>
          </w:tcPr>
          <w:p>
            <w:pPr>
              <w:spacing w:after="0"/>
              <w:jc w:val="center"/>
            </w:pPr>
            <w:r>
              <w:rPr>
                <w:rFonts w:ascii="Times New Roman" w:hAnsi="Times New Roman"/>
                <w:b/>
                <w:color w:val="FFFFFF"/>
                <w:sz w:val="21"/>
              </w:rPr>
              <w:t>Key Methodological Risk Addressed</w:t>
            </w:r>
          </w:p>
        </w:tc>
      </w:tr>
      <w:tr>
        <w:tc>
          <w:tcPr>
            <w:tcW w:type="dxa" w:w="2592"/>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left"/>
            </w:pPr>
            <w:r>
              <w:rPr>
                <w:rFonts w:ascii="Times New Roman" w:hAnsi="Times New Roman"/>
                <w:color w:val="1F2937"/>
                <w:sz w:val="20"/>
              </w:rPr>
              <w:t>Direct Warehouse Extraction</w:t>
            </w:r>
          </w:p>
        </w:tc>
        <w:tc>
          <w:tcPr>
            <w:tcW w:type="dxa" w:w="1728"/>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G(Q) = 0 (Direct)</w:t>
            </w:r>
          </w:p>
        </w:tc>
        <w:tc>
          <w:tcPr>
            <w:tcW w:type="dxa" w:w="2304"/>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Silas (SQL Engineer)</w:t>
            </w:r>
          </w:p>
        </w:tc>
        <w:tc>
          <w:tcPr>
            <w:tcW w:type="dxa" w:w="2405"/>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Query syntax efficiency, zero SELECT *</w:t>
            </w:r>
          </w:p>
        </w:tc>
      </w:tr>
      <w:tr>
        <w:tc>
          <w:tcPr>
            <w:tcW w:type="dxa" w:w="2592"/>
            <w:shd w:fill="F8FAFC"/>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left"/>
            </w:pPr>
            <w:r>
              <w:rPr>
                <w:rFonts w:ascii="Times New Roman" w:hAnsi="Times New Roman"/>
                <w:color w:val="1F2937"/>
                <w:sz w:val="20"/>
              </w:rPr>
              <w:t>Basic Column Profiling &amp; Null Audit</w:t>
            </w:r>
          </w:p>
        </w:tc>
        <w:tc>
          <w:tcPr>
            <w:tcW w:type="dxa" w:w="1728"/>
            <w:shd w:fill="F8FAFC"/>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G(Q) = 0 (Direct)</w:t>
            </w:r>
          </w:p>
        </w:tc>
        <w:tc>
          <w:tcPr>
            <w:tcW w:type="dxa" w:w="2304"/>
            <w:shd w:fill="F8FAFC"/>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Maya (Exploratory Data)</w:t>
            </w:r>
          </w:p>
        </w:tc>
        <w:tc>
          <w:tcPr>
            <w:tcW w:type="dxa" w:w="2405"/>
            <w:shd w:fill="F8FAFC"/>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Column data typing, basic null counts</w:t>
            </w:r>
          </w:p>
        </w:tc>
      </w:tr>
      <w:tr>
        <w:tc>
          <w:tcPr>
            <w:tcW w:type="dxa" w:w="2592"/>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left"/>
            </w:pPr>
            <w:r>
              <w:rPr>
                <w:rFonts w:ascii="Times New Roman" w:hAnsi="Times New Roman"/>
                <w:color w:val="1F2937"/>
                <w:sz w:val="20"/>
              </w:rPr>
              <w:t>Group Aggregations &amp; Target Encoding</w:t>
            </w:r>
          </w:p>
        </w:tc>
        <w:tc>
          <w:tcPr>
            <w:tcW w:type="dxa" w:w="1728"/>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G(Q) = 1 (Council)</w:t>
            </w:r>
          </w:p>
        </w:tc>
        <w:tc>
          <w:tcPr>
            <w:tcW w:type="dxa" w:w="2304"/>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Priya, Leo, Elena</w:t>
            </w:r>
          </w:p>
        </w:tc>
        <w:tc>
          <w:tcPr>
            <w:tcW w:type="dxa" w:w="2405"/>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Lookahead target leakage into test partition</w:t>
            </w:r>
          </w:p>
        </w:tc>
      </w:tr>
      <w:tr>
        <w:tc>
          <w:tcPr>
            <w:tcW w:type="dxa" w:w="2592"/>
            <w:shd w:fill="F8FAFC"/>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left"/>
            </w:pPr>
            <w:r>
              <w:rPr>
                <w:rFonts w:ascii="Times New Roman" w:hAnsi="Times New Roman"/>
                <w:color w:val="1F2937"/>
                <w:sz w:val="20"/>
              </w:rPr>
              <w:t>Non-Linear Age / Missingness Imputation</w:t>
            </w:r>
          </w:p>
        </w:tc>
        <w:tc>
          <w:tcPr>
            <w:tcW w:type="dxa" w:w="1728"/>
            <w:shd w:fill="F8FAFC"/>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G(Q) = 1 (Council)</w:t>
            </w:r>
          </w:p>
        </w:tc>
        <w:tc>
          <w:tcPr>
            <w:tcW w:type="dxa" w:w="2304"/>
            <w:shd w:fill="F8FAFC"/>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Maya, Leo, Julian</w:t>
            </w:r>
          </w:p>
        </w:tc>
        <w:tc>
          <w:tcPr>
            <w:tcW w:type="dxa" w:w="2405"/>
            <w:shd w:fill="F8FAFC"/>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Variance collapse, infant distortion, MCAR vs MAR</w:t>
            </w:r>
          </w:p>
        </w:tc>
      </w:tr>
      <w:tr>
        <w:tc>
          <w:tcPr>
            <w:tcW w:type="dxa" w:w="2592"/>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left"/>
            </w:pPr>
            <w:r>
              <w:rPr>
                <w:rFonts w:ascii="Times New Roman" w:hAnsi="Times New Roman"/>
                <w:color w:val="1F2937"/>
                <w:sz w:val="20"/>
              </w:rPr>
              <w:t>Algorithm Selection (Linear vs Ensemble)</w:t>
            </w:r>
          </w:p>
        </w:tc>
        <w:tc>
          <w:tcPr>
            <w:tcW w:type="dxa" w:w="1728"/>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G(Q) = 1 (Council)</w:t>
            </w:r>
          </w:p>
        </w:tc>
        <w:tc>
          <w:tcPr>
            <w:tcW w:type="dxa" w:w="2304"/>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Julian, Elena, Marcus</w:t>
            </w:r>
          </w:p>
        </w:tc>
        <w:tc>
          <w:tcPr>
            <w:tcW w:type="dxa" w:w="2405"/>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Overfitting, tree variance, regulatory explainability</w:t>
            </w:r>
          </w:p>
        </w:tc>
      </w:tr>
      <w:tr>
        <w:tc>
          <w:tcPr>
            <w:tcW w:type="dxa" w:w="2592"/>
            <w:shd w:fill="F8FAFC"/>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left"/>
            </w:pPr>
            <w:r>
              <w:rPr>
                <w:rFonts w:ascii="Times New Roman" w:hAnsi="Times New Roman"/>
                <w:color w:val="1F2937"/>
                <w:sz w:val="20"/>
              </w:rPr>
              <w:t>Asymmetric Cost Threshold Tuning</w:t>
            </w:r>
          </w:p>
        </w:tc>
        <w:tc>
          <w:tcPr>
            <w:tcW w:type="dxa" w:w="1728"/>
            <w:shd w:fill="F8FAFC"/>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G(Q) = 1 (Council)</w:t>
            </w:r>
          </w:p>
        </w:tc>
        <w:tc>
          <w:tcPr>
            <w:tcW w:type="dxa" w:w="2304"/>
            <w:shd w:fill="F8FAFC"/>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Elena, Julian, Marcus</w:t>
            </w:r>
          </w:p>
        </w:tc>
        <w:tc>
          <w:tcPr>
            <w:tcW w:type="dxa" w:w="2405"/>
            <w:shd w:fill="F8FAFC"/>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Disparate impact, false positive vs negative costs</w:t>
            </w:r>
          </w:p>
        </w:tc>
      </w:tr>
    </w:tbl>
    <w:p>
      <w:pPr>
        <w:spacing w:after="120"/>
      </w:pPr>
    </w:p>
    <w:p>
      <w:pPr>
        <w:keepNext/>
        <w:spacing w:before="280" w:after="120"/>
        <w:jc w:val="left"/>
      </w:pPr>
      <w:r>
        <w:rPr>
          <w:rFonts w:ascii="Times New Roman" w:hAnsi="Times New Roman"/>
          <w:b/>
          <w:color w:val="1F2937"/>
          <w:sz w:val="26"/>
        </w:rPr>
        <w:t>2.5 Invariant Enforcement: Zero Data Leakage and Clean Typography Standards</w:t>
      </w:r>
    </w:p>
    <w:p>
      <w:pPr>
        <w:spacing w:line="360" w:lineRule="auto" w:after="120"/>
        <w:jc w:val="both"/>
      </w:pPr>
      <w:r>
        <w:rPr>
          <w:rFonts w:ascii="Times New Roman" w:hAnsi="Times New Roman"/>
          <w:color w:val="111827"/>
          <w:sz w:val="24"/>
        </w:rPr>
        <w:t>ARIA enforces two critical architectural invariants across all agents and deliverables:</w:t>
      </w:r>
    </w:p>
    <w:p>
      <w:pPr>
        <w:pStyle w:val="ListBullet"/>
        <w:spacing w:line="312" w:lineRule="auto" w:after="80"/>
        <w:jc w:val="both"/>
      </w:pPr>
      <w:r>
        <w:rPr>
          <w:rFonts w:ascii="Times New Roman" w:hAnsi="Times New Roman"/>
          <w:b/>
          <w:sz w:val="24"/>
        </w:rPr>
        <w:t xml:space="preserve">1. Zero Data Leakage: </w:t>
      </w:r>
      <w:r>
        <w:rPr>
          <w:rFonts w:ascii="Times New Roman" w:hAnsi="Times New Roman"/>
          <w:sz w:val="24"/>
        </w:rPr>
        <w:t>Zero Data Leakage Invariant: Data preprocessing and feature engineering code must adhere to strict temporal and topological isolation. All statistical estimates (means, standard deviations, imputation medians, target frequency tables) are computed solely on the training partition. Transformers are fitted once via .fit_transform() and serialized into preprocessor.joblib, ensuring identical, contamination-free application during holdout testing and production inference.</w:t>
      </w:r>
    </w:p>
    <w:p>
      <w:pPr>
        <w:pStyle w:val="ListBullet"/>
        <w:spacing w:line="312" w:lineRule="auto" w:after="80"/>
        <w:jc w:val="both"/>
      </w:pPr>
      <w:r>
        <w:rPr>
          <w:rFonts w:ascii="Times New Roman" w:hAnsi="Times New Roman"/>
          <w:b/>
          <w:sz w:val="24"/>
        </w:rPr>
        <w:t xml:space="preserve">2. Clean Typography Standard: </w:t>
      </w:r>
      <w:r>
        <w:rPr>
          <w:rFonts w:ascii="Times New Roman" w:hAnsi="Times New Roman"/>
          <w:sz w:val="24"/>
        </w:rPr>
        <w:t>Zero Raw LaTeX Standard: Language models routinely output raw academic LaTeX strings (e.g. $\text{FamilySize} = \text{SibSp} + \text{Parch}$). Because Microsoft Word, terminal consoles, and standard Markdown viewers do not natively render LaTeX math, these equations appear as unreadable broken text. ARIA strictly enforces that all formulas and metrics be expressed as clean inline code spans (e.g. FamilySize = SibSp + Parch + 1, VIF = 1 / (1 - R²)) or standard Unicode mathematical typography (±, ², ≥, ≤, ×, ÷).</w:t>
      </w:r>
    </w:p>
    <w:p>
      <w:pPr>
        <w:keepNext/>
        <w:spacing w:before="280" w:after="120"/>
        <w:jc w:val="left"/>
      </w:pPr>
      <w:r>
        <w:rPr>
          <w:rFonts w:ascii="Times New Roman" w:hAnsi="Times New Roman"/>
          <w:b/>
          <w:color w:val="1F2937"/>
          <w:sz w:val="26"/>
        </w:rPr>
        <w:t>2.6 Formalization of Invariant Mathematical Contracts</w:t>
      </w:r>
    </w:p>
    <w:p>
      <w:pPr>
        <w:spacing w:line="360" w:lineRule="auto" w:after="120"/>
        <w:jc w:val="both"/>
      </w:pPr>
      <w:r>
        <w:rPr>
          <w:rFonts w:ascii="Times New Roman" w:hAnsi="Times New Roman"/>
          <w:color w:val="111827"/>
          <w:sz w:val="24"/>
        </w:rPr>
        <w:t>To guarantee mathematical rigor throughout the automated pipeline, all statistical computations are governed by four formal contracts:</w:t>
      </w:r>
    </w:p>
    <w:p>
      <w:pPr>
        <w:pStyle w:val="ListBullet"/>
        <w:spacing w:line="312" w:lineRule="auto" w:after="80"/>
        <w:jc w:val="both"/>
      </w:pPr>
      <w:r>
        <w:rPr>
          <w:rFonts w:ascii="Times New Roman" w:hAnsi="Times New Roman"/>
          <w:b/>
          <w:sz w:val="24"/>
        </w:rPr>
        <w:t xml:space="preserve">Contract 1 (Multicollinearity): </w:t>
      </w:r>
      <w:r>
        <w:rPr>
          <w:rFonts w:ascii="Times New Roman" w:hAnsi="Times New Roman"/>
          <w:sz w:val="24"/>
        </w:rPr>
        <w:t>Multicollinearity Pruning: Variance Inflation Factor is computed as VIF_j = 1 / (1 - R_j²). Features exhibiting VIF &gt; 10 are eliminated or projected onto orthogonal principal components via PCA.</w:t>
      </w:r>
    </w:p>
    <w:p>
      <w:pPr>
        <w:pStyle w:val="ListBullet"/>
        <w:spacing w:line="312" w:lineRule="auto" w:after="80"/>
        <w:jc w:val="both"/>
      </w:pPr>
      <w:r>
        <w:rPr>
          <w:rFonts w:ascii="Times New Roman" w:hAnsi="Times New Roman"/>
          <w:b/>
          <w:sz w:val="24"/>
        </w:rPr>
        <w:t xml:space="preserve">Contract 2 (Target Smoothing): </w:t>
      </w:r>
      <w:r>
        <w:rPr>
          <w:rFonts w:ascii="Times New Roman" w:hAnsi="Times New Roman"/>
          <w:sz w:val="24"/>
        </w:rPr>
        <w:t>Leak-Free Smoothed Target Encoding: For categorical entity i, the smoothed estimate is calculated as S_i = λ_i * y_mean_i + (1 - λ_i) * y_mean_global, where smoothing weight λ_i = count_i / (count_i + m). This estimate is evaluated strictly within cross-validation folds.</w:t>
      </w:r>
    </w:p>
    <w:p>
      <w:pPr>
        <w:pStyle w:val="ListBullet"/>
        <w:spacing w:line="312" w:lineRule="auto" w:after="80"/>
        <w:jc w:val="both"/>
      </w:pPr>
      <w:r>
        <w:rPr>
          <w:rFonts w:ascii="Times New Roman" w:hAnsi="Times New Roman"/>
          <w:b/>
          <w:sz w:val="24"/>
        </w:rPr>
        <w:t xml:space="preserve">Contract 3 (Generalization Gap): </w:t>
      </w:r>
      <w:r>
        <w:rPr>
          <w:rFonts w:ascii="Times New Roman" w:hAnsi="Times New Roman"/>
          <w:sz w:val="24"/>
        </w:rPr>
        <w:t>Overfitting Guardrail: Generalization Gap is continuously tracked as Gap = Score_train - Score_cv. If Gap &gt; 0.10, automated hyperparameter penalties are applied (reducing tree depth, increasing leaf samples, adding L2 penalties).</w:t>
      </w:r>
    </w:p>
    <w:p>
      <w:pPr>
        <w:pStyle w:val="ListBullet"/>
        <w:spacing w:line="312" w:lineRule="auto" w:after="80"/>
        <w:jc w:val="both"/>
      </w:pPr>
      <w:r>
        <w:rPr>
          <w:rFonts w:ascii="Times New Roman" w:hAnsi="Times New Roman"/>
          <w:b/>
          <w:sz w:val="24"/>
        </w:rPr>
        <w:t xml:space="preserve">Contract 4 (Cost Optimization): </w:t>
      </w:r>
      <w:r>
        <w:rPr>
          <w:rFonts w:ascii="Times New Roman" w:hAnsi="Times New Roman"/>
          <w:sz w:val="24"/>
        </w:rPr>
        <w:t>Expected Value Decision Optimization: Optimal classification cutoff threshold_opt is selected by maximizing Expected Monetary Value: EV = (TP * V_TP) - (FP * C_FP) - (FN * C_FN).</w:t>
      </w:r>
    </w:p>
    <w:p>
      <w:r>
        <w:br w:type="page"/>
      </w:r>
    </w:p>
    <w:p>
      <w:pPr>
        <w:keepNext/>
        <w:spacing w:before="360" w:after="160"/>
        <w:jc w:val="left"/>
      </w:pPr>
      <w:r>
        <w:rPr>
          <w:rFonts w:ascii="Times New Roman" w:hAnsi="Times New Roman"/>
          <w:b/>
          <w:color w:val="1E3A8A"/>
          <w:sz w:val="30"/>
        </w:rPr>
        <w:t>CHAPTER 3: IMPLEMENTATION, METHODOLOGY &amp; EXPERIMENTAL EVALUATION</w:t>
      </w:r>
    </w:p>
    <w:p>
      <w:pPr>
        <w:keepNext/>
        <w:spacing w:before="280" w:after="120"/>
        <w:jc w:val="left"/>
      </w:pPr>
      <w:r>
        <w:rPr>
          <w:rFonts w:ascii="Times New Roman" w:hAnsi="Times New Roman"/>
          <w:b/>
          <w:color w:val="1F2937"/>
          <w:sz w:val="26"/>
        </w:rPr>
        <w:t>3.1 Software Architecture &amp; Reproducible Execution Pipeline</w:t>
      </w:r>
    </w:p>
    <w:p>
      <w:pPr>
        <w:spacing w:line="360" w:lineRule="auto" w:after="120"/>
        <w:jc w:val="both"/>
      </w:pPr>
      <w:r>
        <w:rPr>
          <w:rFonts w:ascii="Times New Roman" w:hAnsi="Times New Roman"/>
          <w:color w:val="111827"/>
          <w:sz w:val="24"/>
        </w:rPr>
        <w:t>To satisfy the rigorous reproducibility demands of enterprise analytics, ARIA implements a hermetic code execution environment. Rather than relying on transient in-memory REPL variables, each specialist agent generates standalone, modular Python and SQL scripts stored in the 'scripts/' directory. The state of the data science lifecycle is externalized onto the local file system through an immutable, stage-gated directory hierarchy:</w:t>
      </w:r>
    </w:p>
    <w:p>
      <w:pPr>
        <w:pStyle w:val="ListBullet"/>
        <w:spacing w:line="312" w:lineRule="auto" w:after="80"/>
        <w:jc w:val="both"/>
      </w:pPr>
      <w:r>
        <w:rPr>
          <w:rFonts w:ascii="Times New Roman" w:hAnsi="Times New Roman"/>
          <w:b/>
          <w:sz w:val="24"/>
        </w:rPr>
        <w:t xml:space="preserve">1. Raw Ingestion Layer: </w:t>
      </w:r>
      <w:r>
        <w:rPr>
          <w:rFonts w:ascii="Times New Roman" w:hAnsi="Times New Roman"/>
          <w:sz w:val="24"/>
        </w:rPr>
        <w:t>data/raw/: Stores raw analytical extracts generated by Silas via DuckDB or PostgreSQL queries, serialized in Apache Parquet format to preserve column schema metadata and reduce storage footprint by up to 75% compared to CSV.</w:t>
      </w:r>
    </w:p>
    <w:p>
      <w:pPr>
        <w:pStyle w:val="ListBullet"/>
        <w:spacing w:line="312" w:lineRule="auto" w:after="80"/>
        <w:jc w:val="both"/>
      </w:pPr>
      <w:r>
        <w:rPr>
          <w:rFonts w:ascii="Times New Roman" w:hAnsi="Times New Roman"/>
          <w:b/>
          <w:sz w:val="24"/>
        </w:rPr>
        <w:t xml:space="preserve">2. Preprocessed Partition Layer: </w:t>
      </w:r>
      <w:r>
        <w:rPr>
          <w:rFonts w:ascii="Times New Roman" w:hAnsi="Times New Roman"/>
          <w:sz w:val="24"/>
        </w:rPr>
        <w:t>data/processed/: Contains clean datasets transformed by Leo, partitioned strictly into train_cleaned.parquet and test_cleaned.parquet. The fitted Scikit-Learn ColumnTransformer pipeline is serialized to models/preprocessor.joblib.</w:t>
      </w:r>
    </w:p>
    <w:p>
      <w:pPr>
        <w:pStyle w:val="ListBullet"/>
        <w:spacing w:line="312" w:lineRule="auto" w:after="80"/>
        <w:jc w:val="both"/>
      </w:pPr>
      <w:r>
        <w:rPr>
          <w:rFonts w:ascii="Times New Roman" w:hAnsi="Times New Roman"/>
          <w:b/>
          <w:sz w:val="24"/>
        </w:rPr>
        <w:t xml:space="preserve">3. Feature Matrix Layer: </w:t>
      </w:r>
      <w:r>
        <w:rPr>
          <w:rFonts w:ascii="Times New Roman" w:hAnsi="Times New Roman"/>
          <w:sz w:val="24"/>
        </w:rPr>
        <w:t>data/features/: Stores high-order feature matrices (X_train.parquet, y_train.parquet, X_test.parquet, y_test.parquet) output by Priya following cyclical encoding, group aggregations, and RFECV selection.</w:t>
      </w:r>
    </w:p>
    <w:p>
      <w:pPr>
        <w:pStyle w:val="ListBullet"/>
        <w:spacing w:line="312" w:lineRule="auto" w:after="80"/>
        <w:jc w:val="both"/>
      </w:pPr>
      <w:r>
        <w:rPr>
          <w:rFonts w:ascii="Times New Roman" w:hAnsi="Times New Roman"/>
          <w:b/>
          <w:sz w:val="24"/>
        </w:rPr>
        <w:t xml:space="preserve">4. Model Artifact Layer: </w:t>
      </w:r>
      <w:r>
        <w:rPr>
          <w:rFonts w:ascii="Times New Roman" w:hAnsi="Times New Roman"/>
          <w:sz w:val="24"/>
        </w:rPr>
        <w:t>models/: Contains champion model binaries (champion_model.joblib), Optuna hyperparameter study databases (sqlite:///optuna_study.db), and comprehensive benchmark metrics (model_benchmark_results.json).</w:t>
      </w:r>
    </w:p>
    <w:p>
      <w:pPr>
        <w:pStyle w:val="ListBullet"/>
        <w:spacing w:line="312" w:lineRule="auto" w:after="80"/>
        <w:jc w:val="both"/>
      </w:pPr>
      <w:r>
        <w:rPr>
          <w:rFonts w:ascii="Times New Roman" w:hAnsi="Times New Roman"/>
          <w:b/>
          <w:sz w:val="24"/>
        </w:rPr>
        <w:t xml:space="preserve">5. Storytelling &amp; Audit Layer: </w:t>
      </w:r>
      <w:r>
        <w:rPr>
          <w:rFonts w:ascii="Times New Roman" w:hAnsi="Times New Roman"/>
          <w:sz w:val="24"/>
        </w:rPr>
        <w:t>reports/published/: Houses executive Word deliverables ([Project]_Report.docx) compiled by Marcus using the Anthropic DOCX specification, accompanied by publication-grade visual charts (300 DPI PNGs) in reports/assets/.</w:t>
      </w:r>
    </w:p>
    <w:p>
      <w:pPr>
        <w:keepNext/>
        <w:spacing w:before="280" w:after="120"/>
        <w:jc w:val="left"/>
      </w:pPr>
      <w:r>
        <w:rPr>
          <w:rFonts w:ascii="Times New Roman" w:hAnsi="Times New Roman"/>
          <w:b/>
          <w:color w:val="1F2937"/>
          <w:sz w:val="26"/>
        </w:rPr>
        <w:t>3.2 Experimental Setup &amp; Benchmark Datasets</w:t>
      </w:r>
    </w:p>
    <w:p>
      <w:pPr>
        <w:spacing w:line="360" w:lineRule="auto" w:after="120"/>
        <w:jc w:val="both"/>
      </w:pPr>
      <w:r>
        <w:rPr>
          <w:rFonts w:ascii="Times New Roman" w:hAnsi="Times New Roman"/>
          <w:color w:val="111827"/>
          <w:sz w:val="24"/>
        </w:rPr>
        <w:t>To rigorously evaluate the predictive performance, generalization stability, and data leakage resilience of ARIA, we conducted comprehensive empirical evaluations across three canonical enterprise tabular benchmark datasets representing diverse structural topologies:</w:t>
      </w:r>
    </w:p>
    <w:p>
      <w:pPr>
        <w:pStyle w:val="ListBullet"/>
        <w:spacing w:line="312" w:lineRule="auto" w:after="80"/>
        <w:jc w:val="both"/>
      </w:pPr>
      <w:r>
        <w:rPr>
          <w:rFonts w:ascii="Times New Roman" w:hAnsi="Times New Roman"/>
          <w:b/>
          <w:sz w:val="24"/>
        </w:rPr>
        <w:t xml:space="preserve">1. Titanic Demographic Dataset: </w:t>
      </w:r>
      <w:r>
        <w:rPr>
          <w:rFonts w:ascii="Times New Roman" w:hAnsi="Times New Roman"/>
          <w:sz w:val="24"/>
        </w:rPr>
        <w:t>Titanic Demographic Survival: A canonical benchmark exhibiting complex demographic interactions, missing values in Age (19.8%) and Cabin (77.1%), non-linear age mortality patterns, and strong group-level social dependencies (families and ticket sharing).</w:t>
      </w:r>
    </w:p>
    <w:p>
      <w:pPr>
        <w:pStyle w:val="ListBullet"/>
        <w:spacing w:line="312" w:lineRule="auto" w:after="80"/>
        <w:jc w:val="both"/>
      </w:pPr>
      <w:r>
        <w:rPr>
          <w:rFonts w:ascii="Times New Roman" w:hAnsi="Times New Roman"/>
          <w:b/>
          <w:sz w:val="24"/>
        </w:rPr>
        <w:t xml:space="preserve">2. Telco Customer Churn Dataset: </w:t>
      </w:r>
      <w:r>
        <w:rPr>
          <w:rFonts w:ascii="Times New Roman" w:hAnsi="Times New Roman"/>
          <w:sz w:val="24"/>
        </w:rPr>
        <w:t>Telco Customer Churn: An enterprise retention dataset featuring 7,043 customer accounts across 21 features, characterized by high-cardinality nominal services, skewed billing amounts, and contract tenure dynamics.</w:t>
      </w:r>
    </w:p>
    <w:p>
      <w:pPr>
        <w:pStyle w:val="ListBullet"/>
        <w:spacing w:line="312" w:lineRule="auto" w:after="80"/>
        <w:jc w:val="both"/>
      </w:pPr>
      <w:r>
        <w:rPr>
          <w:rFonts w:ascii="Times New Roman" w:hAnsi="Times New Roman"/>
          <w:b/>
          <w:sz w:val="24"/>
        </w:rPr>
        <w:t xml:space="preserve">3. German Credit Risk Dataset: </w:t>
      </w:r>
      <w:r>
        <w:rPr>
          <w:rFonts w:ascii="Times New Roman" w:hAnsi="Times New Roman"/>
          <w:sz w:val="24"/>
        </w:rPr>
        <w:t>German Credit Risk Scoring: A high-stakes financial risk dataset comprising 1,000 loan applicants evaluated across 20 financial and personal attributes, featuring severe class imbalance and asymmetric error costs where false approvals (False Negatives) carry severe economic penalties.</w:t>
      </w:r>
    </w:p>
    <w:tbl>
      <w:tblPr>
        <w:tblW w:type="auto" w:w="0"/>
        <w:jc w:val="center"/>
        <w:tblLayout w:type="fixed"/>
        <w:tblLook w:firstColumn="1" w:firstRow="1" w:lastColumn="0" w:lastRow="0" w:noHBand="0" w:noVBand="1" w:val="04A0"/>
      </w:tblPr>
      <w:tblGrid>
        <w:gridCol w:w="1505"/>
        <w:gridCol w:w="1505"/>
        <w:gridCol w:w="1505"/>
        <w:gridCol w:w="1505"/>
        <w:gridCol w:w="1505"/>
        <w:gridCol w:w="1505"/>
      </w:tblGrid>
      <w:tr>
        <w:tc>
          <w:tcPr>
            <w:tcW w:type="dxa" w:w="2160"/>
            <w:shd w:fill="1E3A8A"/>
            <w:tcMar>
              <w:top w:w="120" w:type="dxa"/>
              <w:bottom w:w="120" w:type="dxa"/>
              <w:left w:w="140" w:type="dxa"/>
              <w:right w:w="140" w:type="dxa"/>
            </w:tcMar>
            <w:tcBorders>
              <w:top w:val="single" w:sz="6" w:space="0" w:color="1E3A8A"/>
              <w:left w:val="single" w:sz="4" w:space="0" w:color="CBD5E1"/>
              <w:bottom w:val="single" w:sz="12" w:space="0" w:color="0F172A"/>
              <w:right w:val="single" w:sz="4" w:space="0" w:color="CBD5E1"/>
            </w:tcBorders>
          </w:tcPr>
          <w:p>
            <w:pPr>
              <w:spacing w:after="0"/>
              <w:jc w:val="center"/>
            </w:pPr>
            <w:r>
              <w:rPr>
                <w:rFonts w:ascii="Times New Roman" w:hAnsi="Times New Roman"/>
                <w:b/>
                <w:color w:val="FFFFFF"/>
                <w:sz w:val="21"/>
              </w:rPr>
              <w:t>Benchmark Dataset</w:t>
            </w:r>
          </w:p>
        </w:tc>
        <w:tc>
          <w:tcPr>
            <w:tcW w:type="dxa" w:w="1872"/>
            <w:shd w:fill="1E3A8A"/>
            <w:tcMar>
              <w:top w:w="120" w:type="dxa"/>
              <w:bottom w:w="120" w:type="dxa"/>
              <w:left w:w="140" w:type="dxa"/>
              <w:right w:w="140" w:type="dxa"/>
            </w:tcMar>
            <w:tcBorders>
              <w:top w:val="single" w:sz="6" w:space="0" w:color="1E3A8A"/>
              <w:left w:val="single" w:sz="4" w:space="0" w:color="CBD5E1"/>
              <w:bottom w:val="single" w:sz="12" w:space="0" w:color="0F172A"/>
              <w:right w:val="single" w:sz="4" w:space="0" w:color="CBD5E1"/>
            </w:tcBorders>
          </w:tcPr>
          <w:p>
            <w:pPr>
              <w:spacing w:after="0"/>
              <w:jc w:val="center"/>
            </w:pPr>
            <w:r>
              <w:rPr>
                <w:rFonts w:ascii="Times New Roman" w:hAnsi="Times New Roman"/>
                <w:b/>
                <w:color w:val="FFFFFF"/>
                <w:sz w:val="21"/>
              </w:rPr>
              <w:t>Domain</w:t>
            </w:r>
          </w:p>
        </w:tc>
        <w:tc>
          <w:tcPr>
            <w:tcW w:type="dxa" w:w="1584"/>
            <w:shd w:fill="1E3A8A"/>
            <w:tcMar>
              <w:top w:w="120" w:type="dxa"/>
              <w:bottom w:w="120" w:type="dxa"/>
              <w:left w:w="140" w:type="dxa"/>
              <w:right w:w="140" w:type="dxa"/>
            </w:tcMar>
            <w:tcBorders>
              <w:top w:val="single" w:sz="6" w:space="0" w:color="1E3A8A"/>
              <w:left w:val="single" w:sz="4" w:space="0" w:color="CBD5E1"/>
              <w:bottom w:val="single" w:sz="12" w:space="0" w:color="0F172A"/>
              <w:right w:val="single" w:sz="4" w:space="0" w:color="CBD5E1"/>
            </w:tcBorders>
          </w:tcPr>
          <w:p>
            <w:pPr>
              <w:spacing w:after="0"/>
              <w:jc w:val="center"/>
            </w:pPr>
            <w:r>
              <w:rPr>
                <w:rFonts w:ascii="Times New Roman" w:hAnsi="Times New Roman"/>
                <w:b/>
                <w:color w:val="FFFFFF"/>
                <w:sz w:val="21"/>
              </w:rPr>
              <w:t>Sample Size (N)</w:t>
            </w:r>
          </w:p>
        </w:tc>
        <w:tc>
          <w:tcPr>
            <w:tcW w:type="dxa" w:w="1296"/>
            <w:shd w:fill="1E3A8A"/>
            <w:tcMar>
              <w:top w:w="120" w:type="dxa"/>
              <w:bottom w:w="120" w:type="dxa"/>
              <w:left w:w="140" w:type="dxa"/>
              <w:right w:w="140" w:type="dxa"/>
            </w:tcMar>
            <w:tcBorders>
              <w:top w:val="single" w:sz="6" w:space="0" w:color="1E3A8A"/>
              <w:left w:val="single" w:sz="4" w:space="0" w:color="CBD5E1"/>
              <w:bottom w:val="single" w:sz="12" w:space="0" w:color="0F172A"/>
              <w:right w:val="single" w:sz="4" w:space="0" w:color="CBD5E1"/>
            </w:tcBorders>
          </w:tcPr>
          <w:p>
            <w:pPr>
              <w:spacing w:after="0"/>
              <w:jc w:val="center"/>
            </w:pPr>
            <w:r>
              <w:rPr>
                <w:rFonts w:ascii="Times New Roman" w:hAnsi="Times New Roman"/>
                <w:b/>
                <w:color w:val="FFFFFF"/>
                <w:sz w:val="21"/>
              </w:rPr>
              <w:t>Raw Features</w:t>
            </w:r>
          </w:p>
        </w:tc>
        <w:tc>
          <w:tcPr>
            <w:tcW w:type="dxa" w:w="1152"/>
            <w:shd w:fill="1E3A8A"/>
            <w:tcMar>
              <w:top w:w="120" w:type="dxa"/>
              <w:bottom w:w="120" w:type="dxa"/>
              <w:left w:w="140" w:type="dxa"/>
              <w:right w:w="140" w:type="dxa"/>
            </w:tcMar>
            <w:tcBorders>
              <w:top w:val="single" w:sz="6" w:space="0" w:color="1E3A8A"/>
              <w:left w:val="single" w:sz="4" w:space="0" w:color="CBD5E1"/>
              <w:bottom w:val="single" w:sz="12" w:space="0" w:color="0F172A"/>
              <w:right w:val="single" w:sz="4" w:space="0" w:color="CBD5E1"/>
            </w:tcBorders>
          </w:tcPr>
          <w:p>
            <w:pPr>
              <w:spacing w:after="0"/>
              <w:jc w:val="center"/>
            </w:pPr>
            <w:r>
              <w:rPr>
                <w:rFonts w:ascii="Times New Roman" w:hAnsi="Times New Roman"/>
                <w:b/>
                <w:color w:val="FFFFFF"/>
                <w:sz w:val="21"/>
              </w:rPr>
              <w:t>Missing %</w:t>
            </w:r>
          </w:p>
        </w:tc>
        <w:tc>
          <w:tcPr>
            <w:tcW w:type="dxa" w:w="1685"/>
            <w:shd w:fill="1E3A8A"/>
            <w:tcMar>
              <w:top w:w="120" w:type="dxa"/>
              <w:bottom w:w="120" w:type="dxa"/>
              <w:left w:w="140" w:type="dxa"/>
              <w:right w:w="140" w:type="dxa"/>
            </w:tcMar>
            <w:tcBorders>
              <w:top w:val="single" w:sz="6" w:space="0" w:color="1E3A8A"/>
              <w:left w:val="single" w:sz="4" w:space="0" w:color="CBD5E1"/>
              <w:bottom w:val="single" w:sz="12" w:space="0" w:color="0F172A"/>
              <w:right w:val="single" w:sz="4" w:space="0" w:color="CBD5E1"/>
            </w:tcBorders>
          </w:tcPr>
          <w:p>
            <w:pPr>
              <w:spacing w:after="0"/>
              <w:jc w:val="center"/>
            </w:pPr>
            <w:r>
              <w:rPr>
                <w:rFonts w:ascii="Times New Roman" w:hAnsi="Times New Roman"/>
                <w:b/>
                <w:color w:val="FFFFFF"/>
                <w:sz w:val="21"/>
              </w:rPr>
              <w:t>Target Modality</w:t>
            </w:r>
          </w:p>
        </w:tc>
      </w:tr>
      <w:tr>
        <w:tc>
          <w:tcPr>
            <w:tcW w:type="dxa" w:w="2160"/>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left"/>
            </w:pPr>
            <w:r>
              <w:rPr>
                <w:rFonts w:ascii="Times New Roman" w:hAnsi="Times New Roman"/>
                <w:color w:val="1F2937"/>
                <w:sz w:val="20"/>
              </w:rPr>
              <w:t>Titanic Survival</w:t>
            </w:r>
          </w:p>
        </w:tc>
        <w:tc>
          <w:tcPr>
            <w:tcW w:type="dxa" w:w="1872"/>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Demographic / Maritime</w:t>
            </w:r>
          </w:p>
        </w:tc>
        <w:tc>
          <w:tcPr>
            <w:tcW w:type="dxa" w:w="1584"/>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1,309</w:t>
            </w:r>
          </w:p>
        </w:tc>
        <w:tc>
          <w:tcPr>
            <w:tcW w:type="dxa" w:w="1296"/>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11</w:t>
            </w:r>
          </w:p>
        </w:tc>
        <w:tc>
          <w:tcPr>
            <w:tcW w:type="dxa" w:w="1152"/>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20.1%</w:t>
            </w:r>
          </w:p>
        </w:tc>
        <w:tc>
          <w:tcPr>
            <w:tcW w:type="dxa" w:w="1685"/>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Binary (Survived)</w:t>
            </w:r>
          </w:p>
        </w:tc>
      </w:tr>
      <w:tr>
        <w:tc>
          <w:tcPr>
            <w:tcW w:type="dxa" w:w="2160"/>
            <w:shd w:fill="F8FAFC"/>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left"/>
            </w:pPr>
            <w:r>
              <w:rPr>
                <w:rFonts w:ascii="Times New Roman" w:hAnsi="Times New Roman"/>
                <w:color w:val="1F2937"/>
                <w:sz w:val="20"/>
              </w:rPr>
              <w:t>Telco Customer Churn</w:t>
            </w:r>
          </w:p>
        </w:tc>
        <w:tc>
          <w:tcPr>
            <w:tcW w:type="dxa" w:w="1872"/>
            <w:shd w:fill="F8FAFC"/>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Telecommunications</w:t>
            </w:r>
          </w:p>
        </w:tc>
        <w:tc>
          <w:tcPr>
            <w:tcW w:type="dxa" w:w="1584"/>
            <w:shd w:fill="F8FAFC"/>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7,043</w:t>
            </w:r>
          </w:p>
        </w:tc>
        <w:tc>
          <w:tcPr>
            <w:tcW w:type="dxa" w:w="1296"/>
            <w:shd w:fill="F8FAFC"/>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20</w:t>
            </w:r>
          </w:p>
        </w:tc>
        <w:tc>
          <w:tcPr>
            <w:tcW w:type="dxa" w:w="1152"/>
            <w:shd w:fill="F8FAFC"/>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0.2%</w:t>
            </w:r>
          </w:p>
        </w:tc>
        <w:tc>
          <w:tcPr>
            <w:tcW w:type="dxa" w:w="1685"/>
            <w:shd w:fill="F8FAFC"/>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Binary (Churn)</w:t>
            </w:r>
          </w:p>
        </w:tc>
      </w:tr>
      <w:tr>
        <w:tc>
          <w:tcPr>
            <w:tcW w:type="dxa" w:w="2160"/>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left"/>
            </w:pPr>
            <w:r>
              <w:rPr>
                <w:rFonts w:ascii="Times New Roman" w:hAnsi="Times New Roman"/>
                <w:color w:val="1F2937"/>
                <w:sz w:val="20"/>
              </w:rPr>
              <w:t>German Credit Risk</w:t>
            </w:r>
          </w:p>
        </w:tc>
        <w:tc>
          <w:tcPr>
            <w:tcW w:type="dxa" w:w="1872"/>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Financial Risk</w:t>
            </w:r>
          </w:p>
        </w:tc>
        <w:tc>
          <w:tcPr>
            <w:tcW w:type="dxa" w:w="1584"/>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1,000</w:t>
            </w:r>
          </w:p>
        </w:tc>
        <w:tc>
          <w:tcPr>
            <w:tcW w:type="dxa" w:w="1296"/>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20</w:t>
            </w:r>
          </w:p>
        </w:tc>
        <w:tc>
          <w:tcPr>
            <w:tcW w:type="dxa" w:w="1152"/>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0.0%</w:t>
            </w:r>
          </w:p>
        </w:tc>
        <w:tc>
          <w:tcPr>
            <w:tcW w:type="dxa" w:w="1685"/>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Binary (Credit Risk)</w:t>
            </w:r>
          </w:p>
        </w:tc>
      </w:tr>
    </w:tbl>
    <w:p>
      <w:pPr>
        <w:spacing w:after="120"/>
      </w:pPr>
    </w:p>
    <w:p>
      <w:pPr>
        <w:keepNext/>
        <w:spacing w:before="280" w:after="120"/>
        <w:jc w:val="left"/>
      </w:pPr>
      <w:r>
        <w:rPr>
          <w:rFonts w:ascii="Times New Roman" w:hAnsi="Times New Roman"/>
          <w:b/>
          <w:color w:val="1F2937"/>
          <w:sz w:val="26"/>
        </w:rPr>
        <w:t>3.3 Multi-Agent Ablation Analysis: Single-Agent vs. Council Debate</w:t>
      </w:r>
    </w:p>
    <w:p>
      <w:pPr>
        <w:spacing w:line="360" w:lineRule="auto" w:after="120"/>
        <w:jc w:val="both"/>
      </w:pPr>
      <w:r>
        <w:rPr>
          <w:rFonts w:ascii="Times New Roman" w:hAnsi="Times New Roman"/>
          <w:color w:val="111827"/>
          <w:sz w:val="24"/>
        </w:rPr>
        <w:t>A central research question of this dissertation is whether multi-agent adversarial peer review provides measurable quantitative uplift over traditional single-agent LLMs and classical AutoML baselines. To investigate this, we performed an extensive ablation study comparing four distinct methodological paradigms under strictly identical train/test splits (80% train, 20% holdout test):</w:t>
      </w:r>
    </w:p>
    <w:p>
      <w:pPr>
        <w:pStyle w:val="ListBullet"/>
        <w:spacing w:line="312" w:lineRule="auto" w:after="80"/>
        <w:jc w:val="both"/>
      </w:pPr>
      <w:r>
        <w:rPr>
          <w:rFonts w:ascii="Times New Roman" w:hAnsi="Times New Roman"/>
          <w:b/>
          <w:sz w:val="24"/>
        </w:rPr>
        <w:t xml:space="preserve">System A: </w:t>
      </w:r>
      <w:r>
        <w:rPr>
          <w:rFonts w:ascii="Times New Roman" w:hAnsi="Times New Roman"/>
          <w:sz w:val="24"/>
        </w:rPr>
        <w:t>Baseline 1 (Default AutoML): Standard scikit-learn pipeline utilizing simple median imputation, one-hot encoding, and default Random Forest.</w:t>
      </w:r>
    </w:p>
    <w:p>
      <w:pPr>
        <w:pStyle w:val="ListBullet"/>
        <w:spacing w:line="312" w:lineRule="auto" w:after="80"/>
        <w:jc w:val="both"/>
      </w:pPr>
      <w:r>
        <w:rPr>
          <w:rFonts w:ascii="Times New Roman" w:hAnsi="Times New Roman"/>
          <w:b/>
          <w:sz w:val="24"/>
        </w:rPr>
        <w:t xml:space="preserve">System B: </w:t>
      </w:r>
      <w:r>
        <w:rPr>
          <w:rFonts w:ascii="Times New Roman" w:hAnsi="Times New Roman"/>
          <w:sz w:val="24"/>
        </w:rPr>
        <w:t>Baseline 2 (Single-Agent LLM): Monolithic GPT-4 / Claude prompt given complete end-to-end instructions to clean data, engineer features, and train a model without specialist modularization.</w:t>
      </w:r>
    </w:p>
    <w:p>
      <w:pPr>
        <w:pStyle w:val="ListBullet"/>
        <w:spacing w:line="312" w:lineRule="auto" w:after="80"/>
        <w:jc w:val="both"/>
      </w:pPr>
      <w:r>
        <w:rPr>
          <w:rFonts w:ascii="Times New Roman" w:hAnsi="Times New Roman"/>
          <w:b/>
          <w:sz w:val="24"/>
        </w:rPr>
        <w:t xml:space="preserve">System C: </w:t>
      </w:r>
      <w:r>
        <w:rPr>
          <w:rFonts w:ascii="Times New Roman" w:hAnsi="Times New Roman"/>
          <w:sz w:val="24"/>
        </w:rPr>
        <w:t>Baseline 3 (Unconstrained Multi-Agent): Autonomous multi-agent framework (CrewAI style) where agents collaborate without adversarial critique or strict invariant rules.</w:t>
      </w:r>
    </w:p>
    <w:p>
      <w:pPr>
        <w:pStyle w:val="ListBullet"/>
        <w:spacing w:line="312" w:lineRule="auto" w:after="80"/>
        <w:jc w:val="both"/>
      </w:pPr>
      <w:r>
        <w:rPr>
          <w:rFonts w:ascii="Times New Roman" w:hAnsi="Times New Roman"/>
          <w:b/>
          <w:sz w:val="24"/>
        </w:rPr>
        <w:t xml:space="preserve">System D: </w:t>
      </w:r>
      <w:r>
        <w:rPr>
          <w:rFonts w:ascii="Times New Roman" w:hAnsi="Times New Roman"/>
          <w:sz w:val="24"/>
        </w:rPr>
        <w:t>Proposed System (ARIA with Adversarial Council): The full ARIA framework with eight specialized agents, invariant-gated handoffs, and the Council Protocol.</w:t>
      </w:r>
    </w:p>
    <w:tbl>
      <w:tblPr>
        <w:tblW w:type="auto" w:w="0"/>
        <w:jc w:val="center"/>
        <w:tblLayout w:type="fixed"/>
        <w:tblLook w:firstColumn="1" w:firstRow="1" w:lastColumn="0" w:lastRow="0" w:noHBand="0" w:noVBand="1" w:val="04A0"/>
      </w:tblPr>
      <w:tblGrid>
        <w:gridCol w:w="1505"/>
        <w:gridCol w:w="1505"/>
        <w:gridCol w:w="1505"/>
        <w:gridCol w:w="1505"/>
        <w:gridCol w:w="1505"/>
        <w:gridCol w:w="1505"/>
      </w:tblGrid>
      <w:tr>
        <w:tc>
          <w:tcPr>
            <w:tcW w:type="dxa" w:w="3024"/>
            <w:shd w:fill="1E3A8A"/>
            <w:tcMar>
              <w:top w:w="120" w:type="dxa"/>
              <w:bottom w:w="120" w:type="dxa"/>
              <w:left w:w="140" w:type="dxa"/>
              <w:right w:w="140" w:type="dxa"/>
            </w:tcMar>
            <w:tcBorders>
              <w:top w:val="single" w:sz="6" w:space="0" w:color="1E3A8A"/>
              <w:left w:val="single" w:sz="4" w:space="0" w:color="CBD5E1"/>
              <w:bottom w:val="single" w:sz="12" w:space="0" w:color="0F172A"/>
              <w:right w:val="single" w:sz="4" w:space="0" w:color="CBD5E1"/>
            </w:tcBorders>
          </w:tcPr>
          <w:p>
            <w:pPr>
              <w:spacing w:after="0"/>
              <w:jc w:val="center"/>
            </w:pPr>
            <w:r>
              <w:rPr>
                <w:rFonts w:ascii="Times New Roman" w:hAnsi="Times New Roman"/>
                <w:b/>
                <w:color w:val="FFFFFF"/>
                <w:sz w:val="21"/>
              </w:rPr>
              <w:t>Experimental Configuration</w:t>
            </w:r>
          </w:p>
        </w:tc>
        <w:tc>
          <w:tcPr>
            <w:tcW w:type="dxa" w:w="1440"/>
            <w:shd w:fill="1E3A8A"/>
            <w:tcMar>
              <w:top w:w="120" w:type="dxa"/>
              <w:bottom w:w="120" w:type="dxa"/>
              <w:left w:w="140" w:type="dxa"/>
              <w:right w:w="140" w:type="dxa"/>
            </w:tcMar>
            <w:tcBorders>
              <w:top w:val="single" w:sz="6" w:space="0" w:color="1E3A8A"/>
              <w:left w:val="single" w:sz="4" w:space="0" w:color="CBD5E1"/>
              <w:bottom w:val="single" w:sz="12" w:space="0" w:color="0F172A"/>
              <w:right w:val="single" w:sz="4" w:space="0" w:color="CBD5E1"/>
            </w:tcBorders>
          </w:tcPr>
          <w:p>
            <w:pPr>
              <w:spacing w:after="0"/>
              <w:jc w:val="center"/>
            </w:pPr>
            <w:r>
              <w:rPr>
                <w:rFonts w:ascii="Times New Roman" w:hAnsi="Times New Roman"/>
                <w:b/>
                <w:color w:val="FFFFFF"/>
                <w:sz w:val="21"/>
              </w:rPr>
              <w:t>Holdout ROC-AUC</w:t>
            </w:r>
          </w:p>
        </w:tc>
        <w:tc>
          <w:tcPr>
            <w:tcW w:type="dxa" w:w="1440"/>
            <w:shd w:fill="1E3A8A"/>
            <w:tcMar>
              <w:top w:w="120" w:type="dxa"/>
              <w:bottom w:w="120" w:type="dxa"/>
              <w:left w:w="140" w:type="dxa"/>
              <w:right w:w="140" w:type="dxa"/>
            </w:tcMar>
            <w:tcBorders>
              <w:top w:val="single" w:sz="6" w:space="0" w:color="1E3A8A"/>
              <w:left w:val="single" w:sz="4" w:space="0" w:color="CBD5E1"/>
              <w:bottom w:val="single" w:sz="12" w:space="0" w:color="0F172A"/>
              <w:right w:val="single" w:sz="4" w:space="0" w:color="CBD5E1"/>
            </w:tcBorders>
          </w:tcPr>
          <w:p>
            <w:pPr>
              <w:spacing w:after="0"/>
              <w:jc w:val="center"/>
            </w:pPr>
            <w:r>
              <w:rPr>
                <w:rFonts w:ascii="Times New Roman" w:hAnsi="Times New Roman"/>
                <w:b/>
                <w:color w:val="FFFFFF"/>
                <w:sz w:val="21"/>
              </w:rPr>
              <w:t>Holdout PR-AUC</w:t>
            </w:r>
          </w:p>
        </w:tc>
        <w:tc>
          <w:tcPr>
            <w:tcW w:type="dxa" w:w="1296"/>
            <w:shd w:fill="1E3A8A"/>
            <w:tcMar>
              <w:top w:w="120" w:type="dxa"/>
              <w:bottom w:w="120" w:type="dxa"/>
              <w:left w:w="140" w:type="dxa"/>
              <w:right w:w="140" w:type="dxa"/>
            </w:tcMar>
            <w:tcBorders>
              <w:top w:val="single" w:sz="6" w:space="0" w:color="1E3A8A"/>
              <w:left w:val="single" w:sz="4" w:space="0" w:color="CBD5E1"/>
              <w:bottom w:val="single" w:sz="12" w:space="0" w:color="0F172A"/>
              <w:right w:val="single" w:sz="4" w:space="0" w:color="CBD5E1"/>
            </w:tcBorders>
          </w:tcPr>
          <w:p>
            <w:pPr>
              <w:spacing w:after="0"/>
              <w:jc w:val="center"/>
            </w:pPr>
            <w:r>
              <w:rPr>
                <w:rFonts w:ascii="Times New Roman" w:hAnsi="Times New Roman"/>
                <w:b/>
                <w:color w:val="FFFFFF"/>
                <w:sz w:val="21"/>
              </w:rPr>
              <w:t>Brier Score</w:t>
            </w:r>
          </w:p>
        </w:tc>
        <w:tc>
          <w:tcPr>
            <w:tcW w:type="dxa" w:w="1296"/>
            <w:shd w:fill="1E3A8A"/>
            <w:tcMar>
              <w:top w:w="120" w:type="dxa"/>
              <w:bottom w:w="120" w:type="dxa"/>
              <w:left w:w="140" w:type="dxa"/>
              <w:right w:w="140" w:type="dxa"/>
            </w:tcMar>
            <w:tcBorders>
              <w:top w:val="single" w:sz="6" w:space="0" w:color="1E3A8A"/>
              <w:left w:val="single" w:sz="4" w:space="0" w:color="CBD5E1"/>
              <w:bottom w:val="single" w:sz="12" w:space="0" w:color="0F172A"/>
              <w:right w:val="single" w:sz="4" w:space="0" w:color="CBD5E1"/>
            </w:tcBorders>
          </w:tcPr>
          <w:p>
            <w:pPr>
              <w:spacing w:after="0"/>
              <w:jc w:val="center"/>
            </w:pPr>
            <w:r>
              <w:rPr>
                <w:rFonts w:ascii="Times New Roman" w:hAnsi="Times New Roman"/>
                <w:b/>
                <w:color w:val="FFFFFF"/>
                <w:sz w:val="21"/>
              </w:rPr>
              <w:t>Gen. Gap</w:t>
            </w:r>
          </w:p>
        </w:tc>
        <w:tc>
          <w:tcPr>
            <w:tcW w:type="dxa" w:w="1973"/>
            <w:shd w:fill="1E3A8A"/>
            <w:tcMar>
              <w:top w:w="120" w:type="dxa"/>
              <w:bottom w:w="120" w:type="dxa"/>
              <w:left w:w="140" w:type="dxa"/>
              <w:right w:w="140" w:type="dxa"/>
            </w:tcMar>
            <w:tcBorders>
              <w:top w:val="single" w:sz="6" w:space="0" w:color="1E3A8A"/>
              <w:left w:val="single" w:sz="4" w:space="0" w:color="CBD5E1"/>
              <w:bottom w:val="single" w:sz="12" w:space="0" w:color="0F172A"/>
              <w:right w:val="single" w:sz="4" w:space="0" w:color="CBD5E1"/>
            </w:tcBorders>
          </w:tcPr>
          <w:p>
            <w:pPr>
              <w:spacing w:after="0"/>
              <w:jc w:val="center"/>
            </w:pPr>
            <w:r>
              <w:rPr>
                <w:rFonts w:ascii="Times New Roman" w:hAnsi="Times New Roman"/>
                <w:b/>
                <w:color w:val="FFFFFF"/>
                <w:sz w:val="21"/>
              </w:rPr>
              <w:t>Leakage Detected</w:t>
            </w:r>
          </w:p>
        </w:tc>
      </w:tr>
      <w:tr>
        <w:tc>
          <w:tcPr>
            <w:tcW w:type="dxa" w:w="3024"/>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left"/>
            </w:pPr>
            <w:r>
              <w:rPr>
                <w:rFonts w:ascii="Times New Roman" w:hAnsi="Times New Roman"/>
                <w:color w:val="1F2937"/>
                <w:sz w:val="20"/>
              </w:rPr>
              <w:t>System A (Default AutoML)</w:t>
            </w:r>
          </w:p>
        </w:tc>
        <w:tc>
          <w:tcPr>
            <w:tcW w:type="dxa" w:w="1440"/>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0.824</w:t>
            </w:r>
          </w:p>
        </w:tc>
        <w:tc>
          <w:tcPr>
            <w:tcW w:type="dxa" w:w="1440"/>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0.781</w:t>
            </w:r>
          </w:p>
        </w:tc>
        <w:tc>
          <w:tcPr>
            <w:tcW w:type="dxa" w:w="1296"/>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0.158</w:t>
            </w:r>
          </w:p>
        </w:tc>
        <w:tc>
          <w:tcPr>
            <w:tcW w:type="dxa" w:w="1296"/>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0.082</w:t>
            </w:r>
          </w:p>
        </w:tc>
        <w:tc>
          <w:tcPr>
            <w:tcW w:type="dxa" w:w="1973"/>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No</w:t>
            </w:r>
          </w:p>
        </w:tc>
      </w:tr>
      <w:tr>
        <w:tc>
          <w:tcPr>
            <w:tcW w:type="dxa" w:w="3024"/>
            <w:shd w:fill="F8FAFC"/>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left"/>
            </w:pPr>
            <w:r>
              <w:rPr>
                <w:rFonts w:ascii="Times New Roman" w:hAnsi="Times New Roman"/>
                <w:color w:val="1F2937"/>
                <w:sz w:val="20"/>
              </w:rPr>
              <w:t>System B (Single-Agent LLM)</w:t>
            </w:r>
          </w:p>
        </w:tc>
        <w:tc>
          <w:tcPr>
            <w:tcW w:type="dxa" w:w="1440"/>
            <w:shd w:fill="F8FAFC"/>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0.839</w:t>
            </w:r>
          </w:p>
        </w:tc>
        <w:tc>
          <w:tcPr>
            <w:tcW w:type="dxa" w:w="1440"/>
            <w:shd w:fill="F8FAFC"/>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0.796</w:t>
            </w:r>
          </w:p>
        </w:tc>
        <w:tc>
          <w:tcPr>
            <w:tcW w:type="dxa" w:w="1296"/>
            <w:shd w:fill="F8FAFC"/>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0.162</w:t>
            </w:r>
          </w:p>
        </w:tc>
        <w:tc>
          <w:tcPr>
            <w:tcW w:type="dxa" w:w="1296"/>
            <w:shd w:fill="F8FAFC"/>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0.141</w:t>
            </w:r>
          </w:p>
        </w:tc>
        <w:tc>
          <w:tcPr>
            <w:tcW w:type="dxa" w:w="1973"/>
            <w:shd w:fill="F8FAFC"/>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Yes (Age global impute)</w:t>
            </w:r>
          </w:p>
        </w:tc>
      </w:tr>
      <w:tr>
        <w:tc>
          <w:tcPr>
            <w:tcW w:type="dxa" w:w="3024"/>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left"/>
            </w:pPr>
            <w:r>
              <w:rPr>
                <w:rFonts w:ascii="Times New Roman" w:hAnsi="Times New Roman"/>
                <w:color w:val="1F2937"/>
                <w:sz w:val="20"/>
              </w:rPr>
              <w:t>System C (Unconstrained Multi-Agent)</w:t>
            </w:r>
          </w:p>
        </w:tc>
        <w:tc>
          <w:tcPr>
            <w:tcW w:type="dxa" w:w="1440"/>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0.848</w:t>
            </w:r>
          </w:p>
        </w:tc>
        <w:tc>
          <w:tcPr>
            <w:tcW w:type="dxa" w:w="1440"/>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0.812</w:t>
            </w:r>
          </w:p>
        </w:tc>
        <w:tc>
          <w:tcPr>
            <w:tcW w:type="dxa" w:w="1296"/>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0.151</w:t>
            </w:r>
          </w:p>
        </w:tc>
        <w:tc>
          <w:tcPr>
            <w:tcW w:type="dxa" w:w="1296"/>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0.119</w:t>
            </w:r>
          </w:p>
        </w:tc>
        <w:tc>
          <w:tcPr>
            <w:tcW w:type="dxa" w:w="1973"/>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Yes (Target leakage in groups)</w:t>
            </w:r>
          </w:p>
        </w:tc>
      </w:tr>
      <w:tr>
        <w:tc>
          <w:tcPr>
            <w:tcW w:type="dxa" w:w="3024"/>
            <w:shd w:fill="F8FAFC"/>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left"/>
            </w:pPr>
            <w:r>
              <w:rPr>
                <w:rFonts w:ascii="Times New Roman" w:hAnsi="Times New Roman"/>
                <w:color w:val="1F2937"/>
                <w:sz w:val="20"/>
              </w:rPr>
              <w:t>System D (ARIA Adversarial Council)</w:t>
            </w:r>
          </w:p>
        </w:tc>
        <w:tc>
          <w:tcPr>
            <w:tcW w:type="dxa" w:w="1440"/>
            <w:shd w:fill="F8FAFC"/>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0.882</w:t>
            </w:r>
          </w:p>
        </w:tc>
        <w:tc>
          <w:tcPr>
            <w:tcW w:type="dxa" w:w="1440"/>
            <w:shd w:fill="F8FAFC"/>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0.854</w:t>
            </w:r>
          </w:p>
        </w:tc>
        <w:tc>
          <w:tcPr>
            <w:tcW w:type="dxa" w:w="1296"/>
            <w:shd w:fill="F8FAFC"/>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0.128</w:t>
            </w:r>
          </w:p>
        </w:tc>
        <w:tc>
          <w:tcPr>
            <w:tcW w:type="dxa" w:w="1296"/>
            <w:shd w:fill="F8FAFC"/>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0.038</w:t>
            </w:r>
          </w:p>
        </w:tc>
        <w:tc>
          <w:tcPr>
            <w:tcW w:type="dxa" w:w="1973"/>
            <w:shd w:fill="F8FAFC"/>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Zero (100% Isolated)</w:t>
            </w:r>
          </w:p>
        </w:tc>
      </w:tr>
    </w:tbl>
    <w:p>
      <w:pPr>
        <w:spacing w:after="120"/>
      </w:pPr>
    </w:p>
    <w:p>
      <w:pPr>
        <w:spacing w:line="360" w:lineRule="auto" w:after="120"/>
        <w:jc w:val="both"/>
      </w:pPr>
      <w:r>
        <w:rPr>
          <w:rFonts w:ascii="Times New Roman" w:hAnsi="Times New Roman"/>
          <w:color w:val="111827"/>
          <w:sz w:val="24"/>
        </w:rPr>
        <w:t>The empirical ablation results presented in Table 3.2 reveal critical insights: while single-agent LLMs (System B) and unconstrained multi-agent teams (System C) produced competitive offline scores, they suffered from significant Generalization Gaps (0.141 and 0.119 respectively). Code audits conducted by Elena revealed that System B performed global age imputation across the entire dataset prior to splitting, while System C engineered a family survival feature using test set labels—classic lookahead data leakage that artificially inflated perceived validation metrics.</w:t>
      </w:r>
    </w:p>
    <w:p>
      <w:pPr>
        <w:spacing w:line="360" w:lineRule="auto" w:after="120"/>
        <w:jc w:val="both"/>
      </w:pPr>
      <w:r>
        <w:rPr>
          <w:rFonts w:ascii="Times New Roman" w:hAnsi="Times New Roman"/>
          <w:color w:val="111827"/>
          <w:sz w:val="24"/>
        </w:rPr>
        <w:t>In contrast, the ARIA framework (System D) achieved the highest generalization performance across all metrics (ROC-AUC 0.882, PR-AUC 0.854, Brier calibration 0.128) while collapsing the Generalization Gap to a robust 0.038. Because Leo and Elena cross-examined Priya's proposals during the Council roundtable, the target leakage vector was intercepted and replaced with out-of-fold cross-validation before any code was committed to execution.</w:t>
      </w:r>
    </w:p>
    <w:p>
      <w:pPr>
        <w:keepNext/>
        <w:spacing w:before="280" w:after="120"/>
        <w:jc w:val="left"/>
      </w:pPr>
      <w:r>
        <w:rPr>
          <w:rFonts w:ascii="Times New Roman" w:hAnsi="Times New Roman"/>
          <w:b/>
          <w:color w:val="1F2937"/>
          <w:sz w:val="26"/>
        </w:rPr>
        <w:t>3.4 Signal Extraction &amp; High-Order Feature Engineering Impact</w:t>
      </w:r>
    </w:p>
    <w:p>
      <w:pPr>
        <w:spacing w:line="360" w:lineRule="auto" w:after="120"/>
        <w:jc w:val="both"/>
      </w:pPr>
      <w:r>
        <w:rPr>
          <w:rFonts w:ascii="Times New Roman" w:hAnsi="Times New Roman"/>
          <w:color w:val="111827"/>
          <w:sz w:val="24"/>
        </w:rPr>
        <w:t>Feature engineering architect Priya implemented domain-specific non-linear signal transformations that dramatically improved algorithmic discriminative capacity. In the Titanic evaluation, four core engineered features were vetted by the Council:</w:t>
      </w:r>
    </w:p>
    <w:p>
      <w:pPr>
        <w:pStyle w:val="ListBullet"/>
        <w:spacing w:line="312" w:lineRule="auto" w:after="80"/>
        <w:jc w:val="both"/>
      </w:pPr>
      <w:r>
        <w:rPr>
          <w:rFonts w:ascii="Times New Roman" w:hAnsi="Times New Roman"/>
          <w:b/>
          <w:sz w:val="24"/>
        </w:rPr>
        <w:t xml:space="preserve">1. Title-Parch Imputation: </w:t>
      </w:r>
      <w:r>
        <w:rPr>
          <w:rFonts w:ascii="Times New Roman" w:hAnsi="Times New Roman"/>
          <w:sz w:val="24"/>
        </w:rPr>
        <w:t>Title-Parch Conditioned Age Imputation: Rather than assigning global medians, titles extracted from Name (Master, Miss, Mrs, Mr, Officer, Royalty) were cross-referenced with Parch. For example, female passengers with Title = Miss and Parch &gt; 0 were recognized as child girls and imputed with median age 5.0, whereas Miss with Parch == 0 were identified as adult women (median age 26.0).</w:t>
      </w:r>
    </w:p>
    <w:p>
      <w:pPr>
        <w:pStyle w:val="ListBullet"/>
        <w:spacing w:line="312" w:lineRule="auto" w:after="80"/>
        <w:jc w:val="both"/>
      </w:pPr>
      <w:r>
        <w:rPr>
          <w:rFonts w:ascii="Times New Roman" w:hAnsi="Times New Roman"/>
          <w:b/>
          <w:sz w:val="24"/>
        </w:rPr>
        <w:t xml:space="preserve">2. Family Size: </w:t>
      </w:r>
      <w:r>
        <w:rPr>
          <w:rFonts w:ascii="Times New Roman" w:hAnsi="Times New Roman"/>
          <w:sz w:val="24"/>
        </w:rPr>
        <w:t>Family Group Size: Calculated as FamilySize = SibSp + Parch + 1, capturing the non-linear survival advantage of small nuclear families (size 2-4) over isolated solo travelers (size 1) and unwieldy extended families (size &gt;= 5).</w:t>
      </w:r>
    </w:p>
    <w:p>
      <w:pPr>
        <w:pStyle w:val="ListBullet"/>
        <w:spacing w:line="312" w:lineRule="auto" w:after="80"/>
        <w:jc w:val="both"/>
      </w:pPr>
      <w:r>
        <w:rPr>
          <w:rFonts w:ascii="Times New Roman" w:hAnsi="Times New Roman"/>
          <w:b/>
          <w:sz w:val="24"/>
        </w:rPr>
        <w:t xml:space="preserve">3. Adjusted Fare: </w:t>
      </w:r>
      <w:r>
        <w:rPr>
          <w:rFonts w:ascii="Times New Roman" w:hAnsi="Times New Roman"/>
          <w:sz w:val="24"/>
        </w:rPr>
        <w:t>Adjusted Fare per Person: Many tickets were purchased collectively for groups. Dividing ticket fare by group frequency (Fare_Per_Person = Fare / Group_Size) eliminated artificial fare skewness and isolated true socioeconomic accommodation quality.</w:t>
      </w:r>
    </w:p>
    <w:p>
      <w:pPr>
        <w:pStyle w:val="ListBullet"/>
        <w:spacing w:line="312" w:lineRule="auto" w:after="80"/>
        <w:jc w:val="both"/>
      </w:pPr>
      <w:r>
        <w:rPr>
          <w:rFonts w:ascii="Times New Roman" w:hAnsi="Times New Roman"/>
          <w:b/>
          <w:sz w:val="24"/>
        </w:rPr>
        <w:t xml:space="preserve">4. Compound Group Survival: </w:t>
      </w:r>
      <w:r>
        <w:rPr>
          <w:rFonts w:ascii="Times New Roman" w:hAnsi="Times New Roman"/>
          <w:sz w:val="24"/>
        </w:rPr>
        <w:t>Compound Group Unit Survival: Identifying companion groups via Surname + Pclass + Ticket_Prefix, evaluated strictly through Out-of-Fold cross-validation to provide leak-free group cohesion signals.</w:t>
      </w:r>
    </w:p>
    <w:tbl>
      <w:tblPr>
        <w:tblW w:type="auto" w:w="0"/>
        <w:jc w:val="center"/>
        <w:tblLayout w:type="fixed"/>
        <w:tblLook w:firstColumn="1" w:firstRow="1" w:lastColumn="0" w:lastRow="0" w:noHBand="0" w:noVBand="1" w:val="04A0"/>
      </w:tblPr>
      <w:tblGrid>
        <w:gridCol w:w="1806"/>
        <w:gridCol w:w="1806"/>
        <w:gridCol w:w="1806"/>
        <w:gridCol w:w="1806"/>
        <w:gridCol w:w="1806"/>
      </w:tblGrid>
      <w:tr>
        <w:tc>
          <w:tcPr>
            <w:tcW w:type="dxa" w:w="2304"/>
            <w:shd w:fill="1E3A8A"/>
            <w:tcMar>
              <w:top w:w="120" w:type="dxa"/>
              <w:bottom w:w="120" w:type="dxa"/>
              <w:left w:w="140" w:type="dxa"/>
              <w:right w:w="140" w:type="dxa"/>
            </w:tcMar>
            <w:tcBorders>
              <w:top w:val="single" w:sz="6" w:space="0" w:color="1E3A8A"/>
              <w:left w:val="single" w:sz="4" w:space="0" w:color="CBD5E1"/>
              <w:bottom w:val="single" w:sz="12" w:space="0" w:color="0F172A"/>
              <w:right w:val="single" w:sz="4" w:space="0" w:color="CBD5E1"/>
            </w:tcBorders>
          </w:tcPr>
          <w:p>
            <w:pPr>
              <w:spacing w:after="0"/>
              <w:jc w:val="center"/>
            </w:pPr>
            <w:r>
              <w:rPr>
                <w:rFonts w:ascii="Times New Roman" w:hAnsi="Times New Roman"/>
                <w:b/>
                <w:color w:val="FFFFFF"/>
                <w:sz w:val="21"/>
              </w:rPr>
              <w:t>Engineered Feature</w:t>
            </w:r>
          </w:p>
        </w:tc>
        <w:tc>
          <w:tcPr>
            <w:tcW w:type="dxa" w:w="2880"/>
            <w:shd w:fill="1E3A8A"/>
            <w:tcMar>
              <w:top w:w="120" w:type="dxa"/>
              <w:bottom w:w="120" w:type="dxa"/>
              <w:left w:w="140" w:type="dxa"/>
              <w:right w:w="140" w:type="dxa"/>
            </w:tcMar>
            <w:tcBorders>
              <w:top w:val="single" w:sz="6" w:space="0" w:color="1E3A8A"/>
              <w:left w:val="single" w:sz="4" w:space="0" w:color="CBD5E1"/>
              <w:bottom w:val="single" w:sz="12" w:space="0" w:color="0F172A"/>
              <w:right w:val="single" w:sz="4" w:space="0" w:color="CBD5E1"/>
            </w:tcBorders>
          </w:tcPr>
          <w:p>
            <w:pPr>
              <w:spacing w:after="0"/>
              <w:jc w:val="center"/>
            </w:pPr>
            <w:r>
              <w:rPr>
                <w:rFonts w:ascii="Times New Roman" w:hAnsi="Times New Roman"/>
                <w:b/>
                <w:color w:val="FFFFFF"/>
                <w:sz w:val="21"/>
              </w:rPr>
              <w:t>Mathematical Formulation</w:t>
            </w:r>
          </w:p>
        </w:tc>
        <w:tc>
          <w:tcPr>
            <w:tcW w:type="dxa" w:w="1728"/>
            <w:shd w:fill="1E3A8A"/>
            <w:tcMar>
              <w:top w:w="120" w:type="dxa"/>
              <w:bottom w:w="120" w:type="dxa"/>
              <w:left w:w="140" w:type="dxa"/>
              <w:right w:w="140" w:type="dxa"/>
            </w:tcMar>
            <w:tcBorders>
              <w:top w:val="single" w:sz="6" w:space="0" w:color="1E3A8A"/>
              <w:left w:val="single" w:sz="4" w:space="0" w:color="CBD5E1"/>
              <w:bottom w:val="single" w:sz="12" w:space="0" w:color="0F172A"/>
              <w:right w:val="single" w:sz="4" w:space="0" w:color="CBD5E1"/>
            </w:tcBorders>
          </w:tcPr>
          <w:p>
            <w:pPr>
              <w:spacing w:after="0"/>
              <w:jc w:val="center"/>
            </w:pPr>
            <w:r>
              <w:rPr>
                <w:rFonts w:ascii="Times New Roman" w:hAnsi="Times New Roman"/>
                <w:b/>
                <w:color w:val="FFFFFF"/>
                <w:sz w:val="21"/>
              </w:rPr>
              <w:t>Multicollinearity (VIF)</w:t>
            </w:r>
          </w:p>
        </w:tc>
        <w:tc>
          <w:tcPr>
            <w:tcW w:type="dxa" w:w="1440"/>
            <w:shd w:fill="1E3A8A"/>
            <w:tcMar>
              <w:top w:w="120" w:type="dxa"/>
              <w:bottom w:w="120" w:type="dxa"/>
              <w:left w:w="140" w:type="dxa"/>
              <w:right w:w="140" w:type="dxa"/>
            </w:tcMar>
            <w:tcBorders>
              <w:top w:val="single" w:sz="6" w:space="0" w:color="1E3A8A"/>
              <w:left w:val="single" w:sz="4" w:space="0" w:color="CBD5E1"/>
              <w:bottom w:val="single" w:sz="12" w:space="0" w:color="0F172A"/>
              <w:right w:val="single" w:sz="4" w:space="0" w:color="CBD5E1"/>
            </w:tcBorders>
          </w:tcPr>
          <w:p>
            <w:pPr>
              <w:spacing w:after="0"/>
              <w:jc w:val="center"/>
            </w:pPr>
            <w:r>
              <w:rPr>
                <w:rFonts w:ascii="Times New Roman" w:hAnsi="Times New Roman"/>
                <w:b/>
                <w:color w:val="FFFFFF"/>
                <w:sz w:val="21"/>
              </w:rPr>
              <w:t>Mutual Info Score</w:t>
            </w:r>
          </w:p>
        </w:tc>
        <w:tc>
          <w:tcPr>
            <w:tcW w:type="dxa" w:w="1541"/>
            <w:shd w:fill="1E3A8A"/>
            <w:tcMar>
              <w:top w:w="120" w:type="dxa"/>
              <w:bottom w:w="120" w:type="dxa"/>
              <w:left w:w="140" w:type="dxa"/>
              <w:right w:w="140" w:type="dxa"/>
            </w:tcMar>
            <w:tcBorders>
              <w:top w:val="single" w:sz="6" w:space="0" w:color="1E3A8A"/>
              <w:left w:val="single" w:sz="4" w:space="0" w:color="CBD5E1"/>
              <w:bottom w:val="single" w:sz="12" w:space="0" w:color="0F172A"/>
              <w:right w:val="single" w:sz="4" w:space="0" w:color="CBD5E1"/>
            </w:tcBorders>
          </w:tcPr>
          <w:p>
            <w:pPr>
              <w:spacing w:after="0"/>
              <w:jc w:val="center"/>
            </w:pPr>
            <w:r>
              <w:rPr>
                <w:rFonts w:ascii="Times New Roman" w:hAnsi="Times New Roman"/>
                <w:b/>
                <w:color w:val="FFFFFF"/>
                <w:sz w:val="21"/>
              </w:rPr>
              <w:t>RF Importance</w:t>
            </w:r>
          </w:p>
        </w:tc>
      </w:tr>
      <w:tr>
        <w:tc>
          <w:tcPr>
            <w:tcW w:type="dxa" w:w="2304"/>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left"/>
            </w:pPr>
            <w:r>
              <w:rPr>
                <w:rFonts w:ascii="Times New Roman" w:hAnsi="Times New Roman"/>
                <w:color w:val="1F2937"/>
                <w:sz w:val="20"/>
              </w:rPr>
              <w:t>Title_Category</w:t>
            </w:r>
          </w:p>
        </w:tc>
        <w:tc>
          <w:tcPr>
            <w:tcW w:type="dxa" w:w="2880"/>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Regex title extraction mapped to 6 bins</w:t>
            </w:r>
          </w:p>
        </w:tc>
        <w:tc>
          <w:tcPr>
            <w:tcW w:type="dxa" w:w="1728"/>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2.14 (Low)</w:t>
            </w:r>
          </w:p>
        </w:tc>
        <w:tc>
          <w:tcPr>
            <w:tcW w:type="dxa" w:w="1440"/>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0.284</w:t>
            </w:r>
          </w:p>
        </w:tc>
        <w:tc>
          <w:tcPr>
            <w:tcW w:type="dxa" w:w="1541"/>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0.221</w:t>
            </w:r>
          </w:p>
        </w:tc>
      </w:tr>
      <w:tr>
        <w:tc>
          <w:tcPr>
            <w:tcW w:type="dxa" w:w="2304"/>
            <w:shd w:fill="F8FAFC"/>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left"/>
            </w:pPr>
            <w:r>
              <w:rPr>
                <w:rFonts w:ascii="Times New Roman" w:hAnsi="Times New Roman"/>
                <w:color w:val="1F2937"/>
                <w:sz w:val="20"/>
              </w:rPr>
              <w:t>Fare_Per_Person</w:t>
            </w:r>
          </w:p>
        </w:tc>
        <w:tc>
          <w:tcPr>
            <w:tcW w:type="dxa" w:w="2880"/>
            <w:shd w:fill="F8FAFC"/>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Fare / Group_Size</w:t>
            </w:r>
          </w:p>
        </w:tc>
        <w:tc>
          <w:tcPr>
            <w:tcW w:type="dxa" w:w="1728"/>
            <w:shd w:fill="F8FAFC"/>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3.42 (Low)</w:t>
            </w:r>
          </w:p>
        </w:tc>
        <w:tc>
          <w:tcPr>
            <w:tcW w:type="dxa" w:w="1440"/>
            <w:shd w:fill="F8FAFC"/>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0.215</w:t>
            </w:r>
          </w:p>
        </w:tc>
        <w:tc>
          <w:tcPr>
            <w:tcW w:type="dxa" w:w="1541"/>
            <w:shd w:fill="F8FAFC"/>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0.184</w:t>
            </w:r>
          </w:p>
        </w:tc>
      </w:tr>
      <w:tr>
        <w:tc>
          <w:tcPr>
            <w:tcW w:type="dxa" w:w="2304"/>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left"/>
            </w:pPr>
            <w:r>
              <w:rPr>
                <w:rFonts w:ascii="Times New Roman" w:hAnsi="Times New Roman"/>
                <w:color w:val="1F2937"/>
                <w:sz w:val="20"/>
              </w:rPr>
              <w:t>FamilySize</w:t>
            </w:r>
          </w:p>
        </w:tc>
        <w:tc>
          <w:tcPr>
            <w:tcW w:type="dxa" w:w="2880"/>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SibSp + Parch + 1</w:t>
            </w:r>
          </w:p>
        </w:tc>
        <w:tc>
          <w:tcPr>
            <w:tcW w:type="dxa" w:w="1728"/>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4.12 (Low)</w:t>
            </w:r>
          </w:p>
        </w:tc>
        <w:tc>
          <w:tcPr>
            <w:tcW w:type="dxa" w:w="1440"/>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0.162</w:t>
            </w:r>
          </w:p>
        </w:tc>
        <w:tc>
          <w:tcPr>
            <w:tcW w:type="dxa" w:w="1541"/>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0.115</w:t>
            </w:r>
          </w:p>
        </w:tc>
      </w:tr>
      <w:tr>
        <w:tc>
          <w:tcPr>
            <w:tcW w:type="dxa" w:w="2304"/>
            <w:shd w:fill="F8FAFC"/>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left"/>
            </w:pPr>
            <w:r>
              <w:rPr>
                <w:rFonts w:ascii="Times New Roman" w:hAnsi="Times New Roman"/>
                <w:color w:val="1F2937"/>
                <w:sz w:val="20"/>
              </w:rPr>
              <w:t>Is_Alone</w:t>
            </w:r>
          </w:p>
        </w:tc>
        <w:tc>
          <w:tcPr>
            <w:tcW w:type="dxa" w:w="2880"/>
            <w:shd w:fill="F8FAFC"/>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1 if FamilySize == 1 else 0</w:t>
            </w:r>
          </w:p>
        </w:tc>
        <w:tc>
          <w:tcPr>
            <w:tcW w:type="dxa" w:w="1728"/>
            <w:shd w:fill="F8FAFC"/>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2.85 (Low)</w:t>
            </w:r>
          </w:p>
        </w:tc>
        <w:tc>
          <w:tcPr>
            <w:tcW w:type="dxa" w:w="1440"/>
            <w:shd w:fill="F8FAFC"/>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0.108</w:t>
            </w:r>
          </w:p>
        </w:tc>
        <w:tc>
          <w:tcPr>
            <w:tcW w:type="dxa" w:w="1541"/>
            <w:shd w:fill="F8FAFC"/>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0.062</w:t>
            </w:r>
          </w:p>
        </w:tc>
      </w:tr>
      <w:tr>
        <w:tc>
          <w:tcPr>
            <w:tcW w:type="dxa" w:w="2304"/>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left"/>
            </w:pPr>
            <w:r>
              <w:rPr>
                <w:rFonts w:ascii="Times New Roman" w:hAnsi="Times New Roman"/>
                <w:color w:val="1F2937"/>
                <w:sz w:val="20"/>
              </w:rPr>
              <w:t>Compound_Group_Survival</w:t>
            </w:r>
          </w:p>
        </w:tc>
        <w:tc>
          <w:tcPr>
            <w:tcW w:type="dxa" w:w="2880"/>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OOF group historical mean (Laplace)</w:t>
            </w:r>
          </w:p>
        </w:tc>
        <w:tc>
          <w:tcPr>
            <w:tcW w:type="dxa" w:w="1728"/>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1.89 (Low)</w:t>
            </w:r>
          </w:p>
        </w:tc>
        <w:tc>
          <w:tcPr>
            <w:tcW w:type="dxa" w:w="1440"/>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0.312</w:t>
            </w:r>
          </w:p>
        </w:tc>
        <w:tc>
          <w:tcPr>
            <w:tcW w:type="dxa" w:w="1541"/>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0.248</w:t>
            </w:r>
          </w:p>
        </w:tc>
      </w:tr>
    </w:tbl>
    <w:p>
      <w:pPr>
        <w:spacing w:after="120"/>
      </w:pPr>
    </w:p>
    <w:p>
      <w:pPr>
        <w:keepNext/>
        <w:spacing w:before="280" w:after="120"/>
        <w:jc w:val="left"/>
      </w:pPr>
      <w:r>
        <w:rPr>
          <w:rFonts w:ascii="Times New Roman" w:hAnsi="Times New Roman"/>
          <w:b/>
          <w:color w:val="1F2937"/>
          <w:sz w:val="26"/>
        </w:rPr>
        <w:t>3.4.2 Intersectional Demographic Signal Analysis: The Titanic Benchmark</w:t>
      </w:r>
    </w:p>
    <w:p>
      <w:pPr>
        <w:spacing w:line="360" w:lineRule="auto" w:after="120"/>
        <w:jc w:val="both"/>
      </w:pPr>
      <w:r>
        <w:rPr>
          <w:rFonts w:ascii="Times New Roman" w:hAnsi="Times New Roman"/>
          <w:color w:val="111827"/>
          <w:sz w:val="24"/>
        </w:rPr>
        <w:t>To rigorously validate Maya's exploratory findings during the Council debate, we conducted a multi-dimensional intersectional analysis crossing socioeconomic class (Pclass), gender, and family cohesion. Table 3.3B summarizes the empirical survival probabilities:</w:t>
      </w:r>
    </w:p>
    <w:tbl>
      <w:tblPr>
        <w:tblW w:type="auto" w:w="0"/>
        <w:jc w:val="center"/>
        <w:tblLayout w:type="fixed"/>
        <w:tblLook w:firstColumn="1" w:firstRow="1" w:lastColumn="0" w:lastRow="0" w:noHBand="0" w:noVBand="1" w:val="04A0"/>
      </w:tblPr>
      <w:tblGrid>
        <w:gridCol w:w="1806"/>
        <w:gridCol w:w="1806"/>
        <w:gridCol w:w="1806"/>
        <w:gridCol w:w="1806"/>
        <w:gridCol w:w="1806"/>
      </w:tblGrid>
      <w:tr>
        <w:tc>
          <w:tcPr>
            <w:tcW w:type="dxa" w:w="3312"/>
            <w:shd w:fill="1E3A8A"/>
            <w:tcMar>
              <w:top w:w="120" w:type="dxa"/>
              <w:bottom w:w="120" w:type="dxa"/>
              <w:left w:w="140" w:type="dxa"/>
              <w:right w:w="140" w:type="dxa"/>
            </w:tcMar>
            <w:tcBorders>
              <w:top w:val="single" w:sz="6" w:space="0" w:color="1E3A8A"/>
              <w:left w:val="single" w:sz="4" w:space="0" w:color="CBD5E1"/>
              <w:bottom w:val="single" w:sz="12" w:space="0" w:color="0F172A"/>
              <w:right w:val="single" w:sz="4" w:space="0" w:color="CBD5E1"/>
            </w:tcBorders>
          </w:tcPr>
          <w:p>
            <w:pPr>
              <w:spacing w:after="0"/>
              <w:jc w:val="center"/>
            </w:pPr>
            <w:r>
              <w:rPr>
                <w:rFonts w:ascii="Times New Roman" w:hAnsi="Times New Roman"/>
                <w:b/>
                <w:color w:val="FFFFFF"/>
                <w:sz w:val="21"/>
              </w:rPr>
              <w:t>Demographic Cohort</w:t>
            </w:r>
          </w:p>
        </w:tc>
        <w:tc>
          <w:tcPr>
            <w:tcW w:type="dxa" w:w="1440"/>
            <w:shd w:fill="1E3A8A"/>
            <w:tcMar>
              <w:top w:w="120" w:type="dxa"/>
              <w:bottom w:w="120" w:type="dxa"/>
              <w:left w:w="140" w:type="dxa"/>
              <w:right w:w="140" w:type="dxa"/>
            </w:tcMar>
            <w:tcBorders>
              <w:top w:val="single" w:sz="6" w:space="0" w:color="1E3A8A"/>
              <w:left w:val="single" w:sz="4" w:space="0" w:color="CBD5E1"/>
              <w:bottom w:val="single" w:sz="12" w:space="0" w:color="0F172A"/>
              <w:right w:val="single" w:sz="4" w:space="0" w:color="CBD5E1"/>
            </w:tcBorders>
          </w:tcPr>
          <w:p>
            <w:pPr>
              <w:spacing w:after="0"/>
              <w:jc w:val="center"/>
            </w:pPr>
            <w:r>
              <w:rPr>
                <w:rFonts w:ascii="Times New Roman" w:hAnsi="Times New Roman"/>
                <w:b/>
                <w:color w:val="FFFFFF"/>
                <w:sz w:val="21"/>
              </w:rPr>
              <w:t>Sample Size (N)</w:t>
            </w:r>
          </w:p>
        </w:tc>
        <w:tc>
          <w:tcPr>
            <w:tcW w:type="dxa" w:w="1584"/>
            <w:shd w:fill="1E3A8A"/>
            <w:tcMar>
              <w:top w:w="120" w:type="dxa"/>
              <w:bottom w:w="120" w:type="dxa"/>
              <w:left w:w="140" w:type="dxa"/>
              <w:right w:w="140" w:type="dxa"/>
            </w:tcMar>
            <w:tcBorders>
              <w:top w:val="single" w:sz="6" w:space="0" w:color="1E3A8A"/>
              <w:left w:val="single" w:sz="4" w:space="0" w:color="CBD5E1"/>
              <w:bottom w:val="single" w:sz="12" w:space="0" w:color="0F172A"/>
              <w:right w:val="single" w:sz="4" w:space="0" w:color="CBD5E1"/>
            </w:tcBorders>
          </w:tcPr>
          <w:p>
            <w:pPr>
              <w:spacing w:after="0"/>
              <w:jc w:val="center"/>
            </w:pPr>
            <w:r>
              <w:rPr>
                <w:rFonts w:ascii="Times New Roman" w:hAnsi="Times New Roman"/>
                <w:b/>
                <w:color w:val="FFFFFF"/>
                <w:sz w:val="21"/>
              </w:rPr>
              <w:t>Empirical Survival Rate</w:t>
            </w:r>
          </w:p>
        </w:tc>
        <w:tc>
          <w:tcPr>
            <w:tcW w:type="dxa" w:w="1440"/>
            <w:shd w:fill="1E3A8A"/>
            <w:tcMar>
              <w:top w:w="120" w:type="dxa"/>
              <w:bottom w:w="120" w:type="dxa"/>
              <w:left w:w="140" w:type="dxa"/>
              <w:right w:w="140" w:type="dxa"/>
            </w:tcMar>
            <w:tcBorders>
              <w:top w:val="single" w:sz="6" w:space="0" w:color="1E3A8A"/>
              <w:left w:val="single" w:sz="4" w:space="0" w:color="CBD5E1"/>
              <w:bottom w:val="single" w:sz="12" w:space="0" w:color="0F172A"/>
              <w:right w:val="single" w:sz="4" w:space="0" w:color="CBD5E1"/>
            </w:tcBorders>
          </w:tcPr>
          <w:p>
            <w:pPr>
              <w:spacing w:after="0"/>
              <w:jc w:val="center"/>
            </w:pPr>
            <w:r>
              <w:rPr>
                <w:rFonts w:ascii="Times New Roman" w:hAnsi="Times New Roman"/>
                <w:b/>
                <w:color w:val="FFFFFF"/>
                <w:sz w:val="21"/>
              </w:rPr>
              <w:t>Model Predicted Prob.</w:t>
            </w:r>
          </w:p>
        </w:tc>
        <w:tc>
          <w:tcPr>
            <w:tcW w:type="dxa" w:w="1685"/>
            <w:shd w:fill="1E3A8A"/>
            <w:tcMar>
              <w:top w:w="120" w:type="dxa"/>
              <w:bottom w:w="120" w:type="dxa"/>
              <w:left w:w="140" w:type="dxa"/>
              <w:right w:w="140" w:type="dxa"/>
            </w:tcMar>
            <w:tcBorders>
              <w:top w:val="single" w:sz="6" w:space="0" w:color="1E3A8A"/>
              <w:left w:val="single" w:sz="4" w:space="0" w:color="CBD5E1"/>
              <w:bottom w:val="single" w:sz="12" w:space="0" w:color="0F172A"/>
              <w:right w:val="single" w:sz="4" w:space="0" w:color="CBD5E1"/>
            </w:tcBorders>
          </w:tcPr>
          <w:p>
            <w:pPr>
              <w:spacing w:after="0"/>
              <w:jc w:val="center"/>
            </w:pPr>
            <w:r>
              <w:rPr>
                <w:rFonts w:ascii="Times New Roman" w:hAnsi="Times New Roman"/>
                <w:b/>
                <w:color w:val="FFFFFF"/>
                <w:sz w:val="21"/>
              </w:rPr>
              <w:t>Model Calibration Delta</w:t>
            </w:r>
          </w:p>
        </w:tc>
      </w:tr>
      <w:tr>
        <w:tc>
          <w:tcPr>
            <w:tcW w:type="dxa" w:w="3312"/>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left"/>
            </w:pPr>
            <w:r>
              <w:rPr>
                <w:rFonts w:ascii="Times New Roman" w:hAnsi="Times New Roman"/>
                <w:color w:val="1F2937"/>
                <w:sz w:val="20"/>
              </w:rPr>
              <w:t>1st Class Female (Small Family)</w:t>
            </w:r>
          </w:p>
        </w:tc>
        <w:tc>
          <w:tcPr>
            <w:tcW w:type="dxa" w:w="1440"/>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74</w:t>
            </w:r>
          </w:p>
        </w:tc>
        <w:tc>
          <w:tcPr>
            <w:tcW w:type="dxa" w:w="1584"/>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97.3%</w:t>
            </w:r>
          </w:p>
        </w:tc>
        <w:tc>
          <w:tcPr>
            <w:tcW w:type="dxa" w:w="1440"/>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0.965</w:t>
            </w:r>
          </w:p>
        </w:tc>
        <w:tc>
          <w:tcPr>
            <w:tcW w:type="dxa" w:w="1685"/>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Δ = -0.008</w:t>
            </w:r>
          </w:p>
        </w:tc>
      </w:tr>
      <w:tr>
        <w:tc>
          <w:tcPr>
            <w:tcW w:type="dxa" w:w="3312"/>
            <w:shd w:fill="F8FAFC"/>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left"/>
            </w:pPr>
            <w:r>
              <w:rPr>
                <w:rFonts w:ascii="Times New Roman" w:hAnsi="Times New Roman"/>
                <w:color w:val="1F2937"/>
                <w:sz w:val="20"/>
              </w:rPr>
              <w:t>1st Class Female (Solo)</w:t>
            </w:r>
          </w:p>
        </w:tc>
        <w:tc>
          <w:tcPr>
            <w:tcW w:type="dxa" w:w="1440"/>
            <w:shd w:fill="F8FAFC"/>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34</w:t>
            </w:r>
          </w:p>
        </w:tc>
        <w:tc>
          <w:tcPr>
            <w:tcW w:type="dxa" w:w="1584"/>
            <w:shd w:fill="F8FAFC"/>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97.1%</w:t>
            </w:r>
          </w:p>
        </w:tc>
        <w:tc>
          <w:tcPr>
            <w:tcW w:type="dxa" w:w="1440"/>
            <w:shd w:fill="F8FAFC"/>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0.958</w:t>
            </w:r>
          </w:p>
        </w:tc>
        <w:tc>
          <w:tcPr>
            <w:tcW w:type="dxa" w:w="1685"/>
            <w:shd w:fill="F8FAFC"/>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Δ = -0.013</w:t>
            </w:r>
          </w:p>
        </w:tc>
      </w:tr>
      <w:tr>
        <w:tc>
          <w:tcPr>
            <w:tcW w:type="dxa" w:w="3312"/>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left"/>
            </w:pPr>
            <w:r>
              <w:rPr>
                <w:rFonts w:ascii="Times New Roman" w:hAnsi="Times New Roman"/>
                <w:color w:val="1F2937"/>
                <w:sz w:val="20"/>
              </w:rPr>
              <w:t>2nd Class Female (Small Family)</w:t>
            </w:r>
          </w:p>
        </w:tc>
        <w:tc>
          <w:tcPr>
            <w:tcW w:type="dxa" w:w="1440"/>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45</w:t>
            </w:r>
          </w:p>
        </w:tc>
        <w:tc>
          <w:tcPr>
            <w:tcW w:type="dxa" w:w="1584"/>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91.1%</w:t>
            </w:r>
          </w:p>
        </w:tc>
        <w:tc>
          <w:tcPr>
            <w:tcW w:type="dxa" w:w="1440"/>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0.898</w:t>
            </w:r>
          </w:p>
        </w:tc>
        <w:tc>
          <w:tcPr>
            <w:tcW w:type="dxa" w:w="1685"/>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Δ = -0.013</w:t>
            </w:r>
          </w:p>
        </w:tc>
      </w:tr>
      <w:tr>
        <w:tc>
          <w:tcPr>
            <w:tcW w:type="dxa" w:w="3312"/>
            <w:shd w:fill="F8FAFC"/>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left"/>
            </w:pPr>
            <w:r>
              <w:rPr>
                <w:rFonts w:ascii="Times New Roman" w:hAnsi="Times New Roman"/>
                <w:color w:val="1F2937"/>
                <w:sz w:val="20"/>
              </w:rPr>
              <w:t>2nd Class Male Child (Master)</w:t>
            </w:r>
          </w:p>
        </w:tc>
        <w:tc>
          <w:tcPr>
            <w:tcW w:type="dxa" w:w="1440"/>
            <w:shd w:fill="F8FAFC"/>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11</w:t>
            </w:r>
          </w:p>
        </w:tc>
        <w:tc>
          <w:tcPr>
            <w:tcW w:type="dxa" w:w="1584"/>
            <w:shd w:fill="F8FAFC"/>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100.0%</w:t>
            </w:r>
          </w:p>
        </w:tc>
        <w:tc>
          <w:tcPr>
            <w:tcW w:type="dxa" w:w="1440"/>
            <w:shd w:fill="F8FAFC"/>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0.942</w:t>
            </w:r>
          </w:p>
        </w:tc>
        <w:tc>
          <w:tcPr>
            <w:tcW w:type="dxa" w:w="1685"/>
            <w:shd w:fill="F8FAFC"/>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Δ = -0.058</w:t>
            </w:r>
          </w:p>
        </w:tc>
      </w:tr>
      <w:tr>
        <w:tc>
          <w:tcPr>
            <w:tcW w:type="dxa" w:w="3312"/>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left"/>
            </w:pPr>
            <w:r>
              <w:rPr>
                <w:rFonts w:ascii="Times New Roman" w:hAnsi="Times New Roman"/>
                <w:color w:val="1F2937"/>
                <w:sz w:val="20"/>
              </w:rPr>
              <w:t>3rd Class Female (Solo)</w:t>
            </w:r>
          </w:p>
        </w:tc>
        <w:tc>
          <w:tcPr>
            <w:tcW w:type="dxa" w:w="1440"/>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60</w:t>
            </w:r>
          </w:p>
        </w:tc>
        <w:tc>
          <w:tcPr>
            <w:tcW w:type="dxa" w:w="1584"/>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61.7%</w:t>
            </w:r>
          </w:p>
        </w:tc>
        <w:tc>
          <w:tcPr>
            <w:tcW w:type="dxa" w:w="1440"/>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0.634</w:t>
            </w:r>
          </w:p>
        </w:tc>
        <w:tc>
          <w:tcPr>
            <w:tcW w:type="dxa" w:w="1685"/>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Δ = +0.017</w:t>
            </w:r>
          </w:p>
        </w:tc>
      </w:tr>
      <w:tr>
        <w:tc>
          <w:tcPr>
            <w:tcW w:type="dxa" w:w="3312"/>
            <w:shd w:fill="F8FAFC"/>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left"/>
            </w:pPr>
            <w:r>
              <w:rPr>
                <w:rFonts w:ascii="Times New Roman" w:hAnsi="Times New Roman"/>
                <w:color w:val="1F2937"/>
                <w:sz w:val="20"/>
              </w:rPr>
              <w:t>3rd Class Female (Large Family &gt;= 5)</w:t>
            </w:r>
          </w:p>
        </w:tc>
        <w:tc>
          <w:tcPr>
            <w:tcW w:type="dxa" w:w="1440"/>
            <w:shd w:fill="F8FAFC"/>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31</w:t>
            </w:r>
          </w:p>
        </w:tc>
        <w:tc>
          <w:tcPr>
            <w:tcW w:type="dxa" w:w="1584"/>
            <w:shd w:fill="F8FAFC"/>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25.8%</w:t>
            </w:r>
          </w:p>
        </w:tc>
        <w:tc>
          <w:tcPr>
            <w:tcW w:type="dxa" w:w="1440"/>
            <w:shd w:fill="F8FAFC"/>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0.274</w:t>
            </w:r>
          </w:p>
        </w:tc>
        <w:tc>
          <w:tcPr>
            <w:tcW w:type="dxa" w:w="1685"/>
            <w:shd w:fill="F8FAFC"/>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Δ = +0.016</w:t>
            </w:r>
          </w:p>
        </w:tc>
      </w:tr>
      <w:tr>
        <w:tc>
          <w:tcPr>
            <w:tcW w:type="dxa" w:w="3312"/>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left"/>
            </w:pPr>
            <w:r>
              <w:rPr>
                <w:rFonts w:ascii="Times New Roman" w:hAnsi="Times New Roman"/>
                <w:color w:val="1F2937"/>
                <w:sz w:val="20"/>
              </w:rPr>
              <w:t>1st Class Adult Male (Solo)</w:t>
            </w:r>
          </w:p>
        </w:tc>
        <w:tc>
          <w:tcPr>
            <w:tcW w:type="dxa" w:w="1440"/>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105</w:t>
            </w:r>
          </w:p>
        </w:tc>
        <w:tc>
          <w:tcPr>
            <w:tcW w:type="dxa" w:w="1584"/>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35.2%</w:t>
            </w:r>
          </w:p>
        </w:tc>
        <w:tc>
          <w:tcPr>
            <w:tcW w:type="dxa" w:w="1440"/>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0.368</w:t>
            </w:r>
          </w:p>
        </w:tc>
        <w:tc>
          <w:tcPr>
            <w:tcW w:type="dxa" w:w="1685"/>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Δ = +0.016</w:t>
            </w:r>
          </w:p>
        </w:tc>
      </w:tr>
      <w:tr>
        <w:tc>
          <w:tcPr>
            <w:tcW w:type="dxa" w:w="3312"/>
            <w:shd w:fill="F8FAFC"/>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left"/>
            </w:pPr>
            <w:r>
              <w:rPr>
                <w:rFonts w:ascii="Times New Roman" w:hAnsi="Times New Roman"/>
                <w:color w:val="1F2937"/>
                <w:sz w:val="20"/>
              </w:rPr>
              <w:t>3rd Class Adult Male (Solo)</w:t>
            </w:r>
          </w:p>
        </w:tc>
        <w:tc>
          <w:tcPr>
            <w:tcW w:type="dxa" w:w="1440"/>
            <w:shd w:fill="F8FAFC"/>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318</w:t>
            </w:r>
          </w:p>
        </w:tc>
        <w:tc>
          <w:tcPr>
            <w:tcW w:type="dxa" w:w="1584"/>
            <w:shd w:fill="F8FAFC"/>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11.9%</w:t>
            </w:r>
          </w:p>
        </w:tc>
        <w:tc>
          <w:tcPr>
            <w:tcW w:type="dxa" w:w="1440"/>
            <w:shd w:fill="F8FAFC"/>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0.112</w:t>
            </w:r>
          </w:p>
        </w:tc>
        <w:tc>
          <w:tcPr>
            <w:tcW w:type="dxa" w:w="1685"/>
            <w:shd w:fill="F8FAFC"/>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Δ = -0.007</w:t>
            </w:r>
          </w:p>
        </w:tc>
      </w:tr>
    </w:tbl>
    <w:p>
      <w:pPr>
        <w:spacing w:after="120"/>
      </w:pPr>
    </w:p>
    <w:p>
      <w:pPr>
        <w:spacing w:line="360" w:lineRule="auto" w:after="120"/>
        <w:jc w:val="both"/>
      </w:pPr>
      <w:r>
        <w:rPr>
          <w:rFonts w:ascii="Times New Roman" w:hAnsi="Times New Roman"/>
          <w:color w:val="111827"/>
          <w:sz w:val="24"/>
        </w:rPr>
        <w:t>Table 3.3B empirically validates the Council's intervention: female passengers in 3rd class with large families experienced survival rates of only 25.8%, colliding with the traditional 'women and children first' assumption. Priya's FamilySize and Compound_Group_Survival features captured this non-linear interaction with remarkable fidelity, resulting in an expected calibration delta |Δ| &lt; 0.02 across 7 of the 8 cohorts.</w:t>
      </w:r>
    </w:p>
    <w:p>
      <w:pPr>
        <w:keepNext/>
        <w:spacing w:before="280" w:after="120"/>
        <w:jc w:val="left"/>
      </w:pPr>
      <w:r>
        <w:rPr>
          <w:rFonts w:ascii="Times New Roman" w:hAnsi="Times New Roman"/>
          <w:b/>
          <w:color w:val="1F2937"/>
          <w:sz w:val="26"/>
        </w:rPr>
        <w:t>3.5 Model Tournament &amp; Optuna Bayesian Optimization Trajectories</w:t>
      </w:r>
    </w:p>
    <w:p>
      <w:pPr>
        <w:spacing w:line="360" w:lineRule="auto" w:after="120"/>
        <w:jc w:val="both"/>
      </w:pPr>
      <w:r>
        <w:rPr>
          <w:rFonts w:ascii="Times New Roman" w:hAnsi="Times New Roman"/>
          <w:color w:val="111827"/>
          <w:sz w:val="24"/>
        </w:rPr>
        <w:t>Rather than arbitrarily selecting an algorithm, Julian executed a rigorous competitive multi-algorithm tournament across five distinct model families under identical 5-fold stratified cross-validation. Table 3.4 summarizes the tournament metrics:</w:t>
      </w:r>
    </w:p>
    <w:tbl>
      <w:tblPr>
        <w:tblW w:type="auto" w:w="0"/>
        <w:jc w:val="center"/>
        <w:tblLayout w:type="fixed"/>
        <w:tblLook w:firstColumn="1" w:firstRow="1" w:lastColumn="0" w:lastRow="0" w:noHBand="0" w:noVBand="1" w:val="04A0"/>
      </w:tblPr>
      <w:tblGrid>
        <w:gridCol w:w="1505"/>
        <w:gridCol w:w="1505"/>
        <w:gridCol w:w="1505"/>
        <w:gridCol w:w="1505"/>
        <w:gridCol w:w="1505"/>
        <w:gridCol w:w="1505"/>
      </w:tblGrid>
      <w:tr>
        <w:tc>
          <w:tcPr>
            <w:tcW w:type="dxa" w:w="2592"/>
            <w:shd w:fill="1E3A8A"/>
            <w:tcMar>
              <w:top w:w="120" w:type="dxa"/>
              <w:bottom w:w="120" w:type="dxa"/>
              <w:left w:w="140" w:type="dxa"/>
              <w:right w:w="140" w:type="dxa"/>
            </w:tcMar>
            <w:tcBorders>
              <w:top w:val="single" w:sz="6" w:space="0" w:color="1E3A8A"/>
              <w:left w:val="single" w:sz="4" w:space="0" w:color="CBD5E1"/>
              <w:bottom w:val="single" w:sz="12" w:space="0" w:color="0F172A"/>
              <w:right w:val="single" w:sz="4" w:space="0" w:color="CBD5E1"/>
            </w:tcBorders>
          </w:tcPr>
          <w:p>
            <w:pPr>
              <w:spacing w:after="0"/>
              <w:jc w:val="center"/>
            </w:pPr>
            <w:r>
              <w:rPr>
                <w:rFonts w:ascii="Times New Roman" w:hAnsi="Times New Roman"/>
                <w:b/>
                <w:color w:val="FFFFFF"/>
                <w:sz w:val="21"/>
              </w:rPr>
              <w:t>Candidate Algorithm</w:t>
            </w:r>
          </w:p>
        </w:tc>
        <w:tc>
          <w:tcPr>
            <w:tcW w:type="dxa" w:w="1440"/>
            <w:shd w:fill="1E3A8A"/>
            <w:tcMar>
              <w:top w:w="120" w:type="dxa"/>
              <w:bottom w:w="120" w:type="dxa"/>
              <w:left w:w="140" w:type="dxa"/>
              <w:right w:w="140" w:type="dxa"/>
            </w:tcMar>
            <w:tcBorders>
              <w:top w:val="single" w:sz="6" w:space="0" w:color="1E3A8A"/>
              <w:left w:val="single" w:sz="4" w:space="0" w:color="CBD5E1"/>
              <w:bottom w:val="single" w:sz="12" w:space="0" w:color="0F172A"/>
              <w:right w:val="single" w:sz="4" w:space="0" w:color="CBD5E1"/>
            </w:tcBorders>
          </w:tcPr>
          <w:p>
            <w:pPr>
              <w:spacing w:after="0"/>
              <w:jc w:val="center"/>
            </w:pPr>
            <w:r>
              <w:rPr>
                <w:rFonts w:ascii="Times New Roman" w:hAnsi="Times New Roman"/>
                <w:b/>
                <w:color w:val="FFFFFF"/>
                <w:sz w:val="21"/>
              </w:rPr>
              <w:t>Train Accuracy</w:t>
            </w:r>
          </w:p>
        </w:tc>
        <w:tc>
          <w:tcPr>
            <w:tcW w:type="dxa" w:w="2160"/>
            <w:shd w:fill="1E3A8A"/>
            <w:tcMar>
              <w:top w:w="120" w:type="dxa"/>
              <w:bottom w:w="120" w:type="dxa"/>
              <w:left w:w="140" w:type="dxa"/>
              <w:right w:w="140" w:type="dxa"/>
            </w:tcMar>
            <w:tcBorders>
              <w:top w:val="single" w:sz="6" w:space="0" w:color="1E3A8A"/>
              <w:left w:val="single" w:sz="4" w:space="0" w:color="CBD5E1"/>
              <w:bottom w:val="single" w:sz="12" w:space="0" w:color="0F172A"/>
              <w:right w:val="single" w:sz="4" w:space="0" w:color="CBD5E1"/>
            </w:tcBorders>
          </w:tcPr>
          <w:p>
            <w:pPr>
              <w:spacing w:after="0"/>
              <w:jc w:val="center"/>
            </w:pPr>
            <w:r>
              <w:rPr>
                <w:rFonts w:ascii="Times New Roman" w:hAnsi="Times New Roman"/>
                <w:b/>
                <w:color w:val="FFFFFF"/>
                <w:sz w:val="21"/>
              </w:rPr>
              <w:t>CV Accuracy (Mean ± Std)</w:t>
            </w:r>
          </w:p>
        </w:tc>
        <w:tc>
          <w:tcPr>
            <w:tcW w:type="dxa" w:w="1440"/>
            <w:shd w:fill="1E3A8A"/>
            <w:tcMar>
              <w:top w:w="120" w:type="dxa"/>
              <w:bottom w:w="120" w:type="dxa"/>
              <w:left w:w="140" w:type="dxa"/>
              <w:right w:w="140" w:type="dxa"/>
            </w:tcMar>
            <w:tcBorders>
              <w:top w:val="single" w:sz="6" w:space="0" w:color="1E3A8A"/>
              <w:left w:val="single" w:sz="4" w:space="0" w:color="CBD5E1"/>
              <w:bottom w:val="single" w:sz="12" w:space="0" w:color="0F172A"/>
              <w:right w:val="single" w:sz="4" w:space="0" w:color="CBD5E1"/>
            </w:tcBorders>
          </w:tcPr>
          <w:p>
            <w:pPr>
              <w:spacing w:after="0"/>
              <w:jc w:val="center"/>
            </w:pPr>
            <w:r>
              <w:rPr>
                <w:rFonts w:ascii="Times New Roman" w:hAnsi="Times New Roman"/>
                <w:b/>
                <w:color w:val="FFFFFF"/>
                <w:sz w:val="21"/>
              </w:rPr>
              <w:t>Holdout ROC-AUC</w:t>
            </w:r>
          </w:p>
        </w:tc>
        <w:tc>
          <w:tcPr>
            <w:tcW w:type="dxa" w:w="1440"/>
            <w:shd w:fill="1E3A8A"/>
            <w:tcMar>
              <w:top w:w="120" w:type="dxa"/>
              <w:bottom w:w="120" w:type="dxa"/>
              <w:left w:w="140" w:type="dxa"/>
              <w:right w:w="140" w:type="dxa"/>
            </w:tcMar>
            <w:tcBorders>
              <w:top w:val="single" w:sz="6" w:space="0" w:color="1E3A8A"/>
              <w:left w:val="single" w:sz="4" w:space="0" w:color="CBD5E1"/>
              <w:bottom w:val="single" w:sz="12" w:space="0" w:color="0F172A"/>
              <w:right w:val="single" w:sz="4" w:space="0" w:color="CBD5E1"/>
            </w:tcBorders>
          </w:tcPr>
          <w:p>
            <w:pPr>
              <w:spacing w:after="0"/>
              <w:jc w:val="center"/>
            </w:pPr>
            <w:r>
              <w:rPr>
                <w:rFonts w:ascii="Times New Roman" w:hAnsi="Times New Roman"/>
                <w:b/>
                <w:color w:val="FFFFFF"/>
                <w:sz w:val="21"/>
              </w:rPr>
              <w:t>Holdout PR-AUC</w:t>
            </w:r>
          </w:p>
        </w:tc>
        <w:tc>
          <w:tcPr>
            <w:tcW w:type="dxa" w:w="1685"/>
            <w:shd w:fill="1E3A8A"/>
            <w:tcMar>
              <w:top w:w="120" w:type="dxa"/>
              <w:bottom w:w="120" w:type="dxa"/>
              <w:left w:w="140" w:type="dxa"/>
              <w:right w:w="140" w:type="dxa"/>
            </w:tcMar>
            <w:tcBorders>
              <w:top w:val="single" w:sz="6" w:space="0" w:color="1E3A8A"/>
              <w:left w:val="single" w:sz="4" w:space="0" w:color="CBD5E1"/>
              <w:bottom w:val="single" w:sz="12" w:space="0" w:color="0F172A"/>
              <w:right w:val="single" w:sz="4" w:space="0" w:color="CBD5E1"/>
            </w:tcBorders>
          </w:tcPr>
          <w:p>
            <w:pPr>
              <w:spacing w:after="0"/>
              <w:jc w:val="center"/>
            </w:pPr>
            <w:r>
              <w:rPr>
                <w:rFonts w:ascii="Times New Roman" w:hAnsi="Times New Roman"/>
                <w:b/>
                <w:color w:val="FFFFFF"/>
                <w:sz w:val="21"/>
              </w:rPr>
              <w:t>Generalization Gap</w:t>
            </w:r>
          </w:p>
        </w:tc>
      </w:tr>
      <w:tr>
        <w:tc>
          <w:tcPr>
            <w:tcW w:type="dxa" w:w="2592"/>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left"/>
            </w:pPr>
            <w:r>
              <w:rPr>
                <w:rFonts w:ascii="Times New Roman" w:hAnsi="Times New Roman"/>
                <w:color w:val="1F2937"/>
                <w:sz w:val="20"/>
              </w:rPr>
              <w:t>Dummy Baseline (Prior)</w:t>
            </w:r>
          </w:p>
        </w:tc>
        <w:tc>
          <w:tcPr>
            <w:tcW w:type="dxa" w:w="1440"/>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0.616</w:t>
            </w:r>
          </w:p>
        </w:tc>
        <w:tc>
          <w:tcPr>
            <w:tcW w:type="dxa" w:w="2160"/>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0.616 ± 0.002</w:t>
            </w:r>
          </w:p>
        </w:tc>
        <w:tc>
          <w:tcPr>
            <w:tcW w:type="dxa" w:w="1440"/>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0.500</w:t>
            </w:r>
          </w:p>
        </w:tc>
        <w:tc>
          <w:tcPr>
            <w:tcW w:type="dxa" w:w="1440"/>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0.384</w:t>
            </w:r>
          </w:p>
        </w:tc>
        <w:tc>
          <w:tcPr>
            <w:tcW w:type="dxa" w:w="1685"/>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0.000</w:t>
            </w:r>
          </w:p>
        </w:tc>
      </w:tr>
      <w:tr>
        <w:tc>
          <w:tcPr>
            <w:tcW w:type="dxa" w:w="2592"/>
            <w:shd w:fill="F8FAFC"/>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left"/>
            </w:pPr>
            <w:r>
              <w:rPr>
                <w:rFonts w:ascii="Times New Roman" w:hAnsi="Times New Roman"/>
                <w:color w:val="1F2937"/>
                <w:sz w:val="20"/>
              </w:rPr>
              <w:t>Logistic Regression (L2)</w:t>
            </w:r>
          </w:p>
        </w:tc>
        <w:tc>
          <w:tcPr>
            <w:tcW w:type="dxa" w:w="1440"/>
            <w:shd w:fill="F8FAFC"/>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0.828</w:t>
            </w:r>
          </w:p>
        </w:tc>
        <w:tc>
          <w:tcPr>
            <w:tcW w:type="dxa" w:w="2160"/>
            <w:shd w:fill="F8FAFC"/>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0.822 ± 0.018</w:t>
            </w:r>
          </w:p>
        </w:tc>
        <w:tc>
          <w:tcPr>
            <w:tcW w:type="dxa" w:w="1440"/>
            <w:shd w:fill="F8FAFC"/>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0.862</w:t>
            </w:r>
          </w:p>
        </w:tc>
        <w:tc>
          <w:tcPr>
            <w:tcW w:type="dxa" w:w="1440"/>
            <w:shd w:fill="F8FAFC"/>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0.828</w:t>
            </w:r>
          </w:p>
        </w:tc>
        <w:tc>
          <w:tcPr>
            <w:tcW w:type="dxa" w:w="1685"/>
            <w:shd w:fill="F8FAFC"/>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0.006</w:t>
            </w:r>
          </w:p>
        </w:tc>
      </w:tr>
      <w:tr>
        <w:tc>
          <w:tcPr>
            <w:tcW w:type="dxa" w:w="2592"/>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left"/>
            </w:pPr>
            <w:r>
              <w:rPr>
                <w:rFonts w:ascii="Times New Roman" w:hAnsi="Times New Roman"/>
                <w:color w:val="1F2937"/>
                <w:sz w:val="20"/>
              </w:rPr>
              <w:t>Random Forest (100 trees)</w:t>
            </w:r>
          </w:p>
        </w:tc>
        <w:tc>
          <w:tcPr>
            <w:tcW w:type="dxa" w:w="1440"/>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0.968</w:t>
            </w:r>
          </w:p>
        </w:tc>
        <w:tc>
          <w:tcPr>
            <w:tcW w:type="dxa" w:w="2160"/>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0.835 ± 0.021</w:t>
            </w:r>
          </w:p>
        </w:tc>
        <w:tc>
          <w:tcPr>
            <w:tcW w:type="dxa" w:w="1440"/>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0.871</w:t>
            </w:r>
          </w:p>
        </w:tc>
        <w:tc>
          <w:tcPr>
            <w:tcW w:type="dxa" w:w="1440"/>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0.839</w:t>
            </w:r>
          </w:p>
        </w:tc>
        <w:tc>
          <w:tcPr>
            <w:tcW w:type="dxa" w:w="1685"/>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0.133 (Overfit)</w:t>
            </w:r>
          </w:p>
        </w:tc>
      </w:tr>
      <w:tr>
        <w:tc>
          <w:tcPr>
            <w:tcW w:type="dxa" w:w="2592"/>
            <w:shd w:fill="F8FAFC"/>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left"/>
            </w:pPr>
            <w:r>
              <w:rPr>
                <w:rFonts w:ascii="Times New Roman" w:hAnsi="Times New Roman"/>
                <w:color w:val="1F2937"/>
                <w:sz w:val="20"/>
              </w:rPr>
              <w:t>HistGradientBoosting</w:t>
            </w:r>
          </w:p>
        </w:tc>
        <w:tc>
          <w:tcPr>
            <w:tcW w:type="dxa" w:w="1440"/>
            <w:shd w:fill="F8FAFC"/>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0.895</w:t>
            </w:r>
          </w:p>
        </w:tc>
        <w:tc>
          <w:tcPr>
            <w:tcW w:type="dxa" w:w="2160"/>
            <w:shd w:fill="F8FAFC"/>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0.848 ± 0.015</w:t>
            </w:r>
          </w:p>
        </w:tc>
        <w:tc>
          <w:tcPr>
            <w:tcW w:type="dxa" w:w="1440"/>
            <w:shd w:fill="F8FAFC"/>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0.879</w:t>
            </w:r>
          </w:p>
        </w:tc>
        <w:tc>
          <w:tcPr>
            <w:tcW w:type="dxa" w:w="1440"/>
            <w:shd w:fill="F8FAFC"/>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0.846</w:t>
            </w:r>
          </w:p>
        </w:tc>
        <w:tc>
          <w:tcPr>
            <w:tcW w:type="dxa" w:w="1685"/>
            <w:shd w:fill="F8FAFC"/>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0.047</w:t>
            </w:r>
          </w:p>
        </w:tc>
      </w:tr>
      <w:tr>
        <w:tc>
          <w:tcPr>
            <w:tcW w:type="dxa" w:w="2592"/>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left"/>
            </w:pPr>
            <w:r>
              <w:rPr>
                <w:rFonts w:ascii="Times New Roman" w:hAnsi="Times New Roman"/>
                <w:color w:val="1F2937"/>
                <w:sz w:val="20"/>
              </w:rPr>
              <w:t>LightGBM (Champion)</w:t>
            </w:r>
          </w:p>
        </w:tc>
        <w:tc>
          <w:tcPr>
            <w:tcW w:type="dxa" w:w="1440"/>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0.884</w:t>
            </w:r>
          </w:p>
        </w:tc>
        <w:tc>
          <w:tcPr>
            <w:tcW w:type="dxa" w:w="2160"/>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0.862 ± 0.012</w:t>
            </w:r>
          </w:p>
        </w:tc>
        <w:tc>
          <w:tcPr>
            <w:tcW w:type="dxa" w:w="1440"/>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0.882</w:t>
            </w:r>
          </w:p>
        </w:tc>
        <w:tc>
          <w:tcPr>
            <w:tcW w:type="dxa" w:w="1440"/>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0.854</w:t>
            </w:r>
          </w:p>
        </w:tc>
        <w:tc>
          <w:tcPr>
            <w:tcW w:type="dxa" w:w="1685"/>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0.022 (Robust)</w:t>
            </w:r>
          </w:p>
        </w:tc>
      </w:tr>
    </w:tbl>
    <w:p>
      <w:pPr>
        <w:spacing w:after="120"/>
      </w:pPr>
    </w:p>
    <w:p>
      <w:pPr>
        <w:keepNext/>
        <w:spacing w:before="280" w:after="120"/>
        <w:jc w:val="left"/>
      </w:pPr>
      <w:r>
        <w:rPr>
          <w:rFonts w:ascii="Times New Roman" w:hAnsi="Times New Roman"/>
          <w:b/>
          <w:color w:val="1F2937"/>
          <w:sz w:val="26"/>
        </w:rPr>
        <w:t>3.5.2 Hyperparameter Search Bounds and Optuna Tuning Trajectory</w:t>
      </w:r>
    </w:p>
    <w:p>
      <w:pPr>
        <w:spacing w:line="360" w:lineRule="auto" w:after="120"/>
        <w:jc w:val="both"/>
      </w:pPr>
      <w:r>
        <w:rPr>
          <w:rFonts w:ascii="Times New Roman" w:hAnsi="Times New Roman"/>
          <w:color w:val="111827"/>
          <w:sz w:val="24"/>
        </w:rPr>
        <w:t>Julian conducted an automated 50-trial Bayesian optimization study using Optuna's Tree-Structured Parzen Estimator (TPE). Table 3.5 details the hyperparameter search spaces and champion configurations:</w:t>
      </w:r>
    </w:p>
    <w:tbl>
      <w:tblPr>
        <w:tblW w:type="auto" w:w="0"/>
        <w:jc w:val="center"/>
        <w:tblLayout w:type="fixed"/>
        <w:tblLook w:firstColumn="1" w:firstRow="1" w:lastColumn="0" w:lastRow="0" w:noHBand="0" w:noVBand="1" w:val="04A0"/>
      </w:tblPr>
      <w:tblGrid>
        <w:gridCol w:w="1806"/>
        <w:gridCol w:w="1806"/>
        <w:gridCol w:w="1806"/>
        <w:gridCol w:w="1806"/>
        <w:gridCol w:w="1806"/>
      </w:tblGrid>
      <w:tr>
        <w:tc>
          <w:tcPr>
            <w:tcW w:type="dxa" w:w="2160"/>
            <w:shd w:fill="1E3A8A"/>
            <w:tcMar>
              <w:top w:w="120" w:type="dxa"/>
              <w:bottom w:w="120" w:type="dxa"/>
              <w:left w:w="140" w:type="dxa"/>
              <w:right w:w="140" w:type="dxa"/>
            </w:tcMar>
            <w:tcBorders>
              <w:top w:val="single" w:sz="6" w:space="0" w:color="1E3A8A"/>
              <w:left w:val="single" w:sz="4" w:space="0" w:color="CBD5E1"/>
              <w:bottom w:val="single" w:sz="12" w:space="0" w:color="0F172A"/>
              <w:right w:val="single" w:sz="4" w:space="0" w:color="CBD5E1"/>
            </w:tcBorders>
          </w:tcPr>
          <w:p>
            <w:pPr>
              <w:spacing w:after="0"/>
              <w:jc w:val="center"/>
            </w:pPr>
            <w:r>
              <w:rPr>
                <w:rFonts w:ascii="Times New Roman" w:hAnsi="Times New Roman"/>
                <w:b/>
                <w:color w:val="FFFFFF"/>
                <w:sz w:val="21"/>
              </w:rPr>
              <w:t>Hyperparameter Parameter</w:t>
            </w:r>
          </w:p>
        </w:tc>
        <w:tc>
          <w:tcPr>
            <w:tcW w:type="dxa" w:w="1872"/>
            <w:shd w:fill="1E3A8A"/>
            <w:tcMar>
              <w:top w:w="120" w:type="dxa"/>
              <w:bottom w:w="120" w:type="dxa"/>
              <w:left w:w="140" w:type="dxa"/>
              <w:right w:w="140" w:type="dxa"/>
            </w:tcMar>
            <w:tcBorders>
              <w:top w:val="single" w:sz="6" w:space="0" w:color="1E3A8A"/>
              <w:left w:val="single" w:sz="4" w:space="0" w:color="CBD5E1"/>
              <w:bottom w:val="single" w:sz="12" w:space="0" w:color="0F172A"/>
              <w:right w:val="single" w:sz="4" w:space="0" w:color="CBD5E1"/>
            </w:tcBorders>
          </w:tcPr>
          <w:p>
            <w:pPr>
              <w:spacing w:after="0"/>
              <w:jc w:val="center"/>
            </w:pPr>
            <w:r>
              <w:rPr>
                <w:rFonts w:ascii="Times New Roman" w:hAnsi="Times New Roman"/>
                <w:b/>
                <w:color w:val="FFFFFF"/>
                <w:sz w:val="21"/>
              </w:rPr>
              <w:t>Search Space Distribution</w:t>
            </w:r>
          </w:p>
        </w:tc>
        <w:tc>
          <w:tcPr>
            <w:tcW w:type="dxa" w:w="1440"/>
            <w:shd w:fill="1E3A8A"/>
            <w:tcMar>
              <w:top w:w="120" w:type="dxa"/>
              <w:bottom w:w="120" w:type="dxa"/>
              <w:left w:w="140" w:type="dxa"/>
              <w:right w:w="140" w:type="dxa"/>
            </w:tcMar>
            <w:tcBorders>
              <w:top w:val="single" w:sz="6" w:space="0" w:color="1E3A8A"/>
              <w:left w:val="single" w:sz="4" w:space="0" w:color="CBD5E1"/>
              <w:bottom w:val="single" w:sz="12" w:space="0" w:color="0F172A"/>
              <w:right w:val="single" w:sz="4" w:space="0" w:color="CBD5E1"/>
            </w:tcBorders>
          </w:tcPr>
          <w:p>
            <w:pPr>
              <w:spacing w:after="0"/>
              <w:jc w:val="center"/>
            </w:pPr>
            <w:r>
              <w:rPr>
                <w:rFonts w:ascii="Times New Roman" w:hAnsi="Times New Roman"/>
                <w:b/>
                <w:color w:val="FFFFFF"/>
                <w:sz w:val="21"/>
              </w:rPr>
              <w:t>Search Bounds</w:t>
            </w:r>
          </w:p>
        </w:tc>
        <w:tc>
          <w:tcPr>
            <w:tcW w:type="dxa" w:w="1584"/>
            <w:shd w:fill="1E3A8A"/>
            <w:tcMar>
              <w:top w:w="120" w:type="dxa"/>
              <w:bottom w:w="120" w:type="dxa"/>
              <w:left w:w="140" w:type="dxa"/>
              <w:right w:w="140" w:type="dxa"/>
            </w:tcMar>
            <w:tcBorders>
              <w:top w:val="single" w:sz="6" w:space="0" w:color="1E3A8A"/>
              <w:left w:val="single" w:sz="4" w:space="0" w:color="CBD5E1"/>
              <w:bottom w:val="single" w:sz="12" w:space="0" w:color="0F172A"/>
              <w:right w:val="single" w:sz="4" w:space="0" w:color="CBD5E1"/>
            </w:tcBorders>
          </w:tcPr>
          <w:p>
            <w:pPr>
              <w:spacing w:after="0"/>
              <w:jc w:val="center"/>
            </w:pPr>
            <w:r>
              <w:rPr>
                <w:rFonts w:ascii="Times New Roman" w:hAnsi="Times New Roman"/>
                <w:b/>
                <w:color w:val="FFFFFF"/>
                <w:sz w:val="21"/>
              </w:rPr>
              <w:t>Winning Champion Value</w:t>
            </w:r>
          </w:p>
        </w:tc>
        <w:tc>
          <w:tcPr>
            <w:tcW w:type="dxa" w:w="2405"/>
            <w:shd w:fill="1E3A8A"/>
            <w:tcMar>
              <w:top w:w="120" w:type="dxa"/>
              <w:bottom w:w="120" w:type="dxa"/>
              <w:left w:w="140" w:type="dxa"/>
              <w:right w:w="140" w:type="dxa"/>
            </w:tcMar>
            <w:tcBorders>
              <w:top w:val="single" w:sz="6" w:space="0" w:color="1E3A8A"/>
              <w:left w:val="single" w:sz="4" w:space="0" w:color="CBD5E1"/>
              <w:bottom w:val="single" w:sz="12" w:space="0" w:color="0F172A"/>
              <w:right w:val="single" w:sz="4" w:space="0" w:color="CBD5E1"/>
            </w:tcBorders>
          </w:tcPr>
          <w:p>
            <w:pPr>
              <w:spacing w:after="0"/>
              <w:jc w:val="center"/>
            </w:pPr>
            <w:r>
              <w:rPr>
                <w:rFonts w:ascii="Times New Roman" w:hAnsi="Times New Roman"/>
                <w:b/>
                <w:color w:val="FFFFFF"/>
                <w:sz w:val="21"/>
              </w:rPr>
              <w:t>Regularization Purpose</w:t>
            </w:r>
          </w:p>
        </w:tc>
      </w:tr>
      <w:tr>
        <w:tc>
          <w:tcPr>
            <w:tcW w:type="dxa" w:w="2160"/>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left"/>
            </w:pPr>
            <w:r>
              <w:rPr>
                <w:rFonts w:ascii="Times New Roman" w:hAnsi="Times New Roman"/>
                <w:color w:val="1F2937"/>
                <w:sz w:val="20"/>
              </w:rPr>
              <w:t>num_leaves</w:t>
            </w:r>
          </w:p>
        </w:tc>
        <w:tc>
          <w:tcPr>
            <w:tcW w:type="dxa" w:w="1872"/>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Integer (Uniform)</w:t>
            </w:r>
          </w:p>
        </w:tc>
        <w:tc>
          <w:tcPr>
            <w:tcW w:type="dxa" w:w="1440"/>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[8, 64]</w:t>
            </w:r>
          </w:p>
        </w:tc>
        <w:tc>
          <w:tcPr>
            <w:tcW w:type="dxa" w:w="1584"/>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15</w:t>
            </w:r>
          </w:p>
        </w:tc>
        <w:tc>
          <w:tcPr>
            <w:tcW w:type="dxa" w:w="2405"/>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Constrains tree growth complexity</w:t>
            </w:r>
          </w:p>
        </w:tc>
      </w:tr>
      <w:tr>
        <w:tc>
          <w:tcPr>
            <w:tcW w:type="dxa" w:w="2160"/>
            <w:shd w:fill="F8FAFC"/>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left"/>
            </w:pPr>
            <w:r>
              <w:rPr>
                <w:rFonts w:ascii="Times New Roman" w:hAnsi="Times New Roman"/>
                <w:color w:val="1F2937"/>
                <w:sz w:val="20"/>
              </w:rPr>
              <w:t>max_depth</w:t>
            </w:r>
          </w:p>
        </w:tc>
        <w:tc>
          <w:tcPr>
            <w:tcW w:type="dxa" w:w="1872"/>
            <w:shd w:fill="F8FAFC"/>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Integer (Uniform)</w:t>
            </w:r>
          </w:p>
        </w:tc>
        <w:tc>
          <w:tcPr>
            <w:tcW w:type="dxa" w:w="1440"/>
            <w:shd w:fill="F8FAFC"/>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[3, 8]</w:t>
            </w:r>
          </w:p>
        </w:tc>
        <w:tc>
          <w:tcPr>
            <w:tcW w:type="dxa" w:w="1584"/>
            <w:shd w:fill="F8FAFC"/>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4</w:t>
            </w:r>
          </w:p>
        </w:tc>
        <w:tc>
          <w:tcPr>
            <w:tcW w:type="dxa" w:w="2405"/>
            <w:shd w:fill="F8FAFC"/>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Prevents deep isolated node splits</w:t>
            </w:r>
          </w:p>
        </w:tc>
      </w:tr>
      <w:tr>
        <w:tc>
          <w:tcPr>
            <w:tcW w:type="dxa" w:w="2160"/>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left"/>
            </w:pPr>
            <w:r>
              <w:rPr>
                <w:rFonts w:ascii="Times New Roman" w:hAnsi="Times New Roman"/>
                <w:color w:val="1F2937"/>
                <w:sz w:val="20"/>
              </w:rPr>
              <w:t>learning_rate</w:t>
            </w:r>
          </w:p>
        </w:tc>
        <w:tc>
          <w:tcPr>
            <w:tcW w:type="dxa" w:w="1872"/>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Float (Log-Uniform)</w:t>
            </w:r>
          </w:p>
        </w:tc>
        <w:tc>
          <w:tcPr>
            <w:tcW w:type="dxa" w:w="1440"/>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[0.01, 0.20]</w:t>
            </w:r>
          </w:p>
        </w:tc>
        <w:tc>
          <w:tcPr>
            <w:tcW w:type="dxa" w:w="1584"/>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0.042</w:t>
            </w:r>
          </w:p>
        </w:tc>
        <w:tc>
          <w:tcPr>
            <w:tcW w:type="dxa" w:w="2405"/>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Enforces conservative shrinkage</w:t>
            </w:r>
          </w:p>
        </w:tc>
      </w:tr>
      <w:tr>
        <w:tc>
          <w:tcPr>
            <w:tcW w:type="dxa" w:w="2160"/>
            <w:shd w:fill="F8FAFC"/>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left"/>
            </w:pPr>
            <w:r>
              <w:rPr>
                <w:rFonts w:ascii="Times New Roman" w:hAnsi="Times New Roman"/>
                <w:color w:val="1F2937"/>
                <w:sz w:val="20"/>
              </w:rPr>
              <w:t>min_child_samples</w:t>
            </w:r>
          </w:p>
        </w:tc>
        <w:tc>
          <w:tcPr>
            <w:tcW w:type="dxa" w:w="1872"/>
            <w:shd w:fill="F8FAFC"/>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Integer (Uniform)</w:t>
            </w:r>
          </w:p>
        </w:tc>
        <w:tc>
          <w:tcPr>
            <w:tcW w:type="dxa" w:w="1440"/>
            <w:shd w:fill="F8FAFC"/>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[10, 50]</w:t>
            </w:r>
          </w:p>
        </w:tc>
        <w:tc>
          <w:tcPr>
            <w:tcW w:type="dxa" w:w="1584"/>
            <w:shd w:fill="F8FAFC"/>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20</w:t>
            </w:r>
          </w:p>
        </w:tc>
        <w:tc>
          <w:tcPr>
            <w:tcW w:type="dxa" w:w="2405"/>
            <w:shd w:fill="F8FAFC"/>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Requires robust subgroup evidence</w:t>
            </w:r>
          </w:p>
        </w:tc>
      </w:tr>
      <w:tr>
        <w:tc>
          <w:tcPr>
            <w:tcW w:type="dxa" w:w="2160"/>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left"/>
            </w:pPr>
            <w:r>
              <w:rPr>
                <w:rFonts w:ascii="Times New Roman" w:hAnsi="Times New Roman"/>
                <w:color w:val="1F2937"/>
                <w:sz w:val="20"/>
              </w:rPr>
              <w:t>colsample_bytree</w:t>
            </w:r>
          </w:p>
        </w:tc>
        <w:tc>
          <w:tcPr>
            <w:tcW w:type="dxa" w:w="1872"/>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Float (Uniform)</w:t>
            </w:r>
          </w:p>
        </w:tc>
        <w:tc>
          <w:tcPr>
            <w:tcW w:type="dxa" w:w="1440"/>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[0.50, 1.00]</w:t>
            </w:r>
          </w:p>
        </w:tc>
        <w:tc>
          <w:tcPr>
            <w:tcW w:type="dxa" w:w="1584"/>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0.80</w:t>
            </w:r>
          </w:p>
        </w:tc>
        <w:tc>
          <w:tcPr>
            <w:tcW w:type="dxa" w:w="2405"/>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Feature subspace diversification</w:t>
            </w:r>
          </w:p>
        </w:tc>
      </w:tr>
      <w:tr>
        <w:tc>
          <w:tcPr>
            <w:tcW w:type="dxa" w:w="2160"/>
            <w:shd w:fill="F8FAFC"/>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left"/>
            </w:pPr>
            <w:r>
              <w:rPr>
                <w:rFonts w:ascii="Times New Roman" w:hAnsi="Times New Roman"/>
                <w:color w:val="1F2937"/>
                <w:sz w:val="20"/>
              </w:rPr>
              <w:t>reg_alpha (L1)</w:t>
            </w:r>
          </w:p>
        </w:tc>
        <w:tc>
          <w:tcPr>
            <w:tcW w:type="dxa" w:w="1872"/>
            <w:shd w:fill="F8FAFC"/>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Float (Log-Uniform)</w:t>
            </w:r>
          </w:p>
        </w:tc>
        <w:tc>
          <w:tcPr>
            <w:tcW w:type="dxa" w:w="1440"/>
            <w:shd w:fill="F8FAFC"/>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[1e-4, 10.0]</w:t>
            </w:r>
          </w:p>
        </w:tc>
        <w:tc>
          <w:tcPr>
            <w:tcW w:type="dxa" w:w="1584"/>
            <w:shd w:fill="F8FAFC"/>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0.150</w:t>
            </w:r>
          </w:p>
        </w:tc>
        <w:tc>
          <w:tcPr>
            <w:tcW w:type="dxa" w:w="2405"/>
            <w:shd w:fill="F8FAFC"/>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Drives non-predictive splits to zero</w:t>
            </w:r>
          </w:p>
        </w:tc>
      </w:tr>
      <w:tr>
        <w:tc>
          <w:tcPr>
            <w:tcW w:type="dxa" w:w="2160"/>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left"/>
            </w:pPr>
            <w:r>
              <w:rPr>
                <w:rFonts w:ascii="Times New Roman" w:hAnsi="Times New Roman"/>
                <w:color w:val="1F2937"/>
                <w:sz w:val="20"/>
              </w:rPr>
              <w:t>reg_lambda (L2)</w:t>
            </w:r>
          </w:p>
        </w:tc>
        <w:tc>
          <w:tcPr>
            <w:tcW w:type="dxa" w:w="1872"/>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Float (Log-Uniform)</w:t>
            </w:r>
          </w:p>
        </w:tc>
        <w:tc>
          <w:tcPr>
            <w:tcW w:type="dxa" w:w="1440"/>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[1e-4, 10.0]</w:t>
            </w:r>
          </w:p>
        </w:tc>
        <w:tc>
          <w:tcPr>
            <w:tcW w:type="dxa" w:w="1584"/>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0.320</w:t>
            </w:r>
          </w:p>
        </w:tc>
        <w:tc>
          <w:tcPr>
            <w:tcW w:type="dxa" w:w="2405"/>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Smooths leaf weight variance</w:t>
            </w:r>
          </w:p>
        </w:tc>
      </w:tr>
    </w:tbl>
    <w:p>
      <w:pPr>
        <w:spacing w:after="120"/>
      </w:pPr>
    </w:p>
    <w:p>
      <w:pPr>
        <w:keepNext/>
        <w:spacing w:before="280" w:after="120"/>
        <w:jc w:val="left"/>
      </w:pPr>
      <w:r>
        <w:rPr>
          <w:rFonts w:ascii="Times New Roman" w:hAnsi="Times New Roman"/>
          <w:b/>
          <w:color w:val="1F2937"/>
          <w:sz w:val="26"/>
        </w:rPr>
        <w:t>3.6 Model Governance, SHAP Attribution &amp; Cohort Fairness Auditing</w:t>
      </w:r>
    </w:p>
    <w:p>
      <w:pPr>
        <w:spacing w:line="360" w:lineRule="auto" w:after="120"/>
        <w:jc w:val="both"/>
      </w:pPr>
      <w:r>
        <w:rPr>
          <w:rFonts w:ascii="Times New Roman" w:hAnsi="Times New Roman"/>
          <w:color w:val="111827"/>
          <w:sz w:val="24"/>
        </w:rPr>
        <w:t>Prior to publication approval, Elena executed an exhaustive governance and explainability audit. Using TreeSHAP, exact Shapley values were computed for all 179 holdout test instances. Global SHAP beeswarm attributions revealed that the model's top three decision drivers were (1) Title_Category (female titles and young male 'Master' titles driving strong positive survival shifts), (2) Compound_Group_Survival (confirming that group evacuation dynamics dominated individual survival), and (3) Pclass / Fare_Per_Person (wealthier deck allocations providing physical lifeboat proximity).</w:t>
      </w:r>
    </w:p>
    <w:p>
      <w:pPr>
        <w:spacing w:line="360" w:lineRule="auto" w:after="120"/>
        <w:jc w:val="both"/>
      </w:pPr>
      <w:r>
        <w:rPr>
          <w:rFonts w:ascii="Times New Roman" w:hAnsi="Times New Roman"/>
          <w:color w:val="111827"/>
          <w:sz w:val="24"/>
        </w:rPr>
        <w:t>Furthermore, Elena conducted automated cohort error slicing across demographic and socioeconomic subgroups: (1) 1st Class Female cohort achieved 97.2% precision, (2) 3rd Class Solo Male cohort achieved 91.4% precision on non-survival, and (3) 3rd Class Extended Family cohort exhibited the highest prediction variance (81.2% accuracy), correctly flagged by Elena as an edge case due to competing evacuation choices among parents. Elena officially issued the governance verdict: [APPROVED FOR PRODUCTION INFERENCE].</w:t>
      </w:r>
    </w:p>
    <w:p>
      <w:r>
        <w:br w:type="page"/>
      </w:r>
    </w:p>
    <w:p>
      <w:pPr>
        <w:keepNext/>
        <w:spacing w:before="360" w:after="160"/>
        <w:jc w:val="left"/>
      </w:pPr>
      <w:r>
        <w:rPr>
          <w:rFonts w:ascii="Times New Roman" w:hAnsi="Times New Roman"/>
          <w:b/>
          <w:color w:val="1E3A8A"/>
          <w:sz w:val="30"/>
        </w:rPr>
        <w:t>CHAPTER 4: CONCLUSION, FUTURE SCOPE &amp; REFERENCES</w:t>
      </w:r>
    </w:p>
    <w:p>
      <w:pPr>
        <w:keepNext/>
        <w:spacing w:before="280" w:after="120"/>
        <w:jc w:val="left"/>
      </w:pPr>
      <w:r>
        <w:rPr>
          <w:rFonts w:ascii="Times New Roman" w:hAnsi="Times New Roman"/>
          <w:b/>
          <w:color w:val="1F2937"/>
          <w:sz w:val="26"/>
        </w:rPr>
        <w:t>4.1 Summary of Scientific Contributions</w:t>
      </w:r>
    </w:p>
    <w:p>
      <w:pPr>
        <w:spacing w:line="360" w:lineRule="auto" w:after="120"/>
        <w:jc w:val="both"/>
      </w:pPr>
      <w:r>
        <w:rPr>
          <w:rFonts w:ascii="Times New Roman" w:hAnsi="Times New Roman"/>
          <w:color w:val="111827"/>
          <w:sz w:val="24"/>
        </w:rPr>
        <w:t>This dissertation has presented ARIA (Autonomous Research Intelligence for Analytics), an enterprise-grade multi-agent autonomous framework designed to overcome the cognitive fragmentation, data leakage risks, and unverified hallucinations prevalent in contemporary automated data science. Through rigorous architectural design, disciplined stage-gating, and adversarial peer review, ARIA advances the state-of-the-art across key methodological dimensions:</w:t>
      </w:r>
    </w:p>
    <w:p>
      <w:pPr>
        <w:pStyle w:val="ListBullet"/>
        <w:spacing w:line="312" w:lineRule="auto" w:after="80"/>
        <w:jc w:val="both"/>
      </w:pPr>
      <w:r>
        <w:rPr>
          <w:rFonts w:ascii="Times New Roman" w:hAnsi="Times New Roman"/>
          <w:b/>
          <w:sz w:val="24"/>
        </w:rPr>
        <w:t xml:space="preserve">1. Persona-Grounded Specialization: </w:t>
      </w:r>
      <w:r>
        <w:rPr>
          <w:rFonts w:ascii="Times New Roman" w:hAnsi="Times New Roman"/>
          <w:sz w:val="24"/>
        </w:rPr>
        <w:t>Formalization of the Eight-Specialist Lifecycle: Deconstructed the full end-to-end data science lifecycle into eight dedicated specialist agents grounded in the published methodologies of renowned historical domain pioneers (Kimball, Celko, Tukey, Deming, Grandmasters, Breiman, Rudin, and Tufte). This modular specialization eliminates prompt interference and cognitive overloading.</w:t>
      </w:r>
    </w:p>
    <w:p>
      <w:pPr>
        <w:pStyle w:val="ListBullet"/>
        <w:spacing w:line="312" w:lineRule="auto" w:after="80"/>
        <w:jc w:val="both"/>
      </w:pPr>
      <w:r>
        <w:rPr>
          <w:rFonts w:ascii="Times New Roman" w:hAnsi="Times New Roman"/>
          <w:b/>
          <w:sz w:val="24"/>
        </w:rPr>
        <w:t xml:space="preserve">2. Adversarial Peer Review: </w:t>
      </w:r>
      <w:r>
        <w:rPr>
          <w:rFonts w:ascii="Times New Roman" w:hAnsi="Times New Roman"/>
          <w:sz w:val="24"/>
        </w:rPr>
        <w:t>The ARIA Council Protocol: Designed and implemented the first multi-agent adversarial peer-review mechanism in automated data science. By dynamically convening specialists to cross-examine analytical proposals from competing statistical, pipeline, and modeling perspectives, ARIA neutralizes lookahead leakage, collinearity, and overfitting before code execution.</w:t>
      </w:r>
    </w:p>
    <w:p>
      <w:pPr>
        <w:pStyle w:val="ListBullet"/>
        <w:spacing w:line="312" w:lineRule="auto" w:after="80"/>
        <w:jc w:val="both"/>
      </w:pPr>
      <w:r>
        <w:rPr>
          <w:rFonts w:ascii="Times New Roman" w:hAnsi="Times New Roman"/>
          <w:b/>
          <w:sz w:val="24"/>
        </w:rPr>
        <w:t xml:space="preserve">3. Invariant Enforcement: </w:t>
      </w:r>
      <w:r>
        <w:rPr>
          <w:rFonts w:ascii="Times New Roman" w:hAnsi="Times New Roman"/>
          <w:sz w:val="24"/>
        </w:rPr>
        <w:t>Inviolable Architectural Invariants: Established strict operational constraints, including a zero-leakage cross-validation isolation harness, deterministic ColumnTransformer serialization, and a zero raw LaTeX typography invariant guaranteeing clean Word deliverables across all platforms.</w:t>
      </w:r>
    </w:p>
    <w:p>
      <w:pPr>
        <w:keepNext/>
        <w:spacing w:before="280" w:after="120"/>
        <w:jc w:val="left"/>
      </w:pPr>
      <w:r>
        <w:rPr>
          <w:rFonts w:ascii="Times New Roman" w:hAnsi="Times New Roman"/>
          <w:b/>
          <w:color w:val="1F2937"/>
          <w:sz w:val="26"/>
        </w:rPr>
        <w:t>4.2 Practical Implications for Enterprise Analytics &amp; MLOps</w:t>
      </w:r>
    </w:p>
    <w:p>
      <w:pPr>
        <w:spacing w:line="360" w:lineRule="auto" w:after="120"/>
        <w:jc w:val="both"/>
      </w:pPr>
      <w:r>
        <w:rPr>
          <w:rFonts w:ascii="Times New Roman" w:hAnsi="Times New Roman"/>
          <w:color w:val="111827"/>
          <w:sz w:val="24"/>
        </w:rPr>
        <w:t>The empirical findings of this research offer profound practical implications for industry data science organizations:</w:t>
      </w:r>
    </w:p>
    <w:p>
      <w:pPr>
        <w:pStyle w:val="ListBullet"/>
        <w:spacing w:line="312" w:lineRule="auto" w:after="80"/>
        <w:jc w:val="both"/>
      </w:pPr>
      <w:r>
        <w:rPr>
          <w:rFonts w:ascii="Times New Roman" w:hAnsi="Times New Roman"/>
          <w:b/>
          <w:sz w:val="24"/>
        </w:rPr>
        <w:t xml:space="preserve">1. Modeling Hygiene: </w:t>
      </w:r>
      <w:r>
        <w:rPr>
          <w:rFonts w:ascii="Times New Roman" w:hAnsi="Times New Roman"/>
          <w:sz w:val="24"/>
        </w:rPr>
        <w:t>Elimination of Silent Failures: Automates elite-level MLOps hygiene, ensuring that all models deployed into production are mathematically isolated, cross-validated without lookahead bias, and leak-free.</w:t>
      </w:r>
    </w:p>
    <w:p>
      <w:pPr>
        <w:pStyle w:val="ListBullet"/>
        <w:spacing w:line="312" w:lineRule="auto" w:after="80"/>
        <w:jc w:val="both"/>
      </w:pPr>
      <w:r>
        <w:rPr>
          <w:rFonts w:ascii="Times New Roman" w:hAnsi="Times New Roman"/>
          <w:b/>
          <w:sz w:val="24"/>
        </w:rPr>
        <w:t xml:space="preserve">2. Analytical Velocity: </w:t>
      </w:r>
      <w:r>
        <w:rPr>
          <w:rFonts w:ascii="Times New Roman" w:hAnsi="Times New Roman"/>
          <w:sz w:val="24"/>
        </w:rPr>
        <w:t>Drastic Cycle-Time Compression: Compresses the journey from warehouse SQL extraction to an executive brief from weeks to minutes while maintaining publication-grade documentation.</w:t>
      </w:r>
    </w:p>
    <w:p>
      <w:pPr>
        <w:pStyle w:val="ListBullet"/>
        <w:spacing w:line="312" w:lineRule="auto" w:after="80"/>
        <w:jc w:val="both"/>
      </w:pPr>
      <w:r>
        <w:rPr>
          <w:rFonts w:ascii="Times New Roman" w:hAnsi="Times New Roman"/>
          <w:b/>
          <w:sz w:val="24"/>
        </w:rPr>
        <w:t xml:space="preserve">3. Regulatory Compliance: </w:t>
      </w:r>
      <w:r>
        <w:rPr>
          <w:rFonts w:ascii="Times New Roman" w:hAnsi="Times New Roman"/>
          <w:sz w:val="24"/>
        </w:rPr>
        <w:t>Built-In AI Governance: Out-of-the-box SHAP attributions, calibration curves, and cohort error slicing satisfy emerging regulatory mandates (e.g., EU AI Act) for compliance committees.</w:t>
      </w:r>
    </w:p>
    <w:p>
      <w:pPr>
        <w:keepNext/>
        <w:spacing w:before="280" w:after="120"/>
        <w:jc w:val="left"/>
      </w:pPr>
      <w:r>
        <w:rPr>
          <w:rFonts w:ascii="Times New Roman" w:hAnsi="Times New Roman"/>
          <w:b/>
          <w:color w:val="1F2937"/>
          <w:sz w:val="26"/>
        </w:rPr>
        <w:t>4.3 Limitations of Autonomous Multi-Agent Systems</w:t>
      </w:r>
    </w:p>
    <w:p>
      <w:pPr>
        <w:spacing w:line="360" w:lineRule="auto" w:after="120"/>
        <w:jc w:val="both"/>
      </w:pPr>
      <w:r>
        <w:rPr>
          <w:rFonts w:ascii="Times New Roman" w:hAnsi="Times New Roman"/>
          <w:color w:val="111827"/>
          <w:sz w:val="24"/>
        </w:rPr>
        <w:t>While ARIA represents a substantial leap forward, several technical limitations must be acknowledged:</w:t>
      </w:r>
    </w:p>
    <w:p>
      <w:pPr>
        <w:pStyle w:val="ListBullet"/>
        <w:spacing w:line="312" w:lineRule="auto" w:after="80"/>
        <w:jc w:val="both"/>
      </w:pPr>
      <w:r>
        <w:rPr>
          <w:rFonts w:ascii="Times New Roman" w:hAnsi="Times New Roman"/>
          <w:b/>
          <w:sz w:val="24"/>
        </w:rPr>
        <w:t xml:space="preserve">1. Computational Overhead: </w:t>
      </w:r>
      <w:r>
        <w:rPr>
          <w:rFonts w:ascii="Times New Roman" w:hAnsi="Times New Roman"/>
          <w:sz w:val="24"/>
        </w:rPr>
        <w:t>Token Economics &amp; Latency: Convening multi-agent adversarial debates across 8 specialists increases LLM token consumption and latency, though this is mitigated by our dynamic gating policy.</w:t>
      </w:r>
    </w:p>
    <w:p>
      <w:pPr>
        <w:pStyle w:val="ListBullet"/>
        <w:spacing w:line="312" w:lineRule="auto" w:after="80"/>
        <w:jc w:val="both"/>
      </w:pPr>
      <w:r>
        <w:rPr>
          <w:rFonts w:ascii="Times New Roman" w:hAnsi="Times New Roman"/>
          <w:b/>
          <w:sz w:val="24"/>
        </w:rPr>
        <w:t xml:space="preserve">2. Code Synthesis Dependencies: </w:t>
      </w:r>
      <w:r>
        <w:rPr>
          <w:rFonts w:ascii="Times New Roman" w:hAnsi="Times New Roman"/>
          <w:sz w:val="24"/>
        </w:rPr>
        <w:t>Foundation Model Reasoning: ARIA relies on the LLM's capacity to synthesize valid Python and SQL; non-standard database dialects can occasionally require fallback retries.</w:t>
      </w:r>
    </w:p>
    <w:p>
      <w:pPr>
        <w:pStyle w:val="ListBullet"/>
        <w:spacing w:line="312" w:lineRule="auto" w:after="80"/>
        <w:jc w:val="both"/>
      </w:pPr>
      <w:r>
        <w:rPr>
          <w:rFonts w:ascii="Times New Roman" w:hAnsi="Times New Roman"/>
          <w:b/>
          <w:sz w:val="24"/>
        </w:rPr>
        <w:t xml:space="preserve">3. Tabular Focus: </w:t>
      </w:r>
      <w:r>
        <w:rPr>
          <w:rFonts w:ascii="Times New Roman" w:hAnsi="Times New Roman"/>
          <w:sz w:val="24"/>
        </w:rPr>
        <w:t>Data Modality Scope: The current implementation focuses on structured tabular and relational data. Complex unstructured multimodal inputs require dedicated visual and audio agents.</w:t>
      </w:r>
    </w:p>
    <w:p>
      <w:pPr>
        <w:keepNext/>
        <w:spacing w:before="280" w:after="120"/>
        <w:jc w:val="left"/>
      </w:pPr>
      <w:r>
        <w:rPr>
          <w:rFonts w:ascii="Times New Roman" w:hAnsi="Times New Roman"/>
          <w:b/>
          <w:color w:val="1F2937"/>
          <w:sz w:val="26"/>
        </w:rPr>
        <w:t>4.4 Future Directions &amp; Research Roadmap</w:t>
      </w:r>
    </w:p>
    <w:p>
      <w:pPr>
        <w:spacing w:line="360" w:lineRule="auto" w:after="120"/>
        <w:jc w:val="both"/>
      </w:pPr>
      <w:r>
        <w:rPr>
          <w:rFonts w:ascii="Times New Roman" w:hAnsi="Times New Roman"/>
          <w:color w:val="111827"/>
          <w:sz w:val="24"/>
        </w:rPr>
        <w:t>We chart several promising avenues for future research:</w:t>
      </w:r>
    </w:p>
    <w:p>
      <w:pPr>
        <w:pStyle w:val="ListBullet"/>
        <w:spacing w:line="312" w:lineRule="auto" w:after="80"/>
        <w:jc w:val="both"/>
      </w:pPr>
      <w:r>
        <w:rPr>
          <w:rFonts w:ascii="Times New Roman" w:hAnsi="Times New Roman"/>
          <w:b/>
          <w:sz w:val="24"/>
        </w:rPr>
        <w:t xml:space="preserve">1. Episodic Knowledge Graphs: </w:t>
      </w:r>
      <w:r>
        <w:rPr>
          <w:rFonts w:ascii="Times New Roman" w:hAnsi="Times New Roman"/>
          <w:sz w:val="24"/>
        </w:rPr>
        <w:t>Continuous Agent Memory: Integrating vector-indexed graph databases to allow specialists to accumulate institutional domain memory across historical enterprise projects.</w:t>
      </w:r>
    </w:p>
    <w:p>
      <w:pPr>
        <w:pStyle w:val="ListBullet"/>
        <w:spacing w:line="312" w:lineRule="auto" w:after="80"/>
        <w:jc w:val="both"/>
      </w:pPr>
      <w:r>
        <w:rPr>
          <w:rFonts w:ascii="Times New Roman" w:hAnsi="Times New Roman"/>
          <w:b/>
          <w:sz w:val="24"/>
        </w:rPr>
        <w:t xml:space="preserve">2. Automated Drift Monitoring: </w:t>
      </w:r>
      <w:r>
        <w:rPr>
          <w:rFonts w:ascii="Times New Roman" w:hAnsi="Times New Roman"/>
          <w:sz w:val="24"/>
        </w:rPr>
        <w:t>Continuous Production Monitoring: Extending Elena's mandate to streaming inference, detecting covariate shift via Kolmogorov-Smirnov tests and triggering automated model retraining.</w:t>
      </w:r>
    </w:p>
    <w:p>
      <w:pPr>
        <w:pStyle w:val="ListBullet"/>
        <w:spacing w:line="312" w:lineRule="auto" w:after="80"/>
        <w:jc w:val="both"/>
      </w:pPr>
      <w:r>
        <w:rPr>
          <w:rFonts w:ascii="Times New Roman" w:hAnsi="Times New Roman"/>
          <w:b/>
          <w:sz w:val="24"/>
        </w:rPr>
        <w:t xml:space="preserve">3. Causal Inference Integration: </w:t>
      </w:r>
      <w:r>
        <w:rPr>
          <w:rFonts w:ascii="Times New Roman" w:hAnsi="Times New Roman"/>
          <w:sz w:val="24"/>
        </w:rPr>
        <w:t>Causal AI Expansion: Introducing a dedicated specialist agent to conduct causal DAG discovery, do-calculus, and counterfactual policy simulation beyond pure correlation.</w:t>
      </w:r>
    </w:p>
    <w:p>
      <w:r>
        <w:br w:type="page"/>
      </w:r>
    </w:p>
    <w:p>
      <w:pPr>
        <w:keepNext/>
        <w:spacing w:before="360" w:after="160"/>
        <w:jc w:val="left"/>
      </w:pPr>
      <w:r>
        <w:rPr>
          <w:rFonts w:ascii="Times New Roman" w:hAnsi="Times New Roman"/>
          <w:b/>
          <w:color w:val="1E3A8A"/>
          <w:sz w:val="30"/>
        </w:rPr>
        <w:t>REFERENCES</w:t>
      </w:r>
    </w:p>
    <w:p>
      <w:pPr>
        <w:spacing w:line="276" w:lineRule="auto" w:after="50"/>
        <w:ind w:left="504" w:hanging="504"/>
      </w:pPr>
      <w:r>
        <w:rPr>
          <w:rFonts w:ascii="Times New Roman" w:hAnsi="Times New Roman"/>
          <w:sz w:val="20"/>
        </w:rPr>
        <w:t>[1] J. Tukey, Exploratory Data Analysis. Reading, MA: Addison-Wesley, 1977.</w:t>
      </w:r>
    </w:p>
    <w:p>
      <w:pPr>
        <w:spacing w:line="276" w:lineRule="auto" w:after="50"/>
        <w:ind w:left="504" w:hanging="504"/>
      </w:pPr>
      <w:r>
        <w:rPr>
          <w:rFonts w:ascii="Times New Roman" w:hAnsi="Times New Roman"/>
          <w:sz w:val="20"/>
        </w:rPr>
        <w:t>[2] R. Kimball and M. Ross, The Data Warehouse Toolkit: The Definitive Guide to Dimensional Modeling, 3rd ed. New York: Wiley, 2013.</w:t>
      </w:r>
    </w:p>
    <w:p>
      <w:pPr>
        <w:spacing w:line="276" w:lineRule="auto" w:after="50"/>
        <w:ind w:left="504" w:hanging="504"/>
      </w:pPr>
      <w:r>
        <w:rPr>
          <w:rFonts w:ascii="Times New Roman" w:hAnsi="Times New Roman"/>
          <w:sz w:val="20"/>
        </w:rPr>
        <w:t>[3] J. Celko, Joe Celko's SQL for Smarties: Advanced SQL Programming, 5th ed. Amsterdam: Morgan Kaufmann, 2014.</w:t>
      </w:r>
    </w:p>
    <w:p>
      <w:pPr>
        <w:spacing w:line="276" w:lineRule="auto" w:after="50"/>
        <w:ind w:left="504" w:hanging="504"/>
      </w:pPr>
      <w:r>
        <w:rPr>
          <w:rFonts w:ascii="Times New Roman" w:hAnsi="Times New Roman"/>
          <w:sz w:val="20"/>
        </w:rPr>
        <w:t>[4] W. E. Deming, Out of the Crisis. Cambridge, MA: MIT Press, 2000.</w:t>
      </w:r>
    </w:p>
    <w:p>
      <w:pPr>
        <w:spacing w:line="276" w:lineRule="auto" w:after="50"/>
        <w:ind w:left="504" w:hanging="504"/>
      </w:pPr>
      <w:r>
        <w:rPr>
          <w:rFonts w:ascii="Times New Roman" w:hAnsi="Times New Roman"/>
          <w:sz w:val="20"/>
        </w:rPr>
        <w:t>[5] L. Breiman, 'Random Forests,' Machine Learning, vol. 45, no. 1, pp. 5–32, 2001.</w:t>
      </w:r>
    </w:p>
    <w:p>
      <w:pPr>
        <w:spacing w:line="276" w:lineRule="auto" w:after="50"/>
        <w:ind w:left="504" w:hanging="504"/>
      </w:pPr>
      <w:r>
        <w:rPr>
          <w:rFonts w:ascii="Times New Roman" w:hAnsi="Times New Roman"/>
          <w:sz w:val="20"/>
        </w:rPr>
        <w:t>[6] T. Chen and C. Guestrin, 'XGBoost: A Scalable Tree Boosting System,' in Proc. 22nd ACM SIGKDD Int. Conf., 2016, pp. 785–794.</w:t>
      </w:r>
    </w:p>
    <w:p>
      <w:pPr>
        <w:spacing w:line="276" w:lineRule="auto" w:after="50"/>
        <w:ind w:left="504" w:hanging="504"/>
      </w:pPr>
      <w:r>
        <w:rPr>
          <w:rFonts w:ascii="Times New Roman" w:hAnsi="Times New Roman"/>
          <w:sz w:val="20"/>
        </w:rPr>
        <w:t>[7] G. Ke, Q. Meng, T. Finley, et al., 'LightGBM: A Highly Efficient Gradient Boosting Decision Tree,' in NeurIPS, vol. 30, 2017.</w:t>
      </w:r>
    </w:p>
    <w:p>
      <w:pPr>
        <w:spacing w:line="276" w:lineRule="auto" w:after="50"/>
        <w:ind w:left="504" w:hanging="504"/>
      </w:pPr>
      <w:r>
        <w:rPr>
          <w:rFonts w:ascii="Times New Roman" w:hAnsi="Times New Roman"/>
          <w:sz w:val="20"/>
        </w:rPr>
        <w:t>[8] S. M. Lundberg and S.-I. Lee, 'A Unified Approach to Interpreting Model Predictions,' in NeurIPS, vol. 30, 2017.</w:t>
      </w:r>
    </w:p>
    <w:p>
      <w:pPr>
        <w:spacing w:line="276" w:lineRule="auto" w:after="50"/>
        <w:ind w:left="504" w:hanging="504"/>
      </w:pPr>
      <w:r>
        <w:rPr>
          <w:rFonts w:ascii="Times New Roman" w:hAnsi="Times New Roman"/>
          <w:sz w:val="20"/>
        </w:rPr>
        <w:t>[9] C. Rudin, 'Stop Explaining Black Box Machine Learning Models for High Stakes Decisions,' Nature Machine Intelligence, vol. 1, pp. 206–215, 2019.</w:t>
      </w:r>
    </w:p>
    <w:p>
      <w:pPr>
        <w:spacing w:line="276" w:lineRule="auto" w:after="50"/>
        <w:ind w:left="504" w:hanging="504"/>
      </w:pPr>
      <w:r>
        <w:rPr>
          <w:rFonts w:ascii="Times New Roman" w:hAnsi="Times New Roman"/>
          <w:sz w:val="20"/>
        </w:rPr>
        <w:t>[10] E. R. Tufte, The Visual Display of Quantitative Information, 2nd ed. Cheshire, CT: Graphics Press, 2001.</w:t>
      </w:r>
    </w:p>
    <w:p>
      <w:pPr>
        <w:spacing w:line="276" w:lineRule="auto" w:after="50"/>
        <w:ind w:left="504" w:hanging="504"/>
      </w:pPr>
      <w:r>
        <w:rPr>
          <w:rFonts w:ascii="Times New Roman" w:hAnsi="Times New Roman"/>
          <w:sz w:val="20"/>
        </w:rPr>
        <w:t>[11] B. Minto, The Pyramid Principle: Logic in Writing and Thinking, 3rd ed. London: Financial Times, 2002.</w:t>
      </w:r>
    </w:p>
    <w:p>
      <w:pPr>
        <w:spacing w:line="276" w:lineRule="auto" w:after="50"/>
        <w:ind w:left="504" w:hanging="504"/>
      </w:pPr>
      <w:r>
        <w:rPr>
          <w:rFonts w:ascii="Times New Roman" w:hAnsi="Times New Roman"/>
          <w:sz w:val="20"/>
        </w:rPr>
        <w:t>[12] S. Yao, J. Zhao, D. Yu, et al., 'ReAct: Synergizing Reasoning and Acting in Language Models,' in ICLR, 2023.</w:t>
      </w:r>
    </w:p>
    <w:p>
      <w:pPr>
        <w:spacing w:line="276" w:lineRule="auto" w:after="50"/>
        <w:ind w:left="504" w:hanging="504"/>
      </w:pPr>
      <w:r>
        <w:rPr>
          <w:rFonts w:ascii="Times New Roman" w:hAnsi="Times New Roman"/>
          <w:sz w:val="20"/>
        </w:rPr>
        <w:t>[13] Q. Wu, G. Bansal, J. Zhang, et al., 'AutoGen: Enabling Next-Gen LLM Applications via Multi-Agent Conversation,' arXiv:2308.08155, 2023.</w:t>
      </w:r>
    </w:p>
    <w:p>
      <w:pPr>
        <w:spacing w:line="276" w:lineRule="auto" w:after="50"/>
        <w:ind w:left="504" w:hanging="504"/>
      </w:pPr>
      <w:r>
        <w:rPr>
          <w:rFonts w:ascii="Times New Roman" w:hAnsi="Times New Roman"/>
          <w:sz w:val="20"/>
        </w:rPr>
        <w:t>[14] C. Hong, M. Zhuge, J. Chen, et al., 'MetaGPT: Meta Programming for Multi-Agent Collaborative Framework,' arXiv:2308.00352, 2023.</w:t>
      </w:r>
    </w:p>
    <w:p>
      <w:pPr>
        <w:spacing w:line="276" w:lineRule="auto" w:after="50"/>
        <w:ind w:left="504" w:hanging="504"/>
      </w:pPr>
      <w:r>
        <w:rPr>
          <w:rFonts w:ascii="Times New Roman" w:hAnsi="Times New Roman"/>
          <w:sz w:val="20"/>
        </w:rPr>
        <w:t>[15] T. Akiba, S. Sano, T. Yanase, et al., 'Optuna: A Next-generation Hyperparameter Optimization Framework,' in KDD, 2019, pp. 2623–2631.</w:t>
      </w:r>
    </w:p>
    <w:p>
      <w:pPr>
        <w:spacing w:line="276" w:lineRule="auto" w:after="50"/>
        <w:ind w:left="504" w:hanging="504"/>
      </w:pPr>
      <w:r>
        <w:rPr>
          <w:rFonts w:ascii="Times New Roman" w:hAnsi="Times New Roman"/>
          <w:sz w:val="20"/>
        </w:rPr>
        <w:t>[16] F. Pedregosa, G. Varoquaux, et al., 'Scikit-learn: Machine Learning in Python,' JMLR, vol. 12, pp. 2825–2830, 2011.</w:t>
      </w:r>
    </w:p>
    <w:p>
      <w:pPr>
        <w:spacing w:line="276" w:lineRule="auto" w:after="50"/>
        <w:ind w:left="504" w:hanging="504"/>
      </w:pPr>
      <w:r>
        <w:rPr>
          <w:rFonts w:ascii="Times New Roman" w:hAnsi="Times New Roman"/>
          <w:sz w:val="20"/>
        </w:rPr>
        <w:t>[17] M. Raasveldt and H. Mühleisen, 'DuckDB: An Embeddable Analytical Database,' in Proc. ACM SIGMOD, 2019, pp. 1981–1984.</w:t>
      </w:r>
    </w:p>
    <w:p>
      <w:pPr>
        <w:spacing w:line="276" w:lineRule="auto" w:after="50"/>
        <w:ind w:left="504" w:hanging="504"/>
      </w:pPr>
      <w:r>
        <w:rPr>
          <w:rFonts w:ascii="Times New Roman" w:hAnsi="Times New Roman"/>
          <w:sz w:val="20"/>
        </w:rPr>
        <w:t>[18] S. Kaufman, S. Rosset, and C. Perlich, 'Leakage in Data Mining: Formulation, Detection, and Avoidance,' ACM TKDD, vol. 6, no. 4, 2012.</w:t>
      </w:r>
    </w:p>
    <w:p>
      <w:r>
        <w:br w:type="page"/>
      </w:r>
    </w:p>
    <w:p>
      <w:pPr>
        <w:keepNext/>
        <w:spacing w:before="360" w:after="160"/>
        <w:jc w:val="left"/>
      </w:pPr>
      <w:r>
        <w:rPr>
          <w:rFonts w:ascii="Times New Roman" w:hAnsi="Times New Roman"/>
          <w:b/>
          <w:color w:val="1E3A8A"/>
          <w:sz w:val="30"/>
        </w:rPr>
        <w:t>APPENDIX: SYSTEM PROMPTS, MATHEMATICAL SPECIFICATIONS &amp; ARTIFACTS</w:t>
      </w:r>
    </w:p>
    <w:p>
      <w:pPr>
        <w:keepNext/>
        <w:spacing w:before="280" w:after="120"/>
        <w:jc w:val="left"/>
      </w:pPr>
      <w:r>
        <w:rPr>
          <w:rFonts w:ascii="Times New Roman" w:hAnsi="Times New Roman"/>
          <w:b/>
          <w:color w:val="1F2937"/>
          <w:sz w:val="26"/>
        </w:rPr>
        <w:t>Appendix A: The ARIA Council Protocol System Kernel</w:t>
      </w:r>
    </w:p>
    <w:p>
      <w:pPr>
        <w:spacing w:line="360" w:lineRule="auto" w:after="120"/>
        <w:jc w:val="both"/>
      </w:pPr>
      <w:r>
        <w:rPr>
          <w:rFonts w:ascii="Times New Roman" w:hAnsi="Times New Roman"/>
          <w:color w:val="111827"/>
          <w:sz w:val="24"/>
        </w:rPr>
        <w:t>The verified operational kernel enforcing adversarial peer-review within the ARIA Council (ds-agent-council) establishes four mandatory behavioral invariants:</w:t>
      </w:r>
    </w:p>
    <w:p>
      <w:pPr>
        <w:pStyle w:val="ListBullet"/>
        <w:spacing w:line="312" w:lineRule="auto" w:after="80"/>
        <w:jc w:val="both"/>
      </w:pPr>
      <w:r>
        <w:rPr>
          <w:rFonts w:ascii="Times New Roman" w:hAnsi="Times New Roman"/>
          <w:b/>
          <w:sz w:val="24"/>
        </w:rPr>
        <w:t xml:space="preserve">Invariant 1 (Gating): </w:t>
      </w:r>
      <w:r>
        <w:rPr>
          <w:rFonts w:ascii="Times New Roman" w:hAnsi="Times New Roman"/>
          <w:sz w:val="24"/>
        </w:rPr>
        <w:t>Dynamic Gating: Routine data inspections bypass the Council. High-stakes feature engineering, imputation, and modeling dilemmas mandate the Council roundtable.</w:t>
      </w:r>
    </w:p>
    <w:p>
      <w:pPr>
        <w:pStyle w:val="ListBullet"/>
        <w:spacing w:line="312" w:lineRule="auto" w:after="80"/>
        <w:jc w:val="both"/>
      </w:pPr>
      <w:r>
        <w:rPr>
          <w:rFonts w:ascii="Times New Roman" w:hAnsi="Times New Roman"/>
          <w:b/>
          <w:sz w:val="24"/>
        </w:rPr>
        <w:t xml:space="preserve">Invariant 2 (Integrity): </w:t>
      </w:r>
      <w:r>
        <w:rPr>
          <w:rFonts w:ascii="Times New Roman" w:hAnsi="Times New Roman"/>
          <w:sz w:val="24"/>
        </w:rPr>
        <w:t>Adversarial Integrity: Each specialist must provide concrete statistical, pipeline, or governance critiques. Superficial consensus is strictly prohibited.</w:t>
      </w:r>
    </w:p>
    <w:p>
      <w:pPr>
        <w:pStyle w:val="ListBullet"/>
        <w:spacing w:line="312" w:lineRule="auto" w:after="80"/>
        <w:jc w:val="both"/>
      </w:pPr>
      <w:r>
        <w:rPr>
          <w:rFonts w:ascii="Times New Roman" w:hAnsi="Times New Roman"/>
          <w:b/>
          <w:sz w:val="24"/>
        </w:rPr>
        <w:t xml:space="preserve">Invariant 3 (Typography): </w:t>
      </w:r>
      <w:r>
        <w:rPr>
          <w:rFonts w:ascii="Times New Roman" w:hAnsi="Times New Roman"/>
          <w:sz w:val="24"/>
        </w:rPr>
        <w:t>Zero Raw LaTeX Standard: Equations and metrics must be output as clean inline code spans (e.g., FamilySize = SibSp + Parch + 1) or Unicode mathematical symbols (±, ², ≥, ≤, ×, ÷). Raw LaTeX syntax ($...$, \text{...}) is permanently forbidden.</w:t>
      </w:r>
    </w:p>
    <w:p>
      <w:pPr>
        <w:pStyle w:val="ListBullet"/>
        <w:spacing w:line="312" w:lineRule="auto" w:after="80"/>
        <w:jc w:val="both"/>
      </w:pPr>
      <w:r>
        <w:rPr>
          <w:rFonts w:ascii="Times New Roman" w:hAnsi="Times New Roman"/>
          <w:b/>
          <w:sz w:val="24"/>
        </w:rPr>
        <w:t xml:space="preserve">Invariant 4 (Control): </w:t>
      </w:r>
      <w:r>
        <w:rPr>
          <w:rFonts w:ascii="Times New Roman" w:hAnsi="Times New Roman"/>
          <w:sz w:val="24"/>
        </w:rPr>
        <w:t>Human Confirmation Gate: No final Word deliverable is published without explicit user preview and sign-off.</w:t>
      </w:r>
    </w:p>
    <w:p>
      <w:pPr>
        <w:keepNext/>
        <w:spacing w:before="280" w:after="120"/>
        <w:jc w:val="left"/>
      </w:pPr>
      <w:r>
        <w:rPr>
          <w:rFonts w:ascii="Times New Roman" w:hAnsi="Times New Roman"/>
          <w:b/>
          <w:color w:val="1F2937"/>
          <w:sz w:val="26"/>
        </w:rPr>
        <w:t>Appendix B: Reproducible Pipeline Execution Artifacts</w:t>
      </w:r>
    </w:p>
    <w:p>
      <w:pPr>
        <w:spacing w:line="360" w:lineRule="auto" w:after="120"/>
        <w:jc w:val="both"/>
      </w:pPr>
      <w:r>
        <w:rPr>
          <w:rFonts w:ascii="Times New Roman" w:hAnsi="Times New Roman"/>
          <w:color w:val="111827"/>
          <w:sz w:val="24"/>
        </w:rPr>
        <w:t>All experimental pipelines, Parquet extracts, trained model binaries, and Optuna databases generated during this research are archived in the ARIA repository structure (scripts/, data/, models/, reports/). The complete software artifact suite is fully reproducible via standard Python 3.10+ execution environments.</w:t>
      </w:r>
    </w:p>
    <w:p>
      <w:pPr>
        <w:keepNext/>
        <w:spacing w:before="280" w:after="120"/>
        <w:jc w:val="left"/>
      </w:pPr>
      <w:r>
        <w:rPr>
          <w:rFonts w:ascii="Times New Roman" w:hAnsi="Times New Roman"/>
          <w:b/>
          <w:color w:val="1F2937"/>
          <w:sz w:val="26"/>
        </w:rPr>
        <w:t>Appendix C: Verified Mathematical Formulation Dictionary</w:t>
      </w:r>
    </w:p>
    <w:p>
      <w:pPr>
        <w:pStyle w:val="ListBullet"/>
        <w:spacing w:line="312" w:lineRule="auto" w:after="80"/>
        <w:jc w:val="both"/>
      </w:pPr>
      <w:r>
        <w:rPr>
          <w:rFonts w:ascii="Times New Roman" w:hAnsi="Times New Roman"/>
          <w:b/>
          <w:sz w:val="24"/>
        </w:rPr>
        <w:t xml:space="preserve">Feature Engineering: </w:t>
      </w:r>
      <w:r>
        <w:rPr>
          <w:rFonts w:ascii="Times New Roman" w:hAnsi="Times New Roman"/>
          <w:sz w:val="24"/>
        </w:rPr>
        <w:t>FamilySize = SibSp + Parch + 1; Fare_Per_Person = Fare / max(FamilySize, Ticket_Freq); Is_Alone = 1 if FamilySize == 1 else 0.</w:t>
      </w:r>
    </w:p>
    <w:p>
      <w:pPr>
        <w:pStyle w:val="ListBullet"/>
        <w:spacing w:line="312" w:lineRule="auto" w:after="80"/>
        <w:jc w:val="both"/>
      </w:pPr>
      <w:r>
        <w:rPr>
          <w:rFonts w:ascii="Times New Roman" w:hAnsi="Times New Roman"/>
          <w:b/>
          <w:sz w:val="24"/>
        </w:rPr>
        <w:t xml:space="preserve">Encodings: </w:t>
      </w:r>
      <w:r>
        <w:rPr>
          <w:rFonts w:ascii="Times New Roman" w:hAnsi="Times New Roman"/>
          <w:sz w:val="24"/>
        </w:rPr>
        <w:t>x_sin = sin(2 * π * t / T), x_cos = cos(2 * π * t / T); Smoothed OOF Target: S_i = λ_i * y_mean_i + (1 - λ_i) * y_mean_global.</w:t>
      </w:r>
    </w:p>
    <w:p>
      <w:pPr>
        <w:pStyle w:val="ListBullet"/>
        <w:spacing w:line="312" w:lineRule="auto" w:after="80"/>
        <w:jc w:val="both"/>
      </w:pPr>
      <w:r>
        <w:rPr>
          <w:rFonts w:ascii="Times New Roman" w:hAnsi="Times New Roman"/>
          <w:b/>
          <w:sz w:val="24"/>
        </w:rPr>
        <w:t xml:space="preserve">Model Diagnostics: </w:t>
      </w:r>
      <w:r>
        <w:rPr>
          <w:rFonts w:ascii="Times New Roman" w:hAnsi="Times New Roman"/>
          <w:sz w:val="24"/>
        </w:rPr>
        <w:t>VIF_j = 1 / (1 - R_j²); Brier = (1/N) * Σ (p_i - y_i)²; F_β = (1 + β²) * (Precision * Recall) / (β² * Precision + Recall).</w:t>
      </w:r>
    </w:p>
    <w:sectPr w:rsidR="00FC693F" w:rsidRPr="0006063C" w:rsidSect="00034616">
      <w:pgSz w:w="11909" w:h="16834"/>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both"/>
    </w:pPr>
    <w:rPr>
      <w:rFonts w:ascii="Times New Roman" w:hAnsi="Times New Roman"/>
      <w:color w:val="111827"/>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