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Contexto y aislamiento por delegación</w:t>
      </w:r>
    </w:p>
    <w:p>
      <w:r>
        <w:rPr>
          <w:b w:val="0"/>
        </w:rPr>
        <w:t>Ficha local con capturas y resultados incorporados dentro del documento. Se preservan las fechas, versiones y estados de las ejecuciones originales; esta edición documental no constituye una nueva ejecución.</w:t>
      </w:r>
    </w:p>
    <w:p>
      <w:r>
        <w:rPr>
          <w:b/>
        </w:rPr>
        <w:t>Las variantes aprobadas se respaldan con sus capturas o respuestas verificadas. La aceptación integral del caso exige considerar el alcance indicado.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1928"/>
        <w:gridCol w:w="7937"/>
      </w:tblGrid>
      <w:tr>
        <w:trPr>
          <w:cantSplit/>
          <w:tblHeader/>
        </w:trPr>
        <w:tc>
          <w:tcPr>
            <w:tcW w:type="dxa" w:w="1928"/>
            <w:vAlign w:val="center"/>
            <w:shd w:fill="AD0000"/>
          </w:tcPr>
          <w:p>
            <w:pPr>
              <w:keepNext w:val="0"/>
              <w:spacing w:after="0" w:line="247" w:lineRule="auto"/>
            </w:pPr>
            <w:r>
              <w:rPr>
                <w:rFonts w:ascii="Arial" w:hAnsi="Arial"/>
                <w:b/>
                <w:color w:val="FFFFFF"/>
                <w:sz w:val="18"/>
              </w:rPr>
              <w:t>Control</w:t>
            </w:r>
          </w:p>
        </w:tc>
        <w:tc>
          <w:tcPr>
            <w:tcW w:type="dxa" w:w="7937"/>
            <w:vAlign w:val="center"/>
            <w:shd w:fill="AD0000"/>
          </w:tcPr>
          <w:p>
            <w:pPr>
              <w:keepNext w:val="0"/>
              <w:spacing w:after="0" w:line="247" w:lineRule="auto"/>
            </w:pPr>
            <w:r>
              <w:rPr>
                <w:rFonts w:ascii="Arial" w:hAnsi="Arial"/>
                <w:b/>
                <w:color w:val="FFFFFF"/>
                <w:sz w:val="18"/>
              </w:rPr>
              <w:t>Registro</w:t>
            </w:r>
          </w:p>
        </w:tc>
      </w:tr>
      <w:tr>
        <w:trPr>
          <w:cantSplit/>
        </w:trPr>
        <w:tc>
          <w:tcPr>
            <w:tcW w:type="dxa" w:w="1928"/>
            <w:vAlign w:val="center"/>
            <w:shd w:fill="FFFFFF"/>
          </w:tcPr>
          <w:p>
            <w:pPr>
              <w:keepNext w:val="0"/>
              <w:spacing w:after="0" w:line="247" w:lineRule="auto"/>
            </w:pPr>
            <w:r>
              <w:rPr>
                <w:rFonts w:ascii="Arial" w:hAnsi="Arial"/>
                <w:b w:val="0"/>
                <w:color w:val="000000"/>
                <w:sz w:val="18"/>
              </w:rPr>
              <w:t>Casos y requisitos</w:t>
            </w:r>
          </w:p>
        </w:tc>
        <w:tc>
          <w:tcPr>
            <w:tcW w:type="dxa" w:w="7937"/>
            <w:vAlign w:val="center"/>
            <w:shd w:fill="FFFFFF"/>
          </w:tcPr>
          <w:p>
            <w:pPr>
              <w:keepNext w:val="0"/>
              <w:spacing w:after="0" w:line="247" w:lineRule="auto"/>
            </w:pPr>
            <w:r>
              <w:rPr>
                <w:rFonts w:ascii="Arial" w:hAnsi="Arial"/>
                <w:b w:val="0"/>
                <w:color w:val="000000"/>
                <w:sz w:val="18"/>
              </w:rPr>
              <w:t>ADM-06 · RNF-005</w:t>
            </w:r>
          </w:p>
        </w:tc>
      </w:tr>
      <w:tr>
        <w:trPr>
          <w:cantSplit/>
        </w:trPr>
        <w:tc>
          <w:tcPr>
            <w:tcW w:type="dxa" w:w="1928"/>
            <w:vAlign w:val="center"/>
            <w:shd w:fill="F4F4F4"/>
          </w:tcPr>
          <w:p>
            <w:pPr>
              <w:keepNext w:val="0"/>
              <w:spacing w:after="0" w:line="247" w:lineRule="auto"/>
            </w:pPr>
            <w:r>
              <w:rPr>
                <w:rFonts w:ascii="Arial" w:hAnsi="Arial"/>
                <w:b w:val="0"/>
                <w:color w:val="000000"/>
                <w:sz w:val="18"/>
              </w:rPr>
              <w:t>Historias y fuente</w:t>
            </w:r>
          </w:p>
        </w:tc>
        <w:tc>
          <w:tcPr>
            <w:tcW w:type="dxa" w:w="7937"/>
            <w:vAlign w:val="center"/>
            <w:shd w:fill="F4F4F4"/>
          </w:tcPr>
          <w:p>
            <w:pPr>
              <w:keepNext w:val="0"/>
              <w:spacing w:after="0" w:line="247" w:lineRule="auto"/>
            </w:pPr>
            <w:r>
              <w:rPr>
                <w:rFonts w:ascii="Arial" w:hAnsi="Arial"/>
                <w:b w:val="0"/>
                <w:color w:val="000000"/>
                <w:sz w:val="18"/>
              </w:rPr>
              <w:t>ADM-06: HU-26. Trazabilidad del PDF página 23. · Requisitos y Plan de Pruebas Segunda Evaluación SGR · páginas 9 · registro B20 página 24</w:t>
            </w:r>
          </w:p>
        </w:tc>
      </w:tr>
      <w:tr>
        <w:trPr>
          <w:cantSplit/>
        </w:trPr>
        <w:tc>
          <w:tcPr>
            <w:tcW w:type="dxa" w:w="1928"/>
            <w:vAlign w:val="center"/>
            <w:shd w:fill="FFFFFF"/>
          </w:tcPr>
          <w:p>
            <w:pPr>
              <w:keepNext w:val="0"/>
              <w:spacing w:after="0" w:line="247" w:lineRule="auto"/>
            </w:pPr>
            <w:r>
              <w:rPr>
                <w:rFonts w:ascii="Arial" w:hAnsi="Arial"/>
                <w:b w:val="0"/>
                <w:color w:val="000000"/>
                <w:sz w:val="18"/>
              </w:rPr>
              <w:t>Entorno</w:t>
            </w:r>
          </w:p>
        </w:tc>
        <w:tc>
          <w:tcPr>
            <w:tcW w:type="dxa" w:w="7937"/>
            <w:vAlign w:val="center"/>
            <w:shd w:fill="FFFFFF"/>
          </w:tcPr>
          <w:p>
            <w:pPr>
              <w:keepNext w:val="0"/>
              <w:spacing w:after="0" w:line="247" w:lineRule="auto"/>
            </w:pPr>
            <w:r>
              <w:rPr>
                <w:rFonts w:ascii="Arial" w:hAnsi="Arial"/>
                <w:b w:val="0"/>
                <w:color w:val="000000"/>
                <w:sz w:val="18"/>
              </w:rPr>
              <w:t>LOCAL/QA · http://127.0.0.1:8010 · MySQL 8.0.40 · Django 5.2.18 · Chrome for Testing 155. Capturas de la copia local aislada.</w:t>
            </w:r>
          </w:p>
        </w:tc>
      </w:tr>
      <w:tr>
        <w:trPr>
          <w:cantSplit/>
        </w:trPr>
        <w:tc>
          <w:tcPr>
            <w:tcW w:type="dxa" w:w="1928"/>
            <w:vAlign w:val="center"/>
            <w:shd w:fill="F4F4F4"/>
          </w:tcPr>
          <w:p>
            <w:pPr>
              <w:keepNext w:val="0"/>
              <w:spacing w:after="0" w:line="247" w:lineRule="auto"/>
            </w:pPr>
            <w:r>
              <w:rPr>
                <w:rFonts w:ascii="Arial" w:hAnsi="Arial"/>
                <w:b w:val="0"/>
                <w:color w:val="000000"/>
                <w:sz w:val="18"/>
              </w:rPr>
              <w:t>Versiones históricas</w:t>
            </w:r>
          </w:p>
        </w:tc>
        <w:tc>
          <w:tcPr>
            <w:tcW w:type="dxa" w:w="7937"/>
            <w:vAlign w:val="center"/>
            <w:shd w:fill="F4F4F4"/>
          </w:tcPr>
          <w:p>
            <w:pPr>
              <w:keepNext w:val="0"/>
              <w:spacing w:after="0" w:line="247" w:lineRule="auto"/>
            </w:pPr>
            <w:r>
              <w:rPr>
                <w:rFonts w:ascii="Arial" w:hAnsi="Arial"/>
                <w:b w:val="0"/>
                <w:color w:val="000000"/>
                <w:sz w:val="18"/>
              </w:rPr>
              <w:t>Servidor y acceso: df9b8ce52b47f60a080801d2c3086683710b01252752af8e7d7c38b8ea933b86. Pantallas y Gmail: af526f21b403cf8483b61c69b1ab3e27b12cf2cc1b34a4721e04920d582e412a.</w:t>
            </w:r>
          </w:p>
        </w:tc>
      </w:tr>
      <w:tr>
        <w:trPr>
          <w:cantSplit/>
        </w:trPr>
        <w:tc>
          <w:tcPr>
            <w:tcW w:type="dxa" w:w="1928"/>
            <w:vAlign w:val="center"/>
            <w:shd w:fill="FFFFFF"/>
          </w:tcPr>
          <w:p>
            <w:pPr>
              <w:keepNext w:val="0"/>
              <w:spacing w:after="0" w:line="247" w:lineRule="auto"/>
            </w:pPr>
            <w:r>
              <w:rPr>
                <w:rFonts w:ascii="Arial" w:hAnsi="Arial"/>
                <w:b w:val="0"/>
                <w:color w:val="000000"/>
                <w:sz w:val="18"/>
              </w:rPr>
              <w:t>Fecha y responsable</w:t>
            </w:r>
          </w:p>
        </w:tc>
        <w:tc>
          <w:tcPr>
            <w:tcW w:type="dxa" w:w="7937"/>
            <w:vAlign w:val="center"/>
            <w:shd w:fill="FFFFFF"/>
          </w:tcPr>
          <w:p>
            <w:pPr>
              <w:keepNext w:val="0"/>
              <w:spacing w:after="0" w:line="247" w:lineRule="auto"/>
            </w:pPr>
            <w:r>
              <w:rPr>
                <w:rFonts w:ascii="Arial" w:hAnsi="Arial"/>
                <w:b w:val="0"/>
                <w:color w:val="000000"/>
                <w:sz w:val="18"/>
              </w:rPr>
              <w:t>17-10-2026, America/Santiago. Ejecución automatizada solicitada por Daniel Flores. Aceptación humana e institucional no registrada.</w:t>
            </w:r>
          </w:p>
        </w:tc>
      </w:tr>
      <w:tr>
        <w:trPr>
          <w:cantSplit/>
        </w:trPr>
        <w:tc>
          <w:tcPr>
            <w:tcW w:type="dxa" w:w="1928"/>
            <w:vAlign w:val="center"/>
            <w:shd w:fill="F4F4F4"/>
          </w:tcPr>
          <w:p>
            <w:pPr>
              <w:keepNext w:val="0"/>
              <w:spacing w:after="0" w:line="247" w:lineRule="auto"/>
            </w:pPr>
            <w:r>
              <w:rPr>
                <w:rFonts w:ascii="Arial" w:hAnsi="Arial"/>
                <w:b w:val="0"/>
                <w:color w:val="000000"/>
                <w:sz w:val="18"/>
              </w:rPr>
              <w:t>Tarea y commit</w:t>
            </w:r>
          </w:p>
        </w:tc>
        <w:tc>
          <w:tcPr>
            <w:tcW w:type="dxa" w:w="7937"/>
            <w:vAlign w:val="center"/>
            <w:shd w:fill="F4F4F4"/>
          </w:tcPr>
          <w:p>
            <w:pPr>
              <w:keepNext w:val="0"/>
              <w:spacing w:after="0" w:line="247" w:lineRule="auto"/>
            </w:pPr>
            <w:r>
              <w:rPr>
                <w:rFonts w:ascii="Arial" w:hAnsi="Arial"/>
                <w:b w:val="0"/>
                <w:color w:val="000000"/>
                <w:sz w:val="18"/>
              </w:rPr>
              <w:t>Ejecuciones locales originales sin ID GitHub ni commit de entrega; identificadas mediante las huellas conservadas.</w:t>
            </w:r>
          </w:p>
        </w:tc>
      </w:tr>
      <w:tr>
        <w:trPr>
          <w:cantSplit/>
        </w:trPr>
        <w:tc>
          <w:tcPr>
            <w:tcW w:type="dxa" w:w="1928"/>
            <w:vAlign w:val="center"/>
            <w:shd w:fill="FFFFFF"/>
          </w:tcPr>
          <w:p>
            <w:pPr>
              <w:keepNext w:val="0"/>
              <w:spacing w:after="0" w:line="247" w:lineRule="auto"/>
            </w:pPr>
            <w:r>
              <w:rPr>
                <w:rFonts w:ascii="Arial" w:hAnsi="Arial"/>
                <w:b w:val="0"/>
                <w:color w:val="000000"/>
                <w:sz w:val="18"/>
              </w:rPr>
              <w:t>Cobertura integrada</w:t>
            </w:r>
          </w:p>
        </w:tc>
        <w:tc>
          <w:tcPr>
            <w:tcW w:type="dxa" w:w="7937"/>
            <w:vAlign w:val="center"/>
            <w:shd w:fill="FFFFFF"/>
          </w:tcPr>
          <w:p>
            <w:pPr>
              <w:keepNext w:val="0"/>
              <w:spacing w:after="0" w:line="247" w:lineRule="auto"/>
            </w:pPr>
            <w:r>
              <w:rPr>
                <w:rFonts w:ascii="Arial" w:hAnsi="Arial"/>
                <w:b w:val="0"/>
                <w:color w:val="000000"/>
                <w:sz w:val="18"/>
              </w:rPr>
              <w:t>5 comprobaciones de servidor; 9 registros de pantallas. Estados de pantalla: Aprobado 7, Rectificado en repetición 2.</w:t>
            </w:r>
          </w:p>
        </w:tc>
      </w:tr>
    </w:tbl>
    <w:p>
      <w:pPr>
        <w:pStyle w:val="Heading2"/>
      </w:pPr>
      <w:r>
        <w:t>Precondiciones y procedimiento</w:t>
      </w:r>
    </w:p>
    <w:p>
      <w:r>
        <w:rPr>
          <w:b w:val="0"/>
          <w:sz w:val="19"/>
        </w:rPr>
        <w:t>Precondiciones: F01/D01, F02/D02 y coordinador con alcance aprobado.</w:t>
      </w:r>
    </w:p>
    <w:p>
      <w:r>
        <w:rPr>
          <w:b w:val="0"/>
          <w:sz w:val="19"/>
        </w:rPr>
        <w:t>Pasos del plan: Abrir vistas y cambiar contexto cuando el perfil lo permita.</w:t>
      </w:r>
    </w:p>
    <w:p>
      <w:r>
        <w:rPr>
          <w:b w:val="0"/>
          <w:sz w:val="19"/>
        </w:rPr>
        <w:t>Resultado esperado: Cabecera y datos coinciden; solo delegaciones autorizadas en selector; contexto fijo si es único.</w:t>
      </w:r>
    </w:p>
    <w:p>
      <w:r>
        <w:rPr>
          <w:b w:val="0"/>
          <w:sz w:val="18"/>
        </w:rPr>
        <w:t>Cada variante de las páginas siguientes conserva su resultado observado y la captura que le corresponde. Las respuestas 400, 401, 403, 409 o 429 pueden ser resultados correctos de una prueba negativa. Las imágenes que ya ocultaban claves o códigos mantienen ese enmascaramiento original.</w:t>
      </w:r>
    </w:p>
    <w:p>
      <w:pPr>
        <w:pStyle w:val="Heading1"/>
        <w:pageBreakBefore/>
      </w:pPr>
      <w:r>
        <w:t>PANT-068 ADM-06</w:t>
      </w:r>
    </w:p>
    <w:p>
      <w:r>
        <w:rPr>
          <w:b/>
          <w:sz w:val="22"/>
        </w:rPr>
        <w:t>selector solo dos delegaciones autorizadas</w:t>
      </w:r>
    </w:p>
    <w:p>
      <w:r>
        <w:rPr>
          <w:b w:val="0"/>
          <w:sz w:val="17"/>
        </w:rPr>
        <w:t>Fecha de la ejecución: 2026-10-17T15:01:51.472Z · LOCAL/QA</w:t>
      </w:r>
    </w:p>
    <w:p>
      <w:r>
        <w:rPr>
          <w:b w:val="0"/>
          <w:sz w:val="18"/>
        </w:rPr>
        <w:t>Esperado: Persistencia, permiso o rechazo según el nombre de la comprobación. Especificación detallada y valores esperados en assert de la fuente reproducible. Cabecera y datos coinciden; solo delegaciones autorizadas en selector; contexto fijo si es único.</w:t>
      </w:r>
    </w:p>
    <w:p>
      <w:r>
        <w:rPr>
          <w:b w:val="0"/>
          <w:sz w:val="18"/>
        </w:rPr>
        <w:t>Obtenido: {"delegaciones": [21, 22]}</w:t>
      </w:r>
    </w:p>
    <w:p>
      <w:r>
        <w:rPr>
          <w:b/>
          <w:sz w:val="18"/>
        </w:rPr>
        <w:t>Estado: Aprobado</w:t>
      </w:r>
    </w:p>
    <w:p>
      <w:pPr>
        <w:spacing w:after="40"/>
        <w:jc w:val="center"/>
      </w:pPr>
      <w:r>
        <w:drawing>
          <wp:inline xmlns:a="http://schemas.openxmlformats.org/drawingml/2006/main" xmlns:pic="http://schemas.openxmlformats.org/drawingml/2006/picture">
            <wp:extent cx="6263999" cy="4854600"/>
            <wp:docPr id="1" name="Picture 1" descr="Captura original UI-083-selectorsolodosdelegacionesautorizadas.png · Conservada sin cambiar su contenido."/>
            <wp:cNvGraphicFramePr>
              <a:graphicFrameLocks noChangeAspect="1"/>
            </wp:cNvGraphicFramePr>
            <a:graphic>
              <a:graphicData uri="http://schemas.openxmlformats.org/drawingml/2006/picture">
                <pic:pic>
                  <pic:nvPicPr>
                    <pic:cNvPr id="0" name="UI-083-selectorsolodosdelegacionesautorizadas.png"/>
                    <pic:cNvPicPr/>
                  </pic:nvPicPr>
                  <pic:blipFill>
                    <a:blip r:embed="rId11"/>
                    <a:stretch>
                      <a:fillRect/>
                    </a:stretch>
                  </pic:blipFill>
                  <pic:spPr>
                    <a:xfrm>
                      <a:off x="0" y="0"/>
                      <a:ext cx="6263999" cy="4854600"/>
                    </a:xfrm>
                    <a:prstGeom prst="rect"/>
                  </pic:spPr>
                </pic:pic>
              </a:graphicData>
            </a:graphic>
          </wp:inline>
        </w:drawing>
      </w:r>
    </w:p>
    <w:p>
      <w:r>
        <w:rPr>
          <w:b w:val="0"/>
          <w:sz w:val="16"/>
        </w:rPr>
        <w:t>Captura original UI-083-selectorsolodosdelegacionesautorizadas.png · Conservada sin cambiar su contenido.</w:t>
      </w:r>
    </w:p>
    <w:p>
      <w:pPr>
        <w:pStyle w:val="Heading1"/>
        <w:pageBreakBefore/>
      </w:pPr>
      <w:r>
        <w:t>PANT-069 ADM-06</w:t>
      </w:r>
    </w:p>
    <w:p>
      <w:r>
        <w:rPr>
          <w:b/>
          <w:sz w:val="22"/>
        </w:rPr>
        <w:t>borrador al cambiar contexto mantener y descartar</w:t>
      </w:r>
    </w:p>
    <w:p>
      <w:r>
        <w:rPr>
          <w:b w:val="0"/>
          <w:sz w:val="17"/>
        </w:rPr>
        <w:t>Fecha de la ejecución: 2026-10-17T15:01:51.609Z · LOCAL/QA</w:t>
      </w:r>
    </w:p>
    <w:p>
      <w:r>
        <w:rPr>
          <w:b w:val="0"/>
          <w:sz w:val="18"/>
        </w:rPr>
        <w:t>Esperado: Persistencia, permiso o rechazo según el nombre de la comprobación. Especificación detallada y valores esperados en assert de la fuente reproducible. Cabecera y datos coinciden; solo delegaciones autorizadas en selector; contexto fijo si es único.</w:t>
      </w:r>
    </w:p>
    <w:p>
      <w:r>
        <w:rPr>
          <w:b w:val="0"/>
          <w:sz w:val="18"/>
        </w:rPr>
        <w:t>Obtenido: {"mantener_borrador": true, "cambiar_limpia": true, "cabecera_y_formulario_correctos": true}</w:t>
      </w:r>
    </w:p>
    <w:p>
      <w:r>
        <w:rPr>
          <w:b/>
          <w:sz w:val="18"/>
        </w:rPr>
        <w:t>Estado: Aprobado</w:t>
      </w:r>
    </w:p>
    <w:p>
      <w:pPr>
        <w:spacing w:after="40"/>
        <w:jc w:val="center"/>
      </w:pPr>
      <w:r>
        <w:drawing>
          <wp:inline xmlns:a="http://schemas.openxmlformats.org/drawingml/2006/main" xmlns:pic="http://schemas.openxmlformats.org/drawingml/2006/picture">
            <wp:extent cx="5718397" cy="6048000"/>
            <wp:docPr id="2" name="Picture 2" descr="Captura original UI-084-borradoralcambiarcontextomantenerydescartar.png · Conservada sin cambiar su contenido."/>
            <wp:cNvGraphicFramePr>
              <a:graphicFrameLocks noChangeAspect="1"/>
            </wp:cNvGraphicFramePr>
            <a:graphic>
              <a:graphicData uri="http://schemas.openxmlformats.org/drawingml/2006/picture">
                <pic:pic>
                  <pic:nvPicPr>
                    <pic:cNvPr id="0" name="UI-084-borradoralcambiarcontextomantenerydescartar.png"/>
                    <pic:cNvPicPr/>
                  </pic:nvPicPr>
                  <pic:blipFill>
                    <a:blip r:embed="rId12"/>
                    <a:stretch>
                      <a:fillRect/>
                    </a:stretch>
                  </pic:blipFill>
                  <pic:spPr>
                    <a:xfrm>
                      <a:off x="0" y="0"/>
                      <a:ext cx="5718397" cy="6048000"/>
                    </a:xfrm>
                    <a:prstGeom prst="rect"/>
                  </pic:spPr>
                </pic:pic>
              </a:graphicData>
            </a:graphic>
          </wp:inline>
        </w:drawing>
      </w:r>
    </w:p>
    <w:p>
      <w:r>
        <w:rPr>
          <w:b w:val="0"/>
          <w:sz w:val="16"/>
        </w:rPr>
        <w:t>Captura original UI-084-borradoralcambiarcontextomantenerydescartar.png · Conservada sin cambiar su contenido.</w:t>
      </w:r>
    </w:p>
    <w:p>
      <w:pPr>
        <w:pStyle w:val="Heading1"/>
        <w:pageBreakBefore/>
      </w:pPr>
      <w:r>
        <w:t>PANT-070 ADM-06</w:t>
      </w:r>
    </w:p>
    <w:p>
      <w:r>
        <w:rPr>
          <w:b/>
          <w:sz w:val="22"/>
        </w:rPr>
        <w:t>aislamiento listados y rechazo de delegación ajena</w:t>
      </w:r>
    </w:p>
    <w:p>
      <w:r>
        <w:rPr>
          <w:b w:val="0"/>
          <w:sz w:val="17"/>
        </w:rPr>
        <w:t>Fecha de la ejecución: 2026-10-17T15:01:52.925Z · LOCAL/QA</w:t>
      </w:r>
    </w:p>
    <w:p>
      <w:r>
        <w:rPr>
          <w:b w:val="0"/>
          <w:sz w:val="18"/>
        </w:rPr>
        <w:t>Esperado: Persistencia, permiso o rechazo según el nombre de la comprobación. Especificación detallada y valores esperados en assert de la fuente reproducible. Cabecera y datos coinciden; solo delegaciones autorizadas en selector; contexto fijo si es único.</w:t>
      </w:r>
    </w:p>
    <w:p>
      <w:r>
        <w:rPr>
          <w:b w:val="0"/>
          <w:sz w:val="18"/>
        </w:rPr>
        <w:t>Obtenido: page.evaluate: SyntaxError: Unexpected token '&lt;', "&lt;!DOCTYPE "... is not valid JSON</w:t>
      </w:r>
    </w:p>
    <w:p>
      <w:r>
        <w:rPr>
          <w:b/>
          <w:sz w:val="18"/>
        </w:rPr>
        <w:t>Estado: Rectificado en repetición</w:t>
      </w:r>
    </w:p>
    <w:p>
      <w:r>
        <w:rPr>
          <w:b w:val="0"/>
          <w:sz w:val="18"/>
        </w:rPr>
        <w:t>Se corrigieron supuestos del ensayo, sin cambiar la aplicación: token CSRF de la copia, espera del mensaje tras respuesta o selección de fila única tras producir duplicados. Resultado de repetición en resultados-complementarios.json o resultados-finales.json.</w:t>
      </w:r>
    </w:p>
    <w:p>
      <w:pPr>
        <w:spacing w:after="40"/>
        <w:jc w:val="center"/>
      </w:pPr>
      <w:r>
        <w:drawing>
          <wp:inline xmlns:a="http://schemas.openxmlformats.org/drawingml/2006/main" xmlns:pic="http://schemas.openxmlformats.org/drawingml/2006/picture">
            <wp:extent cx="5718397" cy="6048000"/>
            <wp:docPr id="3" name="Picture 3" descr="Captura original UI-085-aislamientolistadosyrechazodedelegacinajena.png · Conservada sin cambiar su contenido."/>
            <wp:cNvGraphicFramePr>
              <a:graphicFrameLocks noChangeAspect="1"/>
            </wp:cNvGraphicFramePr>
            <a:graphic>
              <a:graphicData uri="http://schemas.openxmlformats.org/drawingml/2006/picture">
                <pic:pic>
                  <pic:nvPicPr>
                    <pic:cNvPr id="0" name="UI-084-borradoralcambiarcontextomantenerydescartar.png"/>
                    <pic:cNvPicPr/>
                  </pic:nvPicPr>
                  <pic:blipFill>
                    <a:blip r:embed="rId12"/>
                    <a:stretch>
                      <a:fillRect/>
                    </a:stretch>
                  </pic:blipFill>
                  <pic:spPr>
                    <a:xfrm>
                      <a:off x="0" y="0"/>
                      <a:ext cx="5718397" cy="6048000"/>
                    </a:xfrm>
                    <a:prstGeom prst="rect"/>
                  </pic:spPr>
                </pic:pic>
              </a:graphicData>
            </a:graphic>
          </wp:inline>
        </w:drawing>
      </w:r>
    </w:p>
    <w:p>
      <w:r>
        <w:rPr>
          <w:b w:val="0"/>
          <w:sz w:val="16"/>
        </w:rPr>
        <w:t>Captura original UI-085-aislamientolistadosyrechazodedelegacinajena.png · Conservada sin cambiar su contenido.</w:t>
      </w:r>
    </w:p>
    <w:p>
      <w:pPr>
        <w:pStyle w:val="Heading1"/>
        <w:pageBreakBefore/>
      </w:pPr>
      <w:r>
        <w:t>PANT-071 ADM-04 ADM-06</w:t>
      </w:r>
    </w:p>
    <w:p>
      <w:r>
        <w:rPr>
          <w:b/>
          <w:sz w:val="22"/>
        </w:rPr>
        <w:t>consulta sin crear ni exportar y contexto fijo</w:t>
      </w:r>
    </w:p>
    <w:p>
      <w:r>
        <w:rPr>
          <w:b w:val="0"/>
          <w:sz w:val="17"/>
        </w:rPr>
        <w:t>Fecha de la ejecución: 2026-10-17T15:01:53.443Z · LOCAL/QA</w:t>
      </w:r>
    </w:p>
    <w:p>
      <w:r>
        <w:rPr>
          <w:b w:val="0"/>
          <w:sz w:val="18"/>
        </w:rPr>
        <w:t>Esperado: Persistencia, permiso o rechazo según el nombre de la comprobación. Especificación detallada y valores esperados en assert de la fuente reproducible. Solo operaciones autorizadas; baja del rol respeta usuarios vinculados; cambios auditables. Cabecera y datos coinciden; solo delegaciones autorizadas en selector; contexto fijo si es único.</w:t>
      </w:r>
    </w:p>
    <w:p>
      <w:r>
        <w:rPr>
          <w:b w:val="0"/>
          <w:sz w:val="18"/>
        </w:rPr>
        <w:t>Obtenido: page.evaluate: SyntaxError: Unexpected token '&lt;', "&lt;!DOCTYPE "... is not valid JSON</w:t>
      </w:r>
    </w:p>
    <w:p>
      <w:r>
        <w:rPr>
          <w:b/>
          <w:sz w:val="18"/>
        </w:rPr>
        <w:t>Estado: Rectificado en repetición</w:t>
      </w:r>
    </w:p>
    <w:p>
      <w:r>
        <w:rPr>
          <w:b w:val="0"/>
          <w:sz w:val="18"/>
        </w:rPr>
        <w:t>Se corrigieron supuestos del ensayo, sin cambiar la aplicación: token CSRF de la copia, espera del mensaje tras respuesta o selección de fila única tras producir duplicados. Resultado de repetición en resultados-complementarios.json o resultados-finales.json.</w:t>
      </w:r>
    </w:p>
    <w:p>
      <w:pPr>
        <w:spacing w:after="40"/>
        <w:jc w:val="center"/>
      </w:pPr>
      <w:r>
        <w:drawing>
          <wp:inline xmlns:a="http://schemas.openxmlformats.org/drawingml/2006/main" xmlns:pic="http://schemas.openxmlformats.org/drawingml/2006/picture">
            <wp:extent cx="6263999" cy="5998650"/>
            <wp:docPr id="4" name="Picture 4" descr="Captura original UI-086-consultasincrearniexportarycontextofijo.png · Conservada sin cambiar su contenido."/>
            <wp:cNvGraphicFramePr>
              <a:graphicFrameLocks noChangeAspect="1"/>
            </wp:cNvGraphicFramePr>
            <a:graphic>
              <a:graphicData uri="http://schemas.openxmlformats.org/drawingml/2006/picture">
                <pic:pic>
                  <pic:nvPicPr>
                    <pic:cNvPr id="0" name="UI-086-consultasincrearniexportarycontextofijo.png"/>
                    <pic:cNvPicPr/>
                  </pic:nvPicPr>
                  <pic:blipFill>
                    <a:blip r:embed="rId13"/>
                    <a:stretch>
                      <a:fillRect/>
                    </a:stretch>
                  </pic:blipFill>
                  <pic:spPr>
                    <a:xfrm>
                      <a:off x="0" y="0"/>
                      <a:ext cx="6263999" cy="5998650"/>
                    </a:xfrm>
                    <a:prstGeom prst="rect"/>
                  </pic:spPr>
                </pic:pic>
              </a:graphicData>
            </a:graphic>
          </wp:inline>
        </w:drawing>
      </w:r>
    </w:p>
    <w:p>
      <w:r>
        <w:rPr>
          <w:b w:val="0"/>
          <w:sz w:val="16"/>
        </w:rPr>
        <w:t>Captura original UI-086-consultasincrearniexportarycontextofijo.png · Conservada sin cambiar su contenido.</w:t>
      </w:r>
    </w:p>
    <w:p>
      <w:pPr>
        <w:pStyle w:val="Heading1"/>
        <w:pageBreakBefore/>
      </w:pPr>
      <w:r>
        <w:t>PANT-072 ADM-06</w:t>
      </w:r>
    </w:p>
    <w:p>
      <w:r>
        <w:rPr>
          <w:b/>
          <w:sz w:val="22"/>
        </w:rPr>
        <w:t>selector solo dos delegaciones autorizadas</w:t>
      </w:r>
    </w:p>
    <w:p>
      <w:r>
        <w:rPr>
          <w:b w:val="0"/>
          <w:sz w:val="17"/>
        </w:rPr>
        <w:t>Fecha de la ejecución: 2026-10-17T15:06:16.575Z · LOCAL/QA</w:t>
      </w:r>
    </w:p>
    <w:p>
      <w:r>
        <w:rPr>
          <w:b w:val="0"/>
          <w:sz w:val="18"/>
        </w:rPr>
        <w:t>Esperado: Persistencia, permiso o rechazo según el nombre de la comprobación. Especificación detallada y valores esperados en assert de la fuente reproducible. Cabecera y datos coinciden; solo delegaciones autorizadas en selector; contexto fijo si es único.</w:t>
      </w:r>
    </w:p>
    <w:p>
      <w:r>
        <w:rPr>
          <w:b w:val="0"/>
          <w:sz w:val="18"/>
        </w:rPr>
        <w:t>Obtenido: {"delegaciones": [21, 22]}</w:t>
      </w:r>
    </w:p>
    <w:p>
      <w:r>
        <w:rPr>
          <w:b/>
          <w:sz w:val="18"/>
        </w:rPr>
        <w:t>Estado: Aprobado</w:t>
      </w:r>
    </w:p>
    <w:p>
      <w:pPr>
        <w:spacing w:after="40"/>
        <w:jc w:val="center"/>
      </w:pPr>
      <w:r>
        <w:drawing>
          <wp:inline xmlns:a="http://schemas.openxmlformats.org/drawingml/2006/main" xmlns:pic="http://schemas.openxmlformats.org/drawingml/2006/picture">
            <wp:extent cx="6263999" cy="4854600"/>
            <wp:docPr id="5" name="Picture 5" descr="Captura original UI-1001-selectorsolodosdelegacionesautorizadas.png · Conservada sin cambiar su contenido."/>
            <wp:cNvGraphicFramePr>
              <a:graphicFrameLocks noChangeAspect="1"/>
            </wp:cNvGraphicFramePr>
            <a:graphic>
              <a:graphicData uri="http://schemas.openxmlformats.org/drawingml/2006/picture">
                <pic:pic>
                  <pic:nvPicPr>
                    <pic:cNvPr id="0" name="UI-1001-selectorsolodosdelegacionesautorizadas.png"/>
                    <pic:cNvPicPr/>
                  </pic:nvPicPr>
                  <pic:blipFill>
                    <a:blip r:embed="rId14"/>
                    <a:stretch>
                      <a:fillRect/>
                    </a:stretch>
                  </pic:blipFill>
                  <pic:spPr>
                    <a:xfrm>
                      <a:off x="0" y="0"/>
                      <a:ext cx="6263999" cy="4854600"/>
                    </a:xfrm>
                    <a:prstGeom prst="rect"/>
                  </pic:spPr>
                </pic:pic>
              </a:graphicData>
            </a:graphic>
          </wp:inline>
        </w:drawing>
      </w:r>
    </w:p>
    <w:p>
      <w:r>
        <w:rPr>
          <w:b w:val="0"/>
          <w:sz w:val="16"/>
        </w:rPr>
        <w:t>Captura original UI-1001-selectorsolodosdelegacionesautorizadas.png · Conservada sin cambiar su contenido.</w:t>
      </w:r>
    </w:p>
    <w:p>
      <w:pPr>
        <w:pStyle w:val="Heading1"/>
        <w:pageBreakBefore/>
      </w:pPr>
      <w:r>
        <w:t>PANT-073 ADM-06</w:t>
      </w:r>
    </w:p>
    <w:p>
      <w:r>
        <w:rPr>
          <w:b/>
          <w:sz w:val="22"/>
        </w:rPr>
        <w:t>borrador al cambiar contexto mantener y descartar</w:t>
      </w:r>
    </w:p>
    <w:p>
      <w:r>
        <w:rPr>
          <w:b w:val="0"/>
          <w:sz w:val="17"/>
        </w:rPr>
        <w:t>Fecha de la ejecución: 2026-10-17T15:06:16.681Z · LOCAL/QA</w:t>
      </w:r>
    </w:p>
    <w:p>
      <w:r>
        <w:rPr>
          <w:b w:val="0"/>
          <w:sz w:val="18"/>
        </w:rPr>
        <w:t>Esperado: Persistencia, permiso o rechazo según el nombre de la comprobación. Especificación detallada y valores esperados en assert de la fuente reproducible. Cabecera y datos coinciden; solo delegaciones autorizadas en selector; contexto fijo si es único.</w:t>
      </w:r>
    </w:p>
    <w:p>
      <w:r>
        <w:rPr>
          <w:b w:val="0"/>
          <w:sz w:val="18"/>
        </w:rPr>
        <w:t>Obtenido: {"mantener_borrador": true, "cambiar_limpia": true, "cabecera_y_formulario_correctos": true}</w:t>
      </w:r>
    </w:p>
    <w:p>
      <w:r>
        <w:rPr>
          <w:b/>
          <w:sz w:val="18"/>
        </w:rPr>
        <w:t>Estado: Aprobado</w:t>
      </w:r>
    </w:p>
    <w:p>
      <w:pPr>
        <w:spacing w:after="40"/>
        <w:jc w:val="center"/>
      </w:pPr>
      <w:r>
        <w:drawing>
          <wp:inline xmlns:a="http://schemas.openxmlformats.org/drawingml/2006/main" xmlns:pic="http://schemas.openxmlformats.org/drawingml/2006/picture">
            <wp:extent cx="5718397" cy="6048000"/>
            <wp:docPr id="6" name="Picture 6" descr="Captura original UI-1002-borradoralcambiarcontextomantenerydescartar.png · Conservada sin cambiar su contenido."/>
            <wp:cNvGraphicFramePr>
              <a:graphicFrameLocks noChangeAspect="1"/>
            </wp:cNvGraphicFramePr>
            <a:graphic>
              <a:graphicData uri="http://schemas.openxmlformats.org/drawingml/2006/picture">
                <pic:pic>
                  <pic:nvPicPr>
                    <pic:cNvPr id="0" name="UI-084-borradoralcambiarcontextomantenerydescartar.png"/>
                    <pic:cNvPicPr/>
                  </pic:nvPicPr>
                  <pic:blipFill>
                    <a:blip r:embed="rId12"/>
                    <a:stretch>
                      <a:fillRect/>
                    </a:stretch>
                  </pic:blipFill>
                  <pic:spPr>
                    <a:xfrm>
                      <a:off x="0" y="0"/>
                      <a:ext cx="5718397" cy="6048000"/>
                    </a:xfrm>
                    <a:prstGeom prst="rect"/>
                  </pic:spPr>
                </pic:pic>
              </a:graphicData>
            </a:graphic>
          </wp:inline>
        </w:drawing>
      </w:r>
    </w:p>
    <w:p>
      <w:r>
        <w:rPr>
          <w:b w:val="0"/>
          <w:sz w:val="16"/>
        </w:rPr>
        <w:t>Captura original UI-1002-borradoralcambiarcontextomantenerydescartar.png · Conservada sin cambiar su contenido.</w:t>
      </w:r>
    </w:p>
    <w:p>
      <w:pPr>
        <w:pStyle w:val="Heading1"/>
        <w:pageBreakBefore/>
      </w:pPr>
      <w:r>
        <w:t>PANT-074 ADM-06</w:t>
      </w:r>
    </w:p>
    <w:p>
      <w:r>
        <w:rPr>
          <w:b/>
          <w:sz w:val="22"/>
        </w:rPr>
        <w:t>aislamiento listados y rechazo de delegación ajena</w:t>
      </w:r>
    </w:p>
    <w:p>
      <w:r>
        <w:rPr>
          <w:b w:val="0"/>
          <w:sz w:val="17"/>
        </w:rPr>
        <w:t>Fecha de la ejecución: 2026-10-17T15:06:17.991Z · LOCAL/QA</w:t>
      </w:r>
    </w:p>
    <w:p>
      <w:r>
        <w:rPr>
          <w:b w:val="0"/>
          <w:sz w:val="18"/>
        </w:rPr>
        <w:t>Esperado: Persistencia, permiso o rechazo según el nombre de la comprobación. Especificación detallada y valores esperados en assert de la fuente reproducible. Cabecera y datos coinciden; solo delegaciones autorizadas en selector; contexto fijo si es único.</w:t>
      </w:r>
    </w:p>
    <w:p>
      <w:r>
        <w:rPr>
          <w:b w:val="0"/>
          <w:sz w:val="18"/>
        </w:rPr>
        <w:t>Obtenido: {"listado_otro_contexto_aislado": true, "cambio_ajeno": 403}</w:t>
      </w:r>
    </w:p>
    <w:p>
      <w:r>
        <w:rPr>
          <w:b/>
          <w:sz w:val="18"/>
        </w:rPr>
        <w:t>Estado: Aprobado</w:t>
      </w:r>
    </w:p>
    <w:p>
      <w:pPr>
        <w:spacing w:after="40"/>
        <w:jc w:val="center"/>
      </w:pPr>
      <w:r>
        <w:drawing>
          <wp:inline xmlns:a="http://schemas.openxmlformats.org/drawingml/2006/main" xmlns:pic="http://schemas.openxmlformats.org/drawingml/2006/picture">
            <wp:extent cx="5718397" cy="6048000"/>
            <wp:docPr id="7" name="Picture 7" descr="Captura original UI-1003-aislamientolistadosyrechazodedelegacinajena.png · Conservada sin cambiar su contenido."/>
            <wp:cNvGraphicFramePr>
              <a:graphicFrameLocks noChangeAspect="1"/>
            </wp:cNvGraphicFramePr>
            <a:graphic>
              <a:graphicData uri="http://schemas.openxmlformats.org/drawingml/2006/picture">
                <pic:pic>
                  <pic:nvPicPr>
                    <pic:cNvPr id="0" name="UI-084-borradoralcambiarcontextomantenerydescartar.png"/>
                    <pic:cNvPicPr/>
                  </pic:nvPicPr>
                  <pic:blipFill>
                    <a:blip r:embed="rId12"/>
                    <a:stretch>
                      <a:fillRect/>
                    </a:stretch>
                  </pic:blipFill>
                  <pic:spPr>
                    <a:xfrm>
                      <a:off x="0" y="0"/>
                      <a:ext cx="5718397" cy="6048000"/>
                    </a:xfrm>
                    <a:prstGeom prst="rect"/>
                  </pic:spPr>
                </pic:pic>
              </a:graphicData>
            </a:graphic>
          </wp:inline>
        </w:drawing>
      </w:r>
    </w:p>
    <w:p>
      <w:r>
        <w:rPr>
          <w:b w:val="0"/>
          <w:sz w:val="16"/>
        </w:rPr>
        <w:t>Captura original UI-1003-aislamientolistadosyrechazodedelegacinajena.png · Conservada sin cambiar su contenido.</w:t>
      </w:r>
    </w:p>
    <w:p>
      <w:pPr>
        <w:pStyle w:val="Heading1"/>
        <w:pageBreakBefore/>
      </w:pPr>
      <w:r>
        <w:t>PANT-075 ADM-04 ADM-06</w:t>
      </w:r>
    </w:p>
    <w:p>
      <w:r>
        <w:rPr>
          <w:b/>
          <w:sz w:val="22"/>
        </w:rPr>
        <w:t>consulta sin crear ni exportar y contexto fijo</w:t>
      </w:r>
    </w:p>
    <w:p>
      <w:r>
        <w:rPr>
          <w:b w:val="0"/>
          <w:sz w:val="17"/>
        </w:rPr>
        <w:t>Fecha de la ejecución: 2026-10-17T15:06:18.564Z · LOCAL/QA</w:t>
      </w:r>
    </w:p>
    <w:p>
      <w:r>
        <w:rPr>
          <w:b w:val="0"/>
          <w:sz w:val="18"/>
        </w:rPr>
        <w:t>Esperado: Persistencia, permiso o rechazo según el nombre de la comprobación. Especificación detallada y valores esperados en assert de la fuente reproducible. Solo operaciones autorizadas; baja del rol respeta usuarios vinculados; cambios auditables. Cabecera y datos coinciden; solo delegaciones autorizadas en selector; contexto fijo si es único.</w:t>
      </w:r>
    </w:p>
    <w:p>
      <w:r>
        <w:rPr>
          <w:b w:val="0"/>
          <w:sz w:val="18"/>
        </w:rPr>
        <w:t>Obtenido: {"contexto_fijo": true, "botones_ocultos": true, "crear": 403, "exportar": 403}</w:t>
      </w:r>
    </w:p>
    <w:p>
      <w:r>
        <w:rPr>
          <w:b/>
          <w:sz w:val="18"/>
        </w:rPr>
        <w:t>Estado: Aprobado</w:t>
      </w:r>
    </w:p>
    <w:p>
      <w:pPr>
        <w:spacing w:after="40"/>
        <w:jc w:val="center"/>
      </w:pPr>
      <w:r>
        <w:drawing>
          <wp:inline xmlns:a="http://schemas.openxmlformats.org/drawingml/2006/main" xmlns:pic="http://schemas.openxmlformats.org/drawingml/2006/picture">
            <wp:extent cx="6263999" cy="5998650"/>
            <wp:docPr id="8" name="Picture 8" descr="Captura original UI-1004-consultasincrearniexportarycontextofijo.png · Conservada sin cambiar su contenido."/>
            <wp:cNvGraphicFramePr>
              <a:graphicFrameLocks noChangeAspect="1"/>
            </wp:cNvGraphicFramePr>
            <a:graphic>
              <a:graphicData uri="http://schemas.openxmlformats.org/drawingml/2006/picture">
                <pic:pic>
                  <pic:nvPicPr>
                    <pic:cNvPr id="0" name="UI-086-consultasincrearniexportarycontextofijo.png"/>
                    <pic:cNvPicPr/>
                  </pic:nvPicPr>
                  <pic:blipFill>
                    <a:blip r:embed="rId13"/>
                    <a:stretch>
                      <a:fillRect/>
                    </a:stretch>
                  </pic:blipFill>
                  <pic:spPr>
                    <a:xfrm>
                      <a:off x="0" y="0"/>
                      <a:ext cx="6263999" cy="5998650"/>
                    </a:xfrm>
                    <a:prstGeom prst="rect"/>
                  </pic:spPr>
                </pic:pic>
              </a:graphicData>
            </a:graphic>
          </wp:inline>
        </w:drawing>
      </w:r>
    </w:p>
    <w:p>
      <w:r>
        <w:rPr>
          <w:b w:val="0"/>
          <w:sz w:val="16"/>
        </w:rPr>
        <w:t>Captura original UI-1004-consultasincrearniexportarycontextofijo.png · Conservada sin cambiar su contenido.</w:t>
      </w:r>
    </w:p>
    <w:p>
      <w:pPr>
        <w:pStyle w:val="Heading1"/>
        <w:pageBreakBefore/>
      </w:pPr>
      <w:r>
        <w:t>PANT-086 ADM-06</w:t>
      </w:r>
    </w:p>
    <w:p>
      <w:r>
        <w:rPr>
          <w:b/>
          <w:sz w:val="22"/>
        </w:rPr>
        <w:t>delegación de solicitud y autor se conservan tras cambio de contexto</w:t>
      </w:r>
    </w:p>
    <w:p>
      <w:r>
        <w:rPr>
          <w:b w:val="0"/>
          <w:sz w:val="17"/>
        </w:rPr>
        <w:t>Fecha de la ejecución: 2026-10-17T15:07:59.755Z · LOCAL/QA</w:t>
      </w:r>
    </w:p>
    <w:p>
      <w:r>
        <w:rPr>
          <w:b w:val="0"/>
          <w:sz w:val="18"/>
        </w:rPr>
        <w:t>Esperado: Persistencia, permiso o rechazo según el nombre de la comprobación. Especificación detallada y valores esperados en assert de la fuente reproducible. Cabecera y datos coinciden; solo delegaciones autorizadas en selector; contexto fijo si es único.</w:t>
      </w:r>
    </w:p>
    <w:p>
      <w:r>
        <w:rPr>
          <w:b w:val="0"/>
          <w:sz w:val="18"/>
        </w:rPr>
        <w:t>Obtenido: {"origen_conservado": true, "otro_contexto_sin_atencion": true}</w:t>
      </w:r>
    </w:p>
    <w:p>
      <w:r>
        <w:rPr>
          <w:b/>
          <w:sz w:val="18"/>
        </w:rPr>
        <w:t>Estado: Aprobado</w:t>
      </w:r>
    </w:p>
    <w:p>
      <w:pPr>
        <w:spacing w:after="40"/>
        <w:jc w:val="center"/>
      </w:pPr>
      <w:r>
        <w:drawing>
          <wp:inline xmlns:a="http://schemas.openxmlformats.org/drawingml/2006/main" xmlns:pic="http://schemas.openxmlformats.org/drawingml/2006/picture">
            <wp:extent cx="6263999" cy="4402200"/>
            <wp:docPr id="9" name="Picture 9" descr="Captura original UI-2005-delegacindesolicitudyautorseconservantrascambiodecontexto.png · Conservada sin cambiar su contenido."/>
            <wp:cNvGraphicFramePr>
              <a:graphicFrameLocks noChangeAspect="1"/>
            </wp:cNvGraphicFramePr>
            <a:graphic>
              <a:graphicData uri="http://schemas.openxmlformats.org/drawingml/2006/picture">
                <pic:pic>
                  <pic:nvPicPr>
                    <pic:cNvPr id="0" name="UI-2005-delegacindesolicitudyautorseconservantrascambiodecontexto.png"/>
                    <pic:cNvPicPr/>
                  </pic:nvPicPr>
                  <pic:blipFill>
                    <a:blip r:embed="rId15"/>
                    <a:stretch>
                      <a:fillRect/>
                    </a:stretch>
                  </pic:blipFill>
                  <pic:spPr>
                    <a:xfrm>
                      <a:off x="0" y="0"/>
                      <a:ext cx="6263999" cy="4402200"/>
                    </a:xfrm>
                    <a:prstGeom prst="rect"/>
                  </pic:spPr>
                </pic:pic>
              </a:graphicData>
            </a:graphic>
          </wp:inline>
        </w:drawing>
      </w:r>
    </w:p>
    <w:p>
      <w:r>
        <w:rPr>
          <w:b w:val="0"/>
          <w:sz w:val="16"/>
        </w:rPr>
        <w:t>Captura original UI-2005-delegacindesolicitudyautorseconservantrascambiodecontexto.png · Conservada sin cambiar su contenido.</w:t>
      </w:r>
    </w:p>
    <w:p>
      <w:pPr>
        <w:pStyle w:val="Heading1"/>
        <w:pageBreakBefore/>
      </w:pPr>
      <w:r>
        <w:t>Respuestas y verificaciones del servidor</w:t>
      </w:r>
    </w:p>
    <w:p>
      <w:r>
        <w:rPr>
          <w:b w:val="0"/>
        </w:rPr>
        <w:t>Cada fila conserva la comprobación real, el valor esperado, el obtenido y el estado. Un valor false esperado no significa que la prueba haya fallado.</w:t>
      </w:r>
    </w:p>
    <w:p>
      <w:r>
        <w:rPr>
          <w:b w:val="0"/>
          <w:sz w:val="18"/>
        </w:rPr>
        <w:t>Fuente: servidor-resultados-indexados.json. Base temporal local y correo en memoria. Ejecución global de origen: 14 métodos y 222 comprobaciones aprobadas; sin fallos ni errores.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20" w:type="dxa"/>
          <w:left w:w="90" w:type="dxa"/>
          <w:bottom w:w="20" w:type="dxa"/>
          <w:right w:w="90" w:type="dxa"/>
        </w:tblCellMar>
      </w:tblPr>
      <w:tblGrid>
        <w:gridCol w:w="1304"/>
        <w:gridCol w:w="2891"/>
        <w:gridCol w:w="2268"/>
        <w:gridCol w:w="2268"/>
        <w:gridCol w:w="1134"/>
      </w:tblGrid>
      <w:tr>
        <w:trPr>
          <w:cantSplit/>
          <w:tblHeader/>
        </w:trPr>
        <w:tc>
          <w:tcPr>
            <w:tcW w:type="dxa" w:w="1304"/>
            <w:vAlign w:val="center"/>
            <w:shd w:fill="AD0000"/>
          </w:tcPr>
          <w:p>
            <w:pPr>
              <w:keepNext w:val="0"/>
              <w:spacing w:after="0" w:line="247" w:lineRule="auto"/>
            </w:pPr>
            <w:r>
              <w:rPr>
                <w:rFonts w:ascii="Arial" w:hAnsi="Arial"/>
                <w:b/>
                <w:color w:val="FFFFFF"/>
                <w:sz w:val="18"/>
              </w:rPr>
              <w:t>ID y caso</w:t>
            </w:r>
          </w:p>
        </w:tc>
        <w:tc>
          <w:tcPr>
            <w:tcW w:type="dxa" w:w="2891"/>
            <w:vAlign w:val="center"/>
            <w:shd w:fill="AD0000"/>
          </w:tcPr>
          <w:p>
            <w:pPr>
              <w:keepNext w:val="0"/>
              <w:spacing w:after="0" w:line="247" w:lineRule="auto"/>
            </w:pPr>
            <w:r>
              <w:rPr>
                <w:rFonts w:ascii="Arial" w:hAnsi="Arial"/>
                <w:b/>
                <w:color w:val="FFFFFF"/>
                <w:sz w:val="18"/>
              </w:rPr>
              <w:t>Comprobación</w:t>
            </w:r>
          </w:p>
        </w:tc>
        <w:tc>
          <w:tcPr>
            <w:tcW w:type="dxa" w:w="2268"/>
            <w:vAlign w:val="center"/>
            <w:shd w:fill="AD0000"/>
          </w:tcPr>
          <w:p>
            <w:pPr>
              <w:keepNext w:val="0"/>
              <w:spacing w:after="0" w:line="247" w:lineRule="auto"/>
            </w:pPr>
            <w:r>
              <w:rPr>
                <w:rFonts w:ascii="Arial" w:hAnsi="Arial"/>
                <w:b/>
                <w:color w:val="FFFFFF"/>
                <w:sz w:val="18"/>
              </w:rPr>
              <w:t>Esperado</w:t>
            </w:r>
          </w:p>
        </w:tc>
        <w:tc>
          <w:tcPr>
            <w:tcW w:type="dxa" w:w="2268"/>
            <w:vAlign w:val="center"/>
            <w:shd w:fill="AD0000"/>
          </w:tcPr>
          <w:p>
            <w:pPr>
              <w:keepNext w:val="0"/>
              <w:spacing w:after="0" w:line="247" w:lineRule="auto"/>
            </w:pPr>
            <w:r>
              <w:rPr>
                <w:rFonts w:ascii="Arial" w:hAnsi="Arial"/>
                <w:b/>
                <w:color w:val="FFFFFF"/>
                <w:sz w:val="18"/>
              </w:rPr>
              <w:t>Obtenido</w:t>
            </w:r>
          </w:p>
        </w:tc>
        <w:tc>
          <w:tcPr>
            <w:tcW w:type="dxa" w:w="1134"/>
            <w:vAlign w:val="center"/>
            <w:shd w:fill="AD0000"/>
          </w:tcPr>
          <w:p>
            <w:pPr>
              <w:keepNext w:val="0"/>
              <w:spacing w:after="0" w:line="247" w:lineRule="auto"/>
            </w:pPr>
            <w:r>
              <w:rPr>
                <w:rFonts w:ascii="Arial" w:hAnsi="Arial"/>
                <w:b/>
                <w:color w:val="FFFFFF"/>
                <w:sz w:val="18"/>
              </w:rPr>
              <w:t>Estado</w:t>
            </w:r>
          </w:p>
        </w:tc>
      </w:tr>
      <w:tr>
        <w:trPr>
          <w:cantSplit/>
        </w:trPr>
        <w:tc>
          <w:tcPr>
            <w:tcW w:type="dxa" w:w="1304"/>
            <w:vAlign w:val="center"/>
            <w:shd w:fill="FFFFFF"/>
          </w:tcPr>
          <w:p>
            <w:pPr>
              <w:keepNext w:val="0"/>
              <w:spacing w:after="0" w:line="247" w:lineRule="auto"/>
            </w:pPr>
            <w:r>
              <w:rPr>
                <w:rFonts w:ascii="Arial" w:hAnsi="Arial"/>
                <w:b w:val="0"/>
                <w:color w:val="000000"/>
                <w:sz w:val="18"/>
              </w:rPr>
              <w:t>SRV-141</w:t>
              <w:br/>
              <w:t>ADM-06</w:t>
            </w:r>
          </w:p>
        </w:tc>
        <w:tc>
          <w:tcPr>
            <w:tcW w:type="dxa" w:w="2891"/>
            <w:vAlign w:val="center"/>
            <w:shd w:fill="FFFFFF"/>
          </w:tcPr>
          <w:p>
            <w:pPr>
              <w:keepNext w:val="0"/>
              <w:spacing w:after="0" w:line="247" w:lineRule="auto"/>
            </w:pPr>
            <w:r>
              <w:rPr>
                <w:rFonts w:ascii="Arial" w:hAnsi="Arial"/>
                <w:b w:val="0"/>
                <w:color w:val="000000"/>
                <w:sz w:val="18"/>
              </w:rPr>
              <w:t>Solo delegación autorizada en selector</w:t>
            </w:r>
          </w:p>
        </w:tc>
        <w:tc>
          <w:tcPr>
            <w:tcW w:type="dxa" w:w="2268"/>
            <w:vAlign w:val="center"/>
            <w:shd w:fill="FFFFFF"/>
          </w:tcPr>
          <w:p>
            <w:pPr>
              <w:keepNext w:val="0"/>
              <w:spacing w:after="0" w:line="247" w:lineRule="auto"/>
            </w:pPr>
            <w:r>
              <w:rPr>
                <w:rFonts w:ascii="Arial" w:hAnsi="Arial"/>
                <w:b w:val="0"/>
                <w:color w:val="000000"/>
                <w:sz w:val="18"/>
              </w:rPr>
              <w:t>[48]</w:t>
            </w:r>
          </w:p>
        </w:tc>
        <w:tc>
          <w:tcPr>
            <w:tcW w:type="dxa" w:w="2268"/>
            <w:vAlign w:val="center"/>
            <w:shd w:fill="FFFFFF"/>
          </w:tcPr>
          <w:p>
            <w:pPr>
              <w:keepNext w:val="0"/>
              <w:spacing w:after="0" w:line="247" w:lineRule="auto"/>
            </w:pPr>
            <w:r>
              <w:rPr>
                <w:rFonts w:ascii="Arial" w:hAnsi="Arial"/>
                <w:b w:val="0"/>
                <w:color w:val="000000"/>
                <w:sz w:val="18"/>
              </w:rPr>
              <w:t>[48]</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SRV-142</w:t>
              <w:br/>
              <w:t>ADM-06</w:t>
            </w:r>
          </w:p>
        </w:tc>
        <w:tc>
          <w:tcPr>
            <w:tcW w:type="dxa" w:w="2891"/>
            <w:vAlign w:val="center"/>
            <w:shd w:fill="F4F4F4"/>
          </w:tcPr>
          <w:p>
            <w:pPr>
              <w:keepNext w:val="0"/>
              <w:spacing w:after="0" w:line="247" w:lineRule="auto"/>
            </w:pPr>
            <w:r>
              <w:rPr>
                <w:rFonts w:ascii="Arial" w:hAnsi="Arial"/>
                <w:b w:val="0"/>
                <w:color w:val="000000"/>
                <w:sz w:val="18"/>
              </w:rPr>
              <w:t>Cambio a ámbito ajeno denegado</w:t>
            </w:r>
          </w:p>
        </w:tc>
        <w:tc>
          <w:tcPr>
            <w:tcW w:type="dxa" w:w="2268"/>
            <w:vAlign w:val="center"/>
            <w:shd w:fill="F4F4F4"/>
          </w:tcPr>
          <w:p>
            <w:pPr>
              <w:keepNext w:val="0"/>
              <w:spacing w:after="0" w:line="247" w:lineRule="auto"/>
            </w:pPr>
            <w:r>
              <w:rPr>
                <w:rFonts w:ascii="Arial" w:hAnsi="Arial"/>
                <w:b w:val="0"/>
                <w:color w:val="000000"/>
                <w:sz w:val="18"/>
              </w:rPr>
              <w:t>403</w:t>
            </w:r>
          </w:p>
        </w:tc>
        <w:tc>
          <w:tcPr>
            <w:tcW w:type="dxa" w:w="2268"/>
            <w:vAlign w:val="center"/>
            <w:shd w:fill="F4F4F4"/>
          </w:tcPr>
          <w:p>
            <w:pPr>
              <w:keepNext w:val="0"/>
              <w:spacing w:after="0" w:line="247" w:lineRule="auto"/>
            </w:pPr>
            <w:r>
              <w:rPr>
                <w:rFonts w:ascii="Arial" w:hAnsi="Arial"/>
                <w:b w:val="0"/>
                <w:color w:val="000000"/>
                <w:sz w:val="18"/>
              </w:rPr>
              <w:t>403</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SRV-143</w:t>
              <w:br/>
              <w:t>ADM-06</w:t>
            </w:r>
          </w:p>
        </w:tc>
        <w:tc>
          <w:tcPr>
            <w:tcW w:type="dxa" w:w="2891"/>
            <w:vAlign w:val="center"/>
            <w:shd w:fill="FFFFFF"/>
          </w:tcPr>
          <w:p>
            <w:pPr>
              <w:keepNext w:val="0"/>
              <w:spacing w:after="0" w:line="247" w:lineRule="auto"/>
            </w:pPr>
            <w:r>
              <w:rPr>
                <w:rFonts w:ascii="Arial" w:hAnsi="Arial"/>
                <w:b w:val="0"/>
                <w:color w:val="000000"/>
                <w:sz w:val="18"/>
              </w:rPr>
              <w:t>Cambio autorizado persistido</w:t>
            </w:r>
          </w:p>
        </w:tc>
        <w:tc>
          <w:tcPr>
            <w:tcW w:type="dxa" w:w="2268"/>
            <w:vAlign w:val="center"/>
            <w:shd w:fill="FFFFFF"/>
          </w:tcPr>
          <w:p>
            <w:pPr>
              <w:keepNext w:val="0"/>
              <w:spacing w:after="0" w:line="247" w:lineRule="auto"/>
            </w:pPr>
            <w:r>
              <w:rPr>
                <w:rFonts w:ascii="Arial" w:hAnsi="Arial"/>
                <w:b w:val="0"/>
                <w:color w:val="000000"/>
                <w:sz w:val="18"/>
              </w:rPr>
              <w:t>200</w:t>
            </w:r>
          </w:p>
        </w:tc>
        <w:tc>
          <w:tcPr>
            <w:tcW w:type="dxa" w:w="2268"/>
            <w:vAlign w:val="center"/>
            <w:shd w:fill="FFFFFF"/>
          </w:tcPr>
          <w:p>
            <w:pPr>
              <w:keepNext w:val="0"/>
              <w:spacing w:after="0" w:line="247" w:lineRule="auto"/>
            </w:pPr>
            <w:r>
              <w:rPr>
                <w:rFonts w:ascii="Arial" w:hAnsi="Arial"/>
                <w:b w:val="0"/>
                <w:color w:val="000000"/>
                <w:sz w:val="18"/>
              </w:rPr>
              <w:t>200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SRV-144</w:t>
              <w:br/>
              <w:t>ADM-06</w:t>
            </w:r>
          </w:p>
        </w:tc>
        <w:tc>
          <w:tcPr>
            <w:tcW w:type="dxa" w:w="2891"/>
            <w:vAlign w:val="center"/>
            <w:shd w:fill="F4F4F4"/>
          </w:tcPr>
          <w:p>
            <w:pPr>
              <w:keepNext w:val="0"/>
              <w:spacing w:after="0" w:line="247" w:lineRule="auto"/>
            </w:pPr>
            <w:r>
              <w:rPr>
                <w:rFonts w:ascii="Arial" w:hAnsi="Arial"/>
                <w:b w:val="0"/>
                <w:color w:val="000000"/>
                <w:sz w:val="18"/>
              </w:rPr>
              <w:t>Contexto activo actualizado</w:t>
            </w:r>
          </w:p>
        </w:tc>
        <w:tc>
          <w:tcPr>
            <w:tcW w:type="dxa" w:w="2268"/>
            <w:vAlign w:val="center"/>
            <w:shd w:fill="F4F4F4"/>
          </w:tcPr>
          <w:p>
            <w:pPr>
              <w:keepNext w:val="0"/>
              <w:spacing w:after="0" w:line="247" w:lineRule="auto"/>
            </w:pPr>
            <w:r>
              <w:rPr>
                <w:rFonts w:ascii="Arial" w:hAnsi="Arial"/>
                <w:b w:val="0"/>
                <w:color w:val="000000"/>
                <w:sz w:val="18"/>
              </w:rPr>
              <w:t>49</w:t>
            </w:r>
          </w:p>
        </w:tc>
        <w:tc>
          <w:tcPr>
            <w:tcW w:type="dxa" w:w="2268"/>
            <w:vAlign w:val="center"/>
            <w:shd w:fill="F4F4F4"/>
          </w:tcPr>
          <w:p>
            <w:pPr>
              <w:keepNext w:val="0"/>
              <w:spacing w:after="0" w:line="247" w:lineRule="auto"/>
            </w:pPr>
            <w:r>
              <w:rPr>
                <w:rFonts w:ascii="Arial" w:hAnsi="Arial"/>
                <w:b w:val="0"/>
                <w:color w:val="000000"/>
                <w:sz w:val="18"/>
              </w:rPr>
              <w:t>49</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SRV-145</w:t>
              <w:br/>
              <w:t>ADM-06</w:t>
            </w:r>
          </w:p>
        </w:tc>
        <w:tc>
          <w:tcPr>
            <w:tcW w:type="dxa" w:w="2891"/>
            <w:vAlign w:val="center"/>
            <w:shd w:fill="FFFFFF"/>
          </w:tcPr>
          <w:p>
            <w:pPr>
              <w:keepNext w:val="0"/>
              <w:spacing w:after="0" w:line="247" w:lineRule="auto"/>
            </w:pPr>
            <w:r>
              <w:rPr>
                <w:rFonts w:ascii="Arial" w:hAnsi="Arial"/>
                <w:b w:val="0"/>
                <w:color w:val="000000"/>
                <w:sz w:val="18"/>
              </w:rPr>
              <w:t>Delegación principal sin modificación</w:t>
            </w:r>
          </w:p>
        </w:tc>
        <w:tc>
          <w:tcPr>
            <w:tcW w:type="dxa" w:w="2268"/>
            <w:vAlign w:val="center"/>
            <w:shd w:fill="FFFFFF"/>
          </w:tcPr>
          <w:p>
            <w:pPr>
              <w:keepNext w:val="0"/>
              <w:spacing w:after="0" w:line="247" w:lineRule="auto"/>
            </w:pPr>
            <w:r>
              <w:rPr>
                <w:rFonts w:ascii="Arial" w:hAnsi="Arial"/>
                <w:b w:val="0"/>
                <w:color w:val="000000"/>
                <w:sz w:val="18"/>
              </w:rPr>
              <w:t>48</w:t>
            </w:r>
          </w:p>
        </w:tc>
        <w:tc>
          <w:tcPr>
            <w:tcW w:type="dxa" w:w="2268"/>
            <w:vAlign w:val="center"/>
            <w:shd w:fill="FFFFFF"/>
          </w:tcPr>
          <w:p>
            <w:pPr>
              <w:keepNext w:val="0"/>
              <w:spacing w:after="0" w:line="247" w:lineRule="auto"/>
            </w:pPr>
            <w:r>
              <w:rPr>
                <w:rFonts w:ascii="Arial" w:hAnsi="Arial"/>
                <w:b w:val="0"/>
                <w:color w:val="000000"/>
                <w:sz w:val="18"/>
              </w:rPr>
              <w:t>48</w:t>
            </w:r>
          </w:p>
        </w:tc>
        <w:tc>
          <w:tcPr>
            <w:tcW w:type="dxa" w:w="1134"/>
            <w:vAlign w:val="center"/>
            <w:shd w:fill="FFFFFF"/>
          </w:tcPr>
          <w:p>
            <w:pPr>
              <w:keepNext w:val="0"/>
              <w:spacing w:after="0" w:line="247" w:lineRule="auto"/>
            </w:pPr>
            <w:r>
              <w:rPr>
                <w:rFonts w:ascii="Arial" w:hAnsi="Arial"/>
                <w:b w:val="0"/>
                <w:color w:val="000000"/>
                <w:sz w:val="18"/>
              </w:rPr>
              <w:t>Aprobado</w:t>
            </w:r>
          </w:p>
        </w:tc>
      </w:tr>
    </w:tbl>
    <w:p>
      <w:pPr>
        <w:pStyle w:val="Heading1"/>
        <w:pageBreakBefore/>
      </w:pPr>
      <w:r>
        <w:t>Cierre y alcance de las evidencias</w:t>
      </w:r>
    </w:p>
    <w:p>
      <w:r>
        <w:rPr>
          <w:b w:val="0"/>
        </w:rPr>
        <w:t>Se incorporaron 9 capturas originales correspondientes a esta ficha. Los resultados de servidor y las extracciones de Excel se incluyen como texto y tablas, para que puedan revisarse dentro del mismo Word.</w:t>
      </w:r>
    </w:p>
    <w:p>
      <w:r>
        <w:rPr>
          <w:b w:val="0"/>
        </w:rPr>
        <w:t>Las capturas reflejan el estado histórico de cada ejecución, incluidos los ensayos rectificados y la incidencia de duplicación de metas cuando corresponde. No prueban por sí solas que una versión posterior conserve el mismo comportamiento. Los cambios posteriores del sistema deben respaldarse mediante sus propias repeticiones.</w:t>
      </w:r>
    </w:p>
    <w:p>
      <w:r>
        <w:rPr>
          <w:b w:val="0"/>
        </w:rPr>
        <w:t>Esta ficha corresponde exclusivamente a pruebas locales. No incorpora resultados AWS ni acredita carga, estrés, cálculos de desempeño o aceptación del docente. Las fuentes JSON y capturas externas se conservan para trazabilidad, pero las evidencias de esta ficha ya están integradas en sus páginas.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0" w:type="dxa"/>
          <w:left w:w="90" w:type="dxa"/>
          <w:bottom w:w="40" w:type="dxa"/>
          <w:right w:w="90" w:type="dxa"/>
        </w:tblCellMar>
      </w:tblPr>
      <w:tblGrid>
        <w:gridCol w:w="4819"/>
        <w:gridCol w:w="5046"/>
      </w:tblGrid>
      <w:tr>
        <w:trPr>
          <w:cantSplit/>
          <w:tblHeader/>
        </w:trPr>
        <w:tc>
          <w:tcPr>
            <w:tcW w:type="dxa" w:w="4819"/>
            <w:vAlign w:val="center"/>
            <w:shd w:fill="AD0000"/>
          </w:tcPr>
          <w:p>
            <w:pPr>
              <w:keepNext w:val="0"/>
              <w:spacing w:after="0" w:line="247" w:lineRule="auto"/>
            </w:pPr>
            <w:r>
              <w:rPr>
                <w:rFonts w:ascii="Arial" w:hAnsi="Arial"/>
                <w:b/>
                <w:color w:val="FFFFFF"/>
                <w:sz w:val="15"/>
              </w:rPr>
              <w:t>Captura incorporada</w:t>
            </w:r>
          </w:p>
        </w:tc>
        <w:tc>
          <w:tcPr>
            <w:tcW w:type="dxa" w:w="5046"/>
            <w:vAlign w:val="center"/>
            <w:shd w:fill="AD0000"/>
          </w:tcPr>
          <w:p>
            <w:pPr>
              <w:keepNext w:val="0"/>
              <w:spacing w:after="0" w:line="247" w:lineRule="auto"/>
            </w:pPr>
            <w:r>
              <w:rPr>
                <w:rFonts w:ascii="Arial" w:hAnsi="Arial"/>
                <w:b/>
                <w:color w:val="FFFFFF"/>
                <w:sz w:val="15"/>
              </w:rPr>
              <w:t>Huella SHA256 original</w:t>
            </w:r>
          </w:p>
        </w:tc>
      </w:tr>
      <w:tr>
        <w:trPr>
          <w:cantSplit/>
        </w:trPr>
        <w:tc>
          <w:tcPr>
            <w:tcW w:type="dxa" w:w="4819"/>
            <w:vAlign w:val="center"/>
            <w:shd w:fill="FFFFFF"/>
          </w:tcPr>
          <w:p>
            <w:pPr>
              <w:keepNext w:val="0"/>
              <w:spacing w:after="0" w:line="247" w:lineRule="auto"/>
            </w:pPr>
            <w:r>
              <w:rPr>
                <w:rFonts w:ascii="Arial" w:hAnsi="Arial"/>
                <w:b w:val="0"/>
                <w:color w:val="000000"/>
                <w:sz w:val="15"/>
              </w:rPr>
              <w:t>UI-083-selectorsolodosdelegacionesautorizadas.png</w:t>
            </w:r>
          </w:p>
        </w:tc>
        <w:tc>
          <w:tcPr>
            <w:tcW w:type="dxa" w:w="5046"/>
            <w:vAlign w:val="center"/>
            <w:shd w:fill="FFFFFF"/>
          </w:tcPr>
          <w:p>
            <w:pPr>
              <w:keepNext w:val="0"/>
              <w:spacing w:after="0" w:line="247" w:lineRule="auto"/>
            </w:pPr>
            <w:r>
              <w:rPr>
                <w:rFonts w:ascii="Arial" w:hAnsi="Arial"/>
                <w:b w:val="0"/>
                <w:color w:val="000000"/>
                <w:sz w:val="15"/>
              </w:rPr>
              <w:t>2d1ad3055e78b71406b0b725f174d0bd52c7def39591c56c6bc7ede6f018e53d</w:t>
            </w:r>
          </w:p>
        </w:tc>
      </w:tr>
      <w:tr>
        <w:trPr>
          <w:cantSplit/>
        </w:trPr>
        <w:tc>
          <w:tcPr>
            <w:tcW w:type="dxa" w:w="4819"/>
            <w:vAlign w:val="center"/>
            <w:shd w:fill="F4F4F4"/>
          </w:tcPr>
          <w:p>
            <w:pPr>
              <w:keepNext w:val="0"/>
              <w:spacing w:after="0" w:line="247" w:lineRule="auto"/>
            </w:pPr>
            <w:r>
              <w:rPr>
                <w:rFonts w:ascii="Arial" w:hAnsi="Arial"/>
                <w:b w:val="0"/>
                <w:color w:val="000000"/>
                <w:sz w:val="15"/>
              </w:rPr>
              <w:t>UI-084-borradoralcambiarcontextomantenerydescartar.png</w:t>
            </w:r>
          </w:p>
        </w:tc>
        <w:tc>
          <w:tcPr>
            <w:tcW w:type="dxa" w:w="5046"/>
            <w:vAlign w:val="center"/>
            <w:shd w:fill="F4F4F4"/>
          </w:tcPr>
          <w:p>
            <w:pPr>
              <w:keepNext w:val="0"/>
              <w:spacing w:after="0" w:line="247" w:lineRule="auto"/>
            </w:pPr>
            <w:r>
              <w:rPr>
                <w:rFonts w:ascii="Arial" w:hAnsi="Arial"/>
                <w:b w:val="0"/>
                <w:color w:val="000000"/>
                <w:sz w:val="15"/>
              </w:rPr>
              <w:t>f556c4ed779099db5494ef1ea6786ab97fa7b5904d18341b443a3531df9c6e97</w:t>
            </w:r>
          </w:p>
        </w:tc>
      </w:tr>
      <w:tr>
        <w:trPr>
          <w:cantSplit/>
        </w:trPr>
        <w:tc>
          <w:tcPr>
            <w:tcW w:type="dxa" w:w="4819"/>
            <w:vAlign w:val="center"/>
            <w:shd w:fill="FFFFFF"/>
          </w:tcPr>
          <w:p>
            <w:pPr>
              <w:keepNext w:val="0"/>
              <w:spacing w:after="0" w:line="247" w:lineRule="auto"/>
            </w:pPr>
            <w:r>
              <w:rPr>
                <w:rFonts w:ascii="Arial" w:hAnsi="Arial"/>
                <w:b w:val="0"/>
                <w:color w:val="000000"/>
                <w:sz w:val="15"/>
              </w:rPr>
              <w:t>UI-085-aislamientolistadosyrechazodedelegacinajena.png</w:t>
            </w:r>
          </w:p>
        </w:tc>
        <w:tc>
          <w:tcPr>
            <w:tcW w:type="dxa" w:w="5046"/>
            <w:vAlign w:val="center"/>
            <w:shd w:fill="FFFFFF"/>
          </w:tcPr>
          <w:p>
            <w:pPr>
              <w:keepNext w:val="0"/>
              <w:spacing w:after="0" w:line="247" w:lineRule="auto"/>
            </w:pPr>
            <w:r>
              <w:rPr>
                <w:rFonts w:ascii="Arial" w:hAnsi="Arial"/>
                <w:b w:val="0"/>
                <w:color w:val="000000"/>
                <w:sz w:val="15"/>
              </w:rPr>
              <w:t>f556c4ed779099db5494ef1ea6786ab97fa7b5904d18341b443a3531df9c6e97</w:t>
            </w:r>
          </w:p>
        </w:tc>
      </w:tr>
      <w:tr>
        <w:trPr>
          <w:cantSplit/>
        </w:trPr>
        <w:tc>
          <w:tcPr>
            <w:tcW w:type="dxa" w:w="4819"/>
            <w:vAlign w:val="center"/>
            <w:shd w:fill="F4F4F4"/>
          </w:tcPr>
          <w:p>
            <w:pPr>
              <w:keepNext w:val="0"/>
              <w:spacing w:after="0" w:line="247" w:lineRule="auto"/>
            </w:pPr>
            <w:r>
              <w:rPr>
                <w:rFonts w:ascii="Arial" w:hAnsi="Arial"/>
                <w:b w:val="0"/>
                <w:color w:val="000000"/>
                <w:sz w:val="15"/>
              </w:rPr>
              <w:t>UI-086-consultasincrearniexportarycontextofijo.png</w:t>
            </w:r>
          </w:p>
        </w:tc>
        <w:tc>
          <w:tcPr>
            <w:tcW w:type="dxa" w:w="5046"/>
            <w:vAlign w:val="center"/>
            <w:shd w:fill="F4F4F4"/>
          </w:tcPr>
          <w:p>
            <w:pPr>
              <w:keepNext w:val="0"/>
              <w:spacing w:after="0" w:line="247" w:lineRule="auto"/>
            </w:pPr>
            <w:r>
              <w:rPr>
                <w:rFonts w:ascii="Arial" w:hAnsi="Arial"/>
                <w:b w:val="0"/>
                <w:color w:val="000000"/>
                <w:sz w:val="15"/>
              </w:rPr>
              <w:t>4064dbe57dedf6a7894c8169e39d3ca940c0960afec2288317c8c13652067eca</w:t>
            </w:r>
          </w:p>
        </w:tc>
      </w:tr>
      <w:tr>
        <w:trPr>
          <w:cantSplit/>
        </w:trPr>
        <w:tc>
          <w:tcPr>
            <w:tcW w:type="dxa" w:w="4819"/>
            <w:vAlign w:val="center"/>
            <w:shd w:fill="FFFFFF"/>
          </w:tcPr>
          <w:p>
            <w:pPr>
              <w:keepNext w:val="0"/>
              <w:spacing w:after="0" w:line="247" w:lineRule="auto"/>
            </w:pPr>
            <w:r>
              <w:rPr>
                <w:rFonts w:ascii="Arial" w:hAnsi="Arial"/>
                <w:b w:val="0"/>
                <w:color w:val="000000"/>
                <w:sz w:val="15"/>
              </w:rPr>
              <w:t>UI-1001-selectorsolodosdelegacionesautorizadas.png</w:t>
            </w:r>
          </w:p>
        </w:tc>
        <w:tc>
          <w:tcPr>
            <w:tcW w:type="dxa" w:w="5046"/>
            <w:vAlign w:val="center"/>
            <w:shd w:fill="FFFFFF"/>
          </w:tcPr>
          <w:p>
            <w:pPr>
              <w:keepNext w:val="0"/>
              <w:spacing w:after="0" w:line="247" w:lineRule="auto"/>
            </w:pPr>
            <w:r>
              <w:rPr>
                <w:rFonts w:ascii="Arial" w:hAnsi="Arial"/>
                <w:b w:val="0"/>
                <w:color w:val="000000"/>
                <w:sz w:val="15"/>
              </w:rPr>
              <w:t>15b9f16f64d8f268427c70548dcb3f15ecc939b49835857d149277df37f7789e</w:t>
            </w:r>
          </w:p>
        </w:tc>
      </w:tr>
      <w:tr>
        <w:trPr>
          <w:cantSplit/>
        </w:trPr>
        <w:tc>
          <w:tcPr>
            <w:tcW w:type="dxa" w:w="4819"/>
            <w:vAlign w:val="center"/>
            <w:shd w:fill="F4F4F4"/>
          </w:tcPr>
          <w:p>
            <w:pPr>
              <w:keepNext w:val="0"/>
              <w:spacing w:after="0" w:line="247" w:lineRule="auto"/>
            </w:pPr>
            <w:r>
              <w:rPr>
                <w:rFonts w:ascii="Arial" w:hAnsi="Arial"/>
                <w:b w:val="0"/>
                <w:color w:val="000000"/>
                <w:sz w:val="15"/>
              </w:rPr>
              <w:t>UI-1002-borradoralcambiarcontextomantenerydescartar.png</w:t>
            </w:r>
          </w:p>
        </w:tc>
        <w:tc>
          <w:tcPr>
            <w:tcW w:type="dxa" w:w="5046"/>
            <w:vAlign w:val="center"/>
            <w:shd w:fill="F4F4F4"/>
          </w:tcPr>
          <w:p>
            <w:pPr>
              <w:keepNext w:val="0"/>
              <w:spacing w:after="0" w:line="247" w:lineRule="auto"/>
            </w:pPr>
            <w:r>
              <w:rPr>
                <w:rFonts w:ascii="Arial" w:hAnsi="Arial"/>
                <w:b w:val="0"/>
                <w:color w:val="000000"/>
                <w:sz w:val="15"/>
              </w:rPr>
              <w:t>f556c4ed779099db5494ef1ea6786ab97fa7b5904d18341b443a3531df9c6e97</w:t>
            </w:r>
          </w:p>
        </w:tc>
      </w:tr>
      <w:tr>
        <w:trPr>
          <w:cantSplit/>
        </w:trPr>
        <w:tc>
          <w:tcPr>
            <w:tcW w:type="dxa" w:w="4819"/>
            <w:vAlign w:val="center"/>
            <w:shd w:fill="FFFFFF"/>
          </w:tcPr>
          <w:p>
            <w:pPr>
              <w:keepNext w:val="0"/>
              <w:spacing w:after="0" w:line="247" w:lineRule="auto"/>
            </w:pPr>
            <w:r>
              <w:rPr>
                <w:rFonts w:ascii="Arial" w:hAnsi="Arial"/>
                <w:b w:val="0"/>
                <w:color w:val="000000"/>
                <w:sz w:val="15"/>
              </w:rPr>
              <w:t>UI-1003-aislamientolistadosyrechazodedelegacinajena.png</w:t>
            </w:r>
          </w:p>
        </w:tc>
        <w:tc>
          <w:tcPr>
            <w:tcW w:type="dxa" w:w="5046"/>
            <w:vAlign w:val="center"/>
            <w:shd w:fill="FFFFFF"/>
          </w:tcPr>
          <w:p>
            <w:pPr>
              <w:keepNext w:val="0"/>
              <w:spacing w:after="0" w:line="247" w:lineRule="auto"/>
            </w:pPr>
            <w:r>
              <w:rPr>
                <w:rFonts w:ascii="Arial" w:hAnsi="Arial"/>
                <w:b w:val="0"/>
                <w:color w:val="000000"/>
                <w:sz w:val="15"/>
              </w:rPr>
              <w:t>f556c4ed779099db5494ef1ea6786ab97fa7b5904d18341b443a3531df9c6e97</w:t>
            </w:r>
          </w:p>
        </w:tc>
      </w:tr>
      <w:tr>
        <w:trPr>
          <w:cantSplit/>
        </w:trPr>
        <w:tc>
          <w:tcPr>
            <w:tcW w:type="dxa" w:w="4819"/>
            <w:vAlign w:val="center"/>
            <w:shd w:fill="F4F4F4"/>
          </w:tcPr>
          <w:p>
            <w:pPr>
              <w:keepNext w:val="0"/>
              <w:spacing w:after="0" w:line="247" w:lineRule="auto"/>
            </w:pPr>
            <w:r>
              <w:rPr>
                <w:rFonts w:ascii="Arial" w:hAnsi="Arial"/>
                <w:b w:val="0"/>
                <w:color w:val="000000"/>
                <w:sz w:val="15"/>
              </w:rPr>
              <w:t>UI-1004-consultasincrearniexportarycontextofijo.png</w:t>
            </w:r>
          </w:p>
        </w:tc>
        <w:tc>
          <w:tcPr>
            <w:tcW w:type="dxa" w:w="5046"/>
            <w:vAlign w:val="center"/>
            <w:shd w:fill="F4F4F4"/>
          </w:tcPr>
          <w:p>
            <w:pPr>
              <w:keepNext w:val="0"/>
              <w:spacing w:after="0" w:line="247" w:lineRule="auto"/>
            </w:pPr>
            <w:r>
              <w:rPr>
                <w:rFonts w:ascii="Arial" w:hAnsi="Arial"/>
                <w:b w:val="0"/>
                <w:color w:val="000000"/>
                <w:sz w:val="15"/>
              </w:rPr>
              <w:t>4064dbe57dedf6a7894c8169e39d3ca940c0960afec2288317c8c13652067eca</w:t>
            </w:r>
          </w:p>
        </w:tc>
      </w:tr>
      <w:tr>
        <w:trPr>
          <w:cantSplit/>
        </w:trPr>
        <w:tc>
          <w:tcPr>
            <w:tcW w:type="dxa" w:w="4819"/>
            <w:vAlign w:val="center"/>
            <w:shd w:fill="FFFFFF"/>
          </w:tcPr>
          <w:p>
            <w:pPr>
              <w:keepNext w:val="0"/>
              <w:spacing w:after="0" w:line="247" w:lineRule="auto"/>
            </w:pPr>
            <w:r>
              <w:rPr>
                <w:rFonts w:ascii="Arial" w:hAnsi="Arial"/>
                <w:b w:val="0"/>
                <w:color w:val="000000"/>
                <w:sz w:val="15"/>
              </w:rPr>
              <w:t>UI-2005-delegacindesolicitudyautorseconservantrascambiodecontexto.png</w:t>
            </w:r>
          </w:p>
        </w:tc>
        <w:tc>
          <w:tcPr>
            <w:tcW w:type="dxa" w:w="5046"/>
            <w:vAlign w:val="center"/>
            <w:shd w:fill="FFFFFF"/>
          </w:tcPr>
          <w:p>
            <w:pPr>
              <w:keepNext w:val="0"/>
              <w:spacing w:after="0" w:line="247" w:lineRule="auto"/>
            </w:pPr>
            <w:r>
              <w:rPr>
                <w:rFonts w:ascii="Arial" w:hAnsi="Arial"/>
                <w:b w:val="0"/>
                <w:color w:val="000000"/>
                <w:sz w:val="15"/>
              </w:rPr>
              <w:t>7dd32c200890e440de589031d07d6997a0f1c309820fa41ae91604418feac25c</w:t>
            </w:r>
          </w:p>
        </w:tc>
      </w:tr>
    </w:tbl>
    <w:sectPr w:rsidR="00FC693F" w:rsidRPr="0006063C" w:rsidSect="00034616">
      <w:headerReference w:type="default" r:id="rId9"/>
      <w:footerReference w:type="default" r:id="rId10"/>
      <w:pgSz w:w="11906" w:h="16838"/>
      <w:pgMar w:top="907" w:right="1020" w:bottom="907" w:left="102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Registro académico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SGR  |  PRUEBAS LOCALES  |  EVIDENCIAS INTEGRADAS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25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54" w:lineRule="auto"/>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54"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54"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4" w:lineRule="auto" w:after="100"/>
    </w:pPr>
    <w:rPr>
      <w:rFonts w:ascii="Arial" w:hAnsi="Arial"/>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Contexto y aislamiento por delegación</dc:title>
  <dc:subject/>
  <dc:creator>Equipo SGR</dc:creator>
  <cp:keywords/>
  <dc:description>generated by python-docx</dc:description>
  <cp:lastModifiedBy/>
  <cp:revision>1</cp:revision>
  <dcterms:created xsi:type="dcterms:W3CDTF">2013-12-23T23:15:00Z</dcterms:created>
  <dcterms:modified xsi:type="dcterms:W3CDTF">2013-12-23T23:15:00Z</dcterms:modified>
  <cp:category/>
</cp:coreProperties>
</file>