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contexto y aislamiento por delegación</w:t>
      </w:r>
    </w:p>
    <w:p>
      <w:r>
        <w:t>Cobertura parcial del caso. Se comprobaron selector y cambio de contexto por servidor. Falta registrar el cambio autorizado en la cabecera y el aislamiento de datos de cada listado, además del tratamiento de un formulario con cambios sin guardar.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ADM-06 · RNF-005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9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ADM-06: HU-26.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ADM-06.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5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ADM-06 RNF-005</w:t>
      </w:r>
    </w:p>
    <w:p>
      <w:r>
        <w:t>Precondiciones: F01/D01, F02/D02 y coordinador con alcance aprobado.</w:t>
      </w:r>
    </w:p>
    <w:p>
      <w:r>
        <w:t>Pasos del plan: Abrir vistas y cambiar contexto cuando el perfil lo permita.</w:t>
      </w:r>
    </w:p>
    <w:p>
      <w:r>
        <w:t>Resultado esperado: Cabecera y datos coinciden; solo delegaciones autorizadas en selector; contexto fijo si es único.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 y comprobación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SRV-141 · ADM-06 · Solo delegación autorizada en selector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[48]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[48]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SRV-142 · ADM-06 · Cambio a ámbito ajeno denegado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SRV-143 · ADM-06 · Cambio autorizado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SRV-144 · ADM-06 · Contexto activo actualizado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SRV-145 · ADM-06 · Delegación principal sin modificación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Identificación de versión: version-archivos.json. Fuentes reproducibles: fichas_tests.py y acceso.cjs. El correo de pruebas se captura mediante Django locmem; el código se extrae del mensaje generado y no se reemplaza en base de datos. El fallo SMTP se simula deliberadamente para verificar que no se afirme una entrega inexistente.</w:t>
      </w:r>
    </w:p>
    <w:p>
      <w:r>
        <w:t>Exportaciones de esta ejecución: seis archivos &lt;recurso&gt;-23-resultados.xlsx. Cada archivo se contrastó con los 23 registros filtrados de tres páginas; se verificó exclusión de columnas sensibles. No basta con que el archivo se descargue.</w:t>
      </w:r>
    </w:p>
    <w:p>
      <w:pPr>
        <w:pStyle w:val="Heading1"/>
      </w:pPr>
      <w:r>
        <w:t>Incidencias reejecución y aceptación</w:t>
      </w:r>
    </w:p>
    <w:p>
      <w:r>
        <w:t>Sin defectos de aplicación detectados en las comprobaciones aprobadas. DOC-001 corregido: aprobaciones documentales sin respaldo. TEST-001 corregido y repetido: cuarta gestión devuelve 409. TEST-002 corregido: aislamiento de intentos QA entre ejecuciones. Detalle en los registros B20 y bitácoras de evidencia.</w:t>
      </w:r>
    </w:p>
    <w:p>
      <w:r>
        <w:t>Estado de cierre: Cobertura parcial del caso.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contexto y aislamiento por delegación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