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PROYECTO INTEGRADO SGR  |  SEGUNDA EVALUACIÓN</w:t>
      </w:r>
    </w:p>
    <w:p>
      <w:pPr>
        <w:pStyle w:val="Title"/>
      </w:pPr>
      <w:r>
        <w:t>Resultados de pruebas de pantallas SGR</w:t>
      </w:r>
    </w:p>
    <w:p>
      <w:r>
        <w:t>Se ejecutaron los recorridos pendientes de la copia local: seis mantenedores, recuperación real con Gmail, atención ciudadana, contexto, permisos e históricos. Los resultados permiten cerrar comprobaciones concretas, pero no aprobar el sistema al 100 por ciento: se confirmó un duplicado en configuración de metas y no fue posible probar períodos con fechas y cierre.</w:t>
      </w:r>
    </w:p>
    <w:p>
      <w:pPr>
        <w:pStyle w:val="Heading1"/>
      </w:pPr>
      <w:r>
        <w:t>Control de ejecución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632"/>
      </w:tblGrid>
      <w:tr>
        <w:trPr>
          <w:tblHeader/>
          <w:cantSplit/>
        </w:trPr>
        <w:tc>
          <w:tcPr>
            <w:tcW w:type="dxa" w:w="20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000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76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000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Registro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Fecha y zona</w:t>
            </w:r>
          </w:p>
        </w:tc>
        <w:tc>
          <w:tcPr>
            <w:tcW w:type="dxa" w:w="76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2026-10-17T12:14:51.518132-03:00 · America/Santiago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Entorno</w:t>
            </w:r>
          </w:p>
        </w:tc>
        <w:tc>
          <w:tcPr>
            <w:tcW w:type="dxa" w:w="76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LOCAL/QA http://127.0.0.1:8010; MySQL 8.0.40 en 8891, sgr_eva2_local; Django 5.2.18; Chrome for Testing 155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Responsable</w:t>
            </w:r>
          </w:p>
        </w:tc>
        <w:tc>
          <w:tcPr>
            <w:tcW w:type="dxa" w:w="76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Ejecución automatizada local solicitada por Daniel Flores; código Gmail aportado por el titular del buzón. Sin aprobación institucional ni firma humana simulada.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Tarea y versión</w:t>
            </w:r>
          </w:p>
        </w:tc>
        <w:tc>
          <w:tcPr>
            <w:tcW w:type="dxa" w:w="76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Pruebas pendientes de pantallas, sin ID GitHub ni commit nuevo. Huella de archivos af526f21b403cf8483b61c69b1ab3e27b12cf2cc1b34a4721e04920d582e412a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Datos de prueba</w:t>
            </w:r>
          </w:p>
        </w:tc>
        <w:tc>
          <w:tcPr>
            <w:tcW w:type="dxa" w:w="76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Cuentas y catálogos ficticios QA. Gmail recibió el código en un alias del titular; el código fue aportado por este y no se publica.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Estado del original</w:t>
            </w:r>
          </w:p>
        </w:tc>
        <w:tc>
          <w:tcPr>
            <w:tcW w:type="dxa" w:w="76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Verificación de aislamiento aprobada. Sin cambios al original, al código de la aplicación, a GitHub ni a AWS.</w:t>
            </w:r>
          </w:p>
        </w:tc>
      </w:tr>
    </w:tbl>
    <w:p>
      <w:pPr>
        <w:pStyle w:val="Heading1"/>
      </w:pPr>
      <w:r>
        <w:t>Resultados verificados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632"/>
      </w:tblGrid>
      <w:tr>
        <w:trPr>
          <w:tblHeader/>
          <w:cantSplit/>
        </w:trPr>
        <w:tc>
          <w:tcPr>
            <w:tcW w:type="dxa" w:w="20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000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76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000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Servidor</w:t>
            </w:r>
          </w:p>
        </w:tc>
        <w:tc>
          <w:tcPr>
            <w:tcW w:type="dxa" w:w="76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207 pruebas aprobadas, cero fallos y cero errores. Base MySQL temporal destruida al finalizar.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Navegador</w:t>
            </w:r>
          </w:p>
        </w:tc>
        <w:tc>
          <w:tcPr>
            <w:tcW w:type="dxa" w:w="76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97 registros: 89 aprobados, seis ensayos rectificados y dos reproducciones de la misma incidencia.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Excel</w:t>
            </w:r>
          </w:p>
        </w:tc>
        <w:tc>
          <w:tcPr>
            <w:tcW w:type="dxa" w:w="76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Ocho archivos descargados y abiertos: siete con una fila y uno con 23. Sin columnas de contraseñas, tokens ni hashes.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Períodos</w:t>
            </w:r>
          </w:p>
        </w:tc>
        <w:tc>
          <w:tcPr>
            <w:tcW w:type="dxa" w:w="76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Un escenario de fechas y cierre bloqueado por funcionalidad no disponible.</w:t>
            </w:r>
          </w:p>
        </w:tc>
      </w:tr>
    </w:tbl>
    <w:p>
      <w:r>
        <w:br w:type="page"/>
      </w:r>
    </w:p>
    <w:p>
      <w:pPr>
        <w:pStyle w:val="Heading1"/>
      </w:pPr>
      <w:r>
        <w:t>Recorridos realizados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6048"/>
        <w:gridCol w:w="2016"/>
      </w:tblGrid>
      <w:tr>
        <w:trPr>
          <w:tblHeader/>
          <w:cantSplit/>
        </w:trPr>
        <w:tc>
          <w:tcPr>
            <w:tcW w:type="dxa" w:w="15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000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6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000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Qué se comprobó</w:t>
            </w:r>
          </w:p>
        </w:tc>
        <w:tc>
          <w:tcPr>
            <w:tcW w:type="dxa" w:w="20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000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Seis mantenedores</w:t>
            </w:r>
          </w:p>
        </w:tc>
        <w:tc>
          <w:tcPr>
            <w:tcW w:type="dxa" w:w="6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Delegaciones, Roles, Usuarios, Ítems, Tipos y Subatenciones. Crear, consultar sin edición, editar y recargar, cancelar manteniendo o descartando, campos obligatorios, duplicados, búsqueda, Excel, cancelar baja, desactivar y filtro inactivo.</w:t>
            </w:r>
          </w:p>
        </w:tc>
        <w:tc>
          <w:tcPr>
            <w:tcW w:type="dxa" w:w="20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54 comprobaciones aprobadas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Gmail y contraseña</w:t>
            </w:r>
          </w:p>
        </w:tc>
        <w:tc>
          <w:tcPr>
            <w:tcW w:type="dxa" w:w="6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Recepción real, acceso directo a nueva clave bloqueado, código erróneo, reenvío anticipado, código recibido, confirmación distinta, clave débil, cambio válido, nueva clave aceptada y anterior rechazada. Reutilización rechazada en repetición con CSRF válido.</w:t>
            </w:r>
          </w:p>
        </w:tc>
        <w:tc>
          <w:tcPr>
            <w:tcW w:type="dxa" w:w="20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Flujo completo aprobado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Atención ciudadana</w:t>
            </w:r>
          </w:p>
        </w:tc>
        <w:tc>
          <w:tcPr>
            <w:tcW w:type="dxa" w:w="6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Subatenciones dependientes, cambio de tipo limpia selección, cancelar, doble clic con respuesta demorada, un POST y un registro con folio; error 500 simulado sin éxito falso; cuarta gestión rechazada con 409.</w:t>
            </w:r>
          </w:p>
        </w:tc>
        <w:tc>
          <w:tcPr>
            <w:tcW w:type="dxa" w:w="20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Aprobado en variantes ejecutadas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Contexto y permisos</w:t>
            </w:r>
          </w:p>
        </w:tc>
        <w:tc>
          <w:tcPr>
            <w:tcW w:type="dxa" w:w="6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Selector autorizado, contexto fijo de consulta, borrador al cambiar delegación, cabecera y formulario actualizados, listado aislado, ámbito ajeno rechazado, rol asignado desde usuario y escritura/exportación prohibidas.</w:t>
            </w:r>
          </w:p>
        </w:tc>
        <w:tc>
          <w:tcPr>
            <w:tcW w:type="dxa" w:w="20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Aprobado en variantes ejecutadas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Historia</w:t>
            </w:r>
          </w:p>
        </w:tc>
        <w:tc>
          <w:tcPr>
            <w:tcW w:type="dxa" w:w="6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Atención conserva etiquetas y captura al renombrar tipo y cambiar padre de subatención. Actividad conserva ítem y cargo capturados tras cambiar catálogo. Historial visible con ambas versiones.</w:t>
            </w:r>
          </w:p>
        </w:tc>
        <w:tc>
          <w:tcPr>
            <w:tcW w:type="dxa" w:w="20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Aprobado para registros QA probados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Metas</w:t>
            </w:r>
          </w:p>
        </w:tc>
        <w:tc>
          <w:tcPr>
            <w:tcW w:type="dxa" w:w="6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Crear, consultar, editar, filtrar, Excel, desactivar y límites de meta/ponderación. Se aceptó una combinación idéntica duplicada.</w:t>
            </w:r>
          </w:p>
        </w:tc>
        <w:tc>
          <w:tcPr>
            <w:tcW w:type="dxa" w:w="20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Incidencia DEF-META-001</w:t>
            </w:r>
          </w:p>
        </w:tc>
      </w:tr>
    </w:tbl>
    <w:p>
      <w:r>
        <w:t>La comprobación de paginación recorrió tres páginas de 10, 10 y 3 filas y exportó las 23 coincidencias. La prueba de error 500 fue una simulación controlada de respuesta en el navegador; no un fallo real del servidor.</w:t>
      </w:r>
    </w:p>
    <w:p>
      <w:r>
        <w:br w:type="page"/>
      </w:r>
    </w:p>
    <w:p>
      <w:pPr>
        <w:pStyle w:val="Heading1"/>
      </w:pPr>
      <w:r>
        <w:t>Incidencia que debe corregirse</w:t>
      </w:r>
    </w:p>
    <w:p>
      <w:pPr>
        <w:pStyle w:val="Heading2"/>
      </w:pPr>
      <w:r>
        <w:t>DEF-META-001 · Configuraciones de metas duplicadas</w:t>
      </w:r>
    </w:p>
    <w:p>
      <w:r>
        <w:t>En dos ensayos se aceptó repetir el mismo ítem y período. En la reproducción controlada se repitieron también meta y ponderación: ambas solicitudes devolvieron HTTP 201 y dejaron dos filas. La definición actual de ConfiguracionMeta no incorpora una restricción de unicidad para esa combinación.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632"/>
      </w:tblGrid>
      <w:tr>
        <w:trPr>
          <w:tblHeader/>
          <w:cantSplit/>
        </w:trPr>
        <w:tc>
          <w:tcPr>
            <w:tcW w:type="dxa" w:w="20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000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Registro</w:t>
            </w:r>
          </w:p>
        </w:tc>
        <w:tc>
          <w:tcPr>
            <w:tcW w:type="dxa" w:w="76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000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Pasos</w:t>
            </w:r>
          </w:p>
        </w:tc>
        <w:tc>
          <w:tcPr>
            <w:tcW w:type="dxa" w:w="76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Como administrador QA, crear una configuración y repetir los mismos datos. Consultar el listado filtrado por ese período.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Esperado</w:t>
            </w:r>
          </w:p>
        </w:tc>
        <w:tc>
          <w:tcPr>
            <w:tcW w:type="dxa" w:w="76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Rechazar el duplicado conforme a la regla de unicidad aprobada, sin añadir otra fila.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Obtenido</w:t>
            </w:r>
          </w:p>
        </w:tc>
        <w:tc>
          <w:tcPr>
            <w:tcW w:type="dxa" w:w="76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HTTP 201 en ambas solicitudes; dos registros persistidos. Reproducción en resultados-complementarios.json y antecedente en resultados-ui.json.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Impacto</w:t>
            </w:r>
          </w:p>
        </w:tc>
        <w:tc>
          <w:tcPr>
            <w:tcW w:type="dxa" w:w="76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Riesgo de configuraciones ambiguas y de edición o desactivación de una fila diferente cuando los datos visibles son iguales. Prioridad propuesta media; confirmar con el responsable funcional.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Corrección propuesta</w:t>
            </w:r>
          </w:p>
        </w:tc>
        <w:tc>
          <w:tcPr>
            <w:tcW w:type="dxa" w:w="76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Definir la clave única de negocio y aplicarla en validación y base de datos. Resolver los duplicados QA según esa regla; repetir creación, edición y concurrencia. No se modificó la aplicación para ocultar el resultado.</w:t>
            </w:r>
          </w:p>
        </w:tc>
      </w:tr>
    </w:tbl>
    <w:p>
      <w:pPr>
        <w:pStyle w:val="Heading1"/>
      </w:pPr>
      <w:r>
        <w:t>Escenario que no puede aprobarse</w:t>
      </w:r>
    </w:p>
    <w:p>
      <w:r>
        <w:t>PAR-01 y PAR-05: la configuración actual guarda el período como texto; no hay un flujo de fechas de inicio y término, cierre y reapertura. Se registró bloqueado por funcionalidad no disponible. No se confundió guardar una meta con haber probado crear o cerrar un período. El motor de cálculos continúa fuera del alcance solicitado.</w:t>
      </w:r>
    </w:p>
    <w:p>
      <w:pPr>
        <w:pStyle w:val="Heading1"/>
      </w:pPr>
      <w:r>
        <w:t>Rectificaciones de los ensayos</w:t>
      </w:r>
    </w:p>
    <w:p>
      <w:r>
        <w:t>Seis resultados fallidos de los ensayos se conservaron y se relacionaron con repeticiones válidas. Se corrigió la lectura del nombre de cookie CSRF de esta copia, se esperó la respuesta antes de comprobar el diálogo y se usaron filas únicas para evitar que el propio ensayo de duplicados contaminara exportación o baja. No se atribuyen esos errores del ensayo a defectos de la aplicación.</w:t>
      </w:r>
    </w:p>
    <w:p>
      <w:r>
        <w:br w:type="page"/>
      </w:r>
    </w:p>
    <w:p>
      <w:pPr>
        <w:pStyle w:val="Heading1"/>
      </w:pPr>
      <w:r>
        <w:t>Evidencias y trazabilidad B20</w:t>
      </w:r>
    </w:p>
    <w:p>
      <w:r>
        <w:t>Abrir Informe_Pruebas_Pantallas_SGR.html dentro de output/evidencias_pantallas_completas. El índice contiene 98 registros individuales: 97 de navegador y un escenario bloqueado por inspección. Cada registro incluye caso, HU y requisito, fecha, entorno, versión, resultado real, estado, evidencia y defecto o repetición.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6192"/>
      </w:tblGrid>
      <w:tr>
        <w:trPr>
          <w:tblHeader/>
          <w:cantSplit/>
        </w:trPr>
        <w:tc>
          <w:tcPr>
            <w:tcW w:type="dxa" w:w="34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000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Archivo</w:t>
            </w:r>
          </w:p>
        </w:tc>
        <w:tc>
          <w:tcPr>
            <w:tcW w:type="dxa" w:w="61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000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Contenido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registros-consolidados.json</w:t>
            </w:r>
          </w:p>
        </w:tc>
        <w:tc>
          <w:tcPr>
            <w:tcW w:type="dxa" w:w="61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Resultados normalizados con vínculo al archivo original y a la posición exacta de la variante.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resultados-ui.json</w:t>
            </w:r>
          </w:p>
        </w:tc>
        <w:tc>
          <w:tcPr>
            <w:tcW w:type="dxa" w:w="61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Primera batería completa de los seis CRUD, configuración de metas, atención y contexto.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resultados-gmail.json y gmail-recepcion.json</w:t>
            </w:r>
          </w:p>
        </w:tc>
        <w:tc>
          <w:tcPr>
            <w:tcW w:type="dxa" w:w="61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Recorrido SMTP real y confirmación de recepción. Los secretos no se publican.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resultados-complementarios.json y resultados-finales.json</w:t>
            </w:r>
          </w:p>
        </w:tc>
        <w:tc>
          <w:tcPr>
            <w:tcW w:type="dxa" w:w="61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Repeticiones, límites numéricos, historia, permisos y dos reproducciones del duplicado.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resultados-social.json</w:t>
            </w:r>
          </w:p>
        </w:tc>
        <w:tc>
          <w:tcPr>
            <w:tcW w:type="dxa" w:w="61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Cuarta gestión social desde formulario y conservación de tres gestiones.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exportaciones-verificadas.json</w:t>
            </w:r>
          </w:p>
        </w:tc>
        <w:tc>
          <w:tcPr>
            <w:tcW w:type="dxa" w:w="61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Apertura y recuento de los ocho Excel descargados.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regresion-servidor.log</w:t>
            </w:r>
          </w:p>
        </w:tc>
        <w:tc>
          <w:tcPr>
            <w:tcW w:type="dxa" w:w="61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207 pruebas aprobadas y destrucción de la base temporal.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ejecucion.json y resumen-verificado.json</w:t>
            </w:r>
          </w:p>
        </w:tc>
        <w:tc>
          <w:tcPr>
            <w:tcW w:type="dxa" w:w="61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Huella de los archivos de la aplicación, entorno y totales comprobados.</w:t>
            </w:r>
          </w:p>
        </w:tc>
      </w:tr>
    </w:tbl>
    <w:p>
      <w:r>
        <w:t>Corrección de trazabilidad: los rótulos PAR-01 que aparecían en los scripts para el mantenedor de metas se normalizaron como COMP-META. PAR-01 del PDF exige crear períodos con fechas. El error 500 se vincula a A3 SweetAlert2; UX-03 corresponde a exportación. Los archivos originales no se reescribieron.</w:t>
      </w:r>
    </w:p>
    <w:p>
      <w:pPr>
        <w:pStyle w:val="Heading1"/>
      </w:pPr>
      <w:r>
        <w:t>Límites de la conclusión</w:t>
      </w:r>
    </w:p>
    <w:p>
      <w:r>
        <w:t>Esta ejecución completa los recorridos descritos y revela los pendientes anteriores. No equivale a ejecutar los 84 casos completos del PDF ni a aceptación municipal. AWS, carga, cálculos de desempeño y aprobación de reglas institucionales quedan fuera de esta ejecución. Las fichas anteriores conservan su fecha y resultado histórico; este informe y su índice registran la ejecución más reciente.</w:t>
      </w:r>
    </w:p>
    <w:sectPr w:rsidR="00FC693F" w:rsidRPr="0006063C" w:rsidSect="00034616"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Resultados de pruebas de pantallas SGR</dc:title>
  <dc:subject/>
  <dc:creator>Equipo SGR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