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40" w:line="360" w:lineRule="auto"/>
        <w:jc w:val="center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POLÍTICA DE SEGURIDAD INDUSTRIAL, SEGURIDAD OPERATIVA Y PROTECCIÓN AL MEDIO AMBIENTE EN LA ESTACIÓN DE SERVICIO “__nombre_de_la_razon_social__”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-50799</wp:posOffset>
                </wp:positionV>
                <wp:extent cx="6487141" cy="759261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8305" y="0"/>
                          <a:ext cx="6455391" cy="7560000"/>
                        </a:xfrm>
                        <a:prstGeom prst="rect">
                          <a:avLst/>
                        </a:prstGeom>
                        <a:noFill/>
                        <a:ln cap="flat" cmpd="dbl" w="31750">
                          <a:solidFill>
                            <a:schemeClr val="accent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-50799</wp:posOffset>
                </wp:positionV>
                <wp:extent cx="6487141" cy="759261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7141" cy="7592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480" w:line="240" w:lineRule="auto"/>
        <w:jc w:val="center"/>
        <w:rPr>
          <w:b w:val="1"/>
          <w:color w:val="4472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8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 Estación de Servicio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__nombre_de_la_razon_social__</w:t>
      </w:r>
      <w:r w:rsidDel="00000000" w:rsidR="00000000" w:rsidRPr="00000000">
        <w:rPr>
          <w:b w:val="1"/>
          <w:sz w:val="24"/>
          <w:szCs w:val="24"/>
          <w:rtl w:val="0"/>
        </w:rPr>
        <w:t xml:space="preserve">, se distingue por proporcionar un servicio comprometido con el cuidado del medio ambiente, la seguridad y salud de sus trabajadores; asegurando la mejora continua de sus procesos en cumplimiento a las Disposiciones Administrativas de Carácter General, a fin de mitigar los riesgos inherentes a sus actividades, consolidándose como una empresa eficiente y competitiva del sector petrolíferos controlando sus peligros y aspectos ambientales generados, involucrando a personal interno y externo (contratistas, subcontratistas, proveedores y prestadores de servicio). </w:t>
      </w:r>
    </w:p>
    <w:p w:rsidR="00000000" w:rsidDel="00000000" w:rsidP="00000000" w:rsidRDefault="00000000" w:rsidRPr="00000000" w14:paraId="00000004">
      <w:pPr>
        <w:spacing w:after="4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__nombre_del_representante_legal__.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Alta Dirección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905.0" w:type="dxa"/>
      <w:jc w:val="center"/>
      <w:tblBorders>
        <w:top w:color="0070c0" w:space="0" w:sz="4" w:val="single"/>
        <w:left w:color="0070c0" w:space="0" w:sz="4" w:val="single"/>
        <w:bottom w:color="0070c0" w:space="0" w:sz="4" w:val="single"/>
        <w:right w:color="0070c0" w:space="0" w:sz="4" w:val="single"/>
        <w:insideH w:color="0070c0" w:space="0" w:sz="4" w:val="single"/>
        <w:insideV w:color="0070c0" w:space="0" w:sz="4" w:val="single"/>
      </w:tblBorders>
      <w:tblLayout w:type="fixed"/>
      <w:tblLook w:val="0400"/>
    </w:tblPr>
    <w:tblGrid>
      <w:gridCol w:w="1936"/>
      <w:gridCol w:w="4919"/>
      <w:gridCol w:w="1114"/>
      <w:gridCol w:w="1936"/>
      <w:tblGridChange w:id="0">
        <w:tblGrid>
          <w:gridCol w:w="1936"/>
          <w:gridCol w:w="4919"/>
          <w:gridCol w:w="1114"/>
          <w:gridCol w:w="1936"/>
        </w:tblGrid>
      </w:tblGridChange>
    </w:tblGrid>
    <w:tr>
      <w:trPr>
        <w:cantSplit w:val="0"/>
        <w:trHeight w:val="25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__permiso_cre__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0E">
          <w:pPr>
            <w:tabs>
              <w:tab w:val="center" w:leader="none" w:pos="4419"/>
              <w:tab w:val="right" w:leader="none" w:pos="8838"/>
            </w:tabs>
            <w:spacing w:after="0" w:line="240" w:lineRule="auto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__politica__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Clave:</w:t>
          </w:r>
        </w:p>
      </w:tc>
      <w:tc>
        <w:tcPr>
          <w:vAlign w:val="center"/>
        </w:tcPr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__numero_permiso_cre__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/EXP-F-005</w:t>
          </w:r>
        </w:p>
      </w:tc>
    </w:tr>
    <w:tr>
      <w:trPr>
        <w:cantSplit w:val="0"/>
        <w:trHeight w:val="256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Fecha:</w:t>
          </w:r>
        </w:p>
      </w:tc>
      <w:tc>
        <w:tcPr>
          <w:vAlign w:val="center"/>
        </w:tcPr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1"/>
              <w:szCs w:val="21"/>
              <w:rtl w:val="0"/>
            </w:rPr>
            <w:t xml:space="preserve">__fecha_a__o_de_la_implementacion__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7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139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istema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dministración de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eguridad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ndustrial,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eguridad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perativa y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rotección al Medio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mbiente.</w:t>
          </w:r>
        </w:p>
      </w:tc>
      <w:tc>
        <w:tcPr/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Revisión:</w:t>
          </w:r>
        </w:p>
      </w:tc>
      <w:tc>
        <w:tcPr/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</w:t>
          </w:r>
        </w:p>
      </w:tc>
    </w:tr>
    <w:tr>
      <w:trPr>
        <w:cantSplit w:val="0"/>
        <w:trHeight w:val="177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Página: </w:t>
          </w:r>
        </w:p>
      </w:tc>
      <w:tc>
        <w:tcPr/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1</w:t>
          </w:r>
        </w:p>
      </w:tc>
    </w:tr>
  </w:tbl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