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diagrams/colors25.xml" ContentType="application/vnd.openxmlformats-officedocument.drawingml.diagramColors+xml"/>
  <Override PartName="/word/diagrams/quickStyle25.xml" ContentType="application/vnd.openxmlformats-officedocument.drawingml.diagramStyle+xml"/>
  <Override PartName="/word/diagrams/colors7.xml" ContentType="application/vnd.openxmlformats-officedocument.drawingml.diagramColors+xml"/>
  <Override PartName="/word/diagrams/data9.xml" ContentType="application/vnd.openxmlformats-officedocument.drawingml.diagramData+xml"/>
  <Override PartName="/word/diagrams/layout7.xml" ContentType="application/vnd.openxmlformats-officedocument.drawingml.diagramLayout+xml"/>
  <Override PartName="/word/diagrams/drawing7.xml" ContentType="application/vnd.openxmlformats-officedocument.drawingml.diagramDrawing+xml"/>
  <Override PartName="/word/diagrams/colors2.xml" ContentType="application/vnd.openxmlformats-officedocument.drawingml.diagramColors+xml"/>
  <Override PartName="/word/diagrams/quickStyle7.xml" ContentType="application/vnd.openxmlformats-officedocument.drawingml.diagramStyle+xml"/>
  <Override PartName="/word/diagrams/drawing2.xml" ContentType="application/vnd.openxmlformats-officedocument.drawingml.diagramDrawing+xml"/>
  <Override PartName="/word/diagrams/layout2.xml" ContentType="application/vnd.openxmlformats-officedocument.drawingml.diagramLayout+xml"/>
  <Override PartName="/word/diagrams/drawing25.xml" ContentType="application/vnd.openxmlformats-officedocument.drawingml.diagramDrawing+xml"/>
  <Override PartName="/word/diagrams/data2.xml" ContentType="application/vnd.openxmlformats-officedocument.drawingml.diagramData+xml"/>
  <Override PartName="/word/diagrams/quickStyle2.xml" ContentType="application/vnd.openxmlformats-officedocument.drawingml.diagramStyle+xml"/>
  <Override PartName="/word/diagrams/layout9.xml" ContentType="application/vnd.openxmlformats-officedocument.drawingml.diagramLayout+xml"/>
  <Override PartName="/word/diagrams/drawing9.xml" ContentType="application/vnd.openxmlformats-officedocument.drawingml.diagramDrawing+xml"/>
  <Override PartName="/word/diagrams/quickStyle9.xml" ContentType="application/vnd.openxmlformats-officedocument.drawingml.diagramStyle+xml"/>
  <Override PartName="/word/diagrams/quickStyle10.xml" ContentType="application/vnd.openxmlformats-officedocument.drawingml.diagramStyle+xml"/>
  <Override PartName="/word/diagrams/colors10.xml" ContentType="application/vnd.openxmlformats-officedocument.drawingml.diagramColors+xml"/>
  <Override PartName="/word/diagrams/data10.xml" ContentType="application/vnd.openxmlformats-officedocument.drawingml.diagramData+xml"/>
  <Override PartName="/word/diagrams/colors9.xml" ContentType="application/vnd.openxmlformats-officedocument.drawingml.diagramColors+xml"/>
  <Override PartName="/word/diagrams/layout10.xml" ContentType="application/vnd.openxmlformats-officedocument.drawingml.diagramLayout+xml"/>
  <Override PartName="/word/diagrams/data7.xml" ContentType="application/vnd.openxmlformats-officedocument.drawingml.diagramData+xml"/>
  <Override PartName="/word/diagrams/drawing10.xml" ContentType="application/vnd.openxmlformats-officedocument.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media/image14.png" ContentType="image/png"/>
  <Override PartName="/word/media/image13.png" ContentType="image/png"/>
  <Override PartName="/word/media/image12.png" ContentType="image/png"/>
  <Override PartName="/word/media/image11.png" ContentType="image/png"/>
  <Override PartName="/word/media/image4.wmf" ContentType="image/x-wmf"/>
  <Override PartName="/word/media/image3.png" ContentType="image/png"/>
  <Override PartName="/word/media/image2.png" ContentType="image/png"/>
  <Override PartName="/word/media/image1.png" ContentType="image/png"/>
  <Override PartName="/word/media/image8.jpeg" ContentType="image/jpeg"/>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settings.xml" ContentType="application/vnd.openxmlformats-officedocument.wordprocessingml.settings+xml"/>
  <Override PartName="/word/comments.xml" ContentType="application/vnd.openxmlformats-officedocument.wordprocessingml.comments+xml"/>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t>The University of Southern Denmark                                      Date of Submission:  01.09.2016</w:t>
      </w:r>
    </w:p>
    <w:p>
      <w:pPr>
        <w:pStyle w:val="Normal"/>
        <w:rPr>
          <w:rFonts w:ascii="Times New Roman" w:hAnsi="Times New Roman" w:cs="Times New Roman"/>
          <w:lang w:val="en-US"/>
        </w:rPr>
      </w:pPr>
      <w:r>
        <w:rPr>
          <w:rFonts w:cs="Times New Roman"/>
          <w:lang w:val="en-US"/>
        </w:rPr>
        <w:t>Faculty of Business and Social Sciences                                                  Number of Keystrokes</w:t>
      </w:r>
    </w:p>
    <w:p>
      <w:pPr>
        <w:pStyle w:val="Normal"/>
        <w:spacing w:lineRule="auto" w:line="240" w:before="0" w:after="0"/>
        <w:rPr>
          <w:rFonts w:ascii="Times New Roman" w:hAnsi="Times New Roman" w:cs="Times New Roman"/>
          <w:color w:val="000000"/>
          <w:lang w:val="en-US"/>
        </w:rPr>
      </w:pPr>
      <w:r>
        <w:rPr>
          <w:rFonts w:cs="Times New Roman"/>
          <w:color w:val="000000"/>
          <w:lang w:val="en-US"/>
        </w:rPr>
      </w:r>
    </w:p>
    <w:p>
      <w:pPr>
        <w:pStyle w:val="Normal"/>
        <w:spacing w:lineRule="auto" w:line="240" w:before="0" w:after="0"/>
        <w:rPr>
          <w:rFonts w:ascii="Times New Roman" w:hAnsi="Times New Roman" w:cs="Times New Roman"/>
          <w:color w:val="000000"/>
          <w:lang w:val="en-US"/>
        </w:rPr>
      </w:pPr>
      <w:r>
        <w:rPr>
          <w:rFonts w:cs="Times New Roman"/>
          <w:color w:val="000000"/>
          <w:lang w:val="en-US"/>
        </w:rPr>
      </w:r>
    </w:p>
    <w:p>
      <w:pPr>
        <w:pStyle w:val="Normal"/>
        <w:spacing w:lineRule="auto" w:line="240" w:before="0" w:after="0"/>
        <w:rPr>
          <w:rFonts w:ascii="Times New Roman" w:hAnsi="Times New Roman" w:cs="Times New Roman"/>
          <w:color w:val="000000"/>
          <w:sz w:val="32"/>
          <w:szCs w:val="32"/>
          <w:lang w:val="en-US"/>
        </w:rPr>
      </w:pPr>
      <w:r>
        <w:rPr>
          <w:rFonts w:cs="Times New Roman"/>
          <w:color w:val="000000"/>
          <w:sz w:val="32"/>
          <w:szCs w:val="32"/>
          <w:lang w:val="en-US"/>
        </w:rPr>
      </w:r>
    </w:p>
    <w:p>
      <w:pPr>
        <w:pStyle w:val="Normal"/>
        <w:jc w:val="center"/>
        <w:rPr>
          <w:rFonts w:ascii="Times New Roman" w:hAnsi="Times New Roman" w:cs="Times New Roman"/>
          <w:sz w:val="32"/>
          <w:szCs w:val="32"/>
          <w:lang w:val="en-US"/>
        </w:rPr>
      </w:pPr>
      <w:r>
        <w:rPr>
          <w:rFonts w:cs="Times New Roman"/>
          <w:sz w:val="32"/>
          <w:szCs w:val="32"/>
          <w:lang w:val="en-US"/>
        </w:rPr>
        <w:t>“</w:t>
      </w:r>
      <w:r>
        <w:rPr>
          <w:rFonts w:cs="Times New Roman"/>
          <w:sz w:val="32"/>
          <w:szCs w:val="32"/>
          <w:lang w:val="en-US"/>
        </w:rPr>
        <w:t>Odense Robotics Cluster of Innovation”</w:t>
      </w:r>
    </w:p>
    <w:p>
      <w:pPr>
        <w:pStyle w:val="Normal"/>
        <w:spacing w:lineRule="auto" w:line="240"/>
        <w:jc w:val="center"/>
        <w:rPr>
          <w:rFonts w:ascii="Times New Roman" w:hAnsi="Times New Roman" w:cs="Times New Roman"/>
          <w:lang w:val="en-US"/>
        </w:rPr>
      </w:pPr>
      <w:r>
        <w:rPr>
          <w:rFonts w:cs="Times New Roman"/>
          <w:lang w:val="en-US"/>
        </w:rPr>
        <w:t>By</w:t>
      </w:r>
    </w:p>
    <w:p>
      <w:pPr>
        <w:pStyle w:val="Normal"/>
        <w:spacing w:lineRule="auto" w:line="240"/>
        <w:jc w:val="center"/>
        <w:rPr>
          <w:rFonts w:ascii="Times New Roman" w:hAnsi="Times New Roman" w:cs="Times New Roman"/>
          <w:lang w:val="en-US"/>
        </w:rPr>
      </w:pPr>
      <w:r>
        <w:rPr>
          <w:rFonts w:cs="Times New Roman"/>
          <w:lang w:val="en-US"/>
        </w:rPr>
        <w:t>Ioannis Maragkos</w:t>
      </w:r>
    </w:p>
    <w:p>
      <w:pPr>
        <w:pStyle w:val="Normal"/>
        <w:jc w:val="center"/>
        <w:rPr>
          <w:rFonts w:ascii="Times New Roman" w:hAnsi="Times New Roman" w:cs="Times New Roman"/>
          <w:lang w:val="en-US"/>
        </w:rPr>
      </w:pPr>
      <w:r>
        <w:rPr>
          <w:rFonts w:cs="Times New Roman"/>
          <w:lang w:val="en-US"/>
        </w:rPr>
      </w:r>
    </w:p>
    <w:p>
      <w:pPr>
        <w:pStyle w:val="Normal"/>
        <w:jc w:val="center"/>
        <w:rPr>
          <w:rFonts w:ascii="Times New Roman" w:hAnsi="Times New Roman" w:cs="Times New Roman"/>
          <w:lang w:val="en-US"/>
        </w:rPr>
      </w:pPr>
      <w:r>
        <w:rPr>
          <w:rFonts w:cs="Times New Roman"/>
          <w:lang w:val="en-US"/>
        </w:rPr>
        <w:t>A MASTER’S THESIS</w:t>
      </w:r>
    </w:p>
    <w:p>
      <w:pPr>
        <w:pStyle w:val="Normal"/>
        <w:jc w:val="center"/>
        <w:rPr>
          <w:rFonts w:ascii="Times New Roman" w:hAnsi="Times New Roman" w:cs="Times New Roman"/>
          <w:lang w:val="en-US"/>
        </w:rPr>
      </w:pPr>
      <w:r>
        <w:rPr>
          <w:rFonts w:cs="Times New Roman"/>
          <w:lang w:val="en-US"/>
        </w:rPr>
      </w:r>
    </w:p>
    <w:p>
      <w:pPr>
        <w:pStyle w:val="Normal"/>
        <w:jc w:val="center"/>
        <w:rPr>
          <w:rFonts w:ascii="Times New Roman" w:hAnsi="Times New Roman" w:cs="Times New Roman"/>
          <w:lang w:val="en-US"/>
        </w:rPr>
      </w:pPr>
      <w:r>
        <w:rPr>
          <w:rFonts w:cs="Times New Roman"/>
          <w:lang w:val="en-US"/>
        </w:rPr>
      </w:r>
    </w:p>
    <w:p>
      <w:pPr>
        <w:pStyle w:val="Normal"/>
        <w:jc w:val="center"/>
        <w:rPr>
          <w:rFonts w:ascii="Times New Roman" w:hAnsi="Times New Roman" w:cs="Times New Roman"/>
          <w:lang w:val="en-US"/>
        </w:rPr>
      </w:pPr>
      <w:r>
        <w:rPr>
          <w:rFonts w:cs="Times New Roman"/>
          <w:lang w:val="en-US"/>
        </w:rPr>
        <w:t>Submitted to</w:t>
      </w:r>
    </w:p>
    <w:p>
      <w:pPr>
        <w:pStyle w:val="Normal"/>
        <w:jc w:val="center"/>
        <w:rPr>
          <w:rFonts w:ascii="Times New Roman" w:hAnsi="Times New Roman" w:cs="Times New Roman"/>
          <w:lang w:val="en-US"/>
        </w:rPr>
      </w:pPr>
      <w:r>
        <w:rPr>
          <w:rFonts w:cs="Times New Roman"/>
          <w:lang w:val="en-US"/>
        </w:rPr>
        <w:t>University of Southern Denmark</w:t>
      </w:r>
    </w:p>
    <w:p>
      <w:pPr>
        <w:pStyle w:val="Normal"/>
        <w:jc w:val="center"/>
        <w:rPr>
          <w:rFonts w:ascii="Times New Roman" w:hAnsi="Times New Roman" w:cs="Times New Roman"/>
          <w:lang w:val="en-US"/>
        </w:rPr>
      </w:pPr>
      <w:r>
        <w:rPr>
          <w:rFonts w:cs="Times New Roman"/>
          <w:lang w:val="en-US"/>
        </w:rPr>
      </w:r>
    </w:p>
    <w:p>
      <w:pPr>
        <w:pStyle w:val="Normal"/>
        <w:jc w:val="center"/>
        <w:rPr>
          <w:rFonts w:ascii="Times New Roman" w:hAnsi="Times New Roman" w:cs="Times New Roman"/>
          <w:lang w:val="en-US"/>
        </w:rPr>
      </w:pPr>
      <w:r>
        <w:rPr>
          <w:rFonts w:cs="Times New Roman"/>
          <w:lang w:val="en-US"/>
        </w:rPr>
      </w:r>
    </w:p>
    <w:p>
      <w:pPr>
        <w:pStyle w:val="Normal"/>
        <w:jc w:val="center"/>
        <w:rPr>
          <w:rFonts w:ascii="Times New Roman" w:hAnsi="Times New Roman" w:cs="Times New Roman"/>
          <w:lang w:val="en-US"/>
        </w:rPr>
      </w:pPr>
      <w:r>
        <w:rPr>
          <w:rFonts w:cs="Times New Roman"/>
          <w:lang w:val="en-US"/>
        </w:rPr>
        <w:t>In partial fulfilment of the requirements for the degree of</w:t>
      </w:r>
    </w:p>
    <w:p>
      <w:pPr>
        <w:pStyle w:val="Normal"/>
        <w:jc w:val="center"/>
        <w:rPr>
          <w:rFonts w:ascii="Times New Roman" w:hAnsi="Times New Roman" w:cs="Times New Roman"/>
          <w:lang w:val="en-US"/>
        </w:rPr>
      </w:pPr>
      <w:r>
        <w:rPr>
          <w:rFonts w:cs="Times New Roman"/>
          <w:lang w:val="en-US"/>
        </w:rPr>
        <w:t>M.Sc. in Economics and Business Administration</w:t>
      </w:r>
    </w:p>
    <w:p>
      <w:pPr>
        <w:pStyle w:val="Normal"/>
        <w:jc w:val="center"/>
        <w:rPr>
          <w:rFonts w:ascii="Times New Roman" w:hAnsi="Times New Roman" w:cs="Times New Roman"/>
          <w:lang w:val="en-US"/>
        </w:rPr>
      </w:pPr>
      <w:r>
        <w:rPr>
          <w:rFonts w:cs="Times New Roman"/>
          <w:lang w:val="en-US"/>
        </w:rPr>
        <w:t>with the profile</w:t>
      </w:r>
    </w:p>
    <w:p>
      <w:pPr>
        <w:pStyle w:val="Normal"/>
        <w:jc w:val="center"/>
        <w:rPr>
          <w:rFonts w:ascii="Times New Roman" w:hAnsi="Times New Roman" w:cs="Times New Roman"/>
          <w:lang w:val="en-US"/>
        </w:rPr>
      </w:pPr>
      <w:r>
        <w:rPr>
          <w:rFonts w:cs="Times New Roman"/>
          <w:lang w:val="en-US"/>
        </w:rPr>
        <w:t>Strategy and organization</w:t>
      </w:r>
    </w:p>
    <w:p>
      <w:pPr>
        <w:pStyle w:val="Normal"/>
        <w:spacing w:before="0" w:after="0"/>
        <w:rPr>
          <w:rFonts w:ascii="Times New Roman" w:hAnsi="Times New Roman" w:cs="Times New Roman"/>
          <w:color w:val="000000"/>
          <w:lang w:val="en-US"/>
        </w:rPr>
      </w:pPr>
      <w:r>
        <w:rPr>
          <w:rFonts w:cs="Times New Roman"/>
          <w:color w:val="000000"/>
          <w:lang w:val="en-US"/>
        </w:rPr>
      </w:r>
    </w:p>
    <w:tbl>
      <w:tblPr>
        <w:tblW w:w="9514" w:type="dxa"/>
        <w:jc w:val="left"/>
        <w:tblInd w:w="0" w:type="dxa"/>
        <w:tblBorders/>
        <w:tblCellMar>
          <w:top w:w="0" w:type="dxa"/>
          <w:left w:w="108" w:type="dxa"/>
          <w:bottom w:w="0" w:type="dxa"/>
          <w:right w:w="108" w:type="dxa"/>
        </w:tblCellMar>
        <w:tblLook w:val="0000" w:noVBand="0" w:noHBand="0" w:lastColumn="0" w:firstColumn="0" w:lastRow="0" w:firstRow="0"/>
      </w:tblPr>
      <w:tblGrid>
        <w:gridCol w:w="4757"/>
        <w:gridCol w:w="4756"/>
      </w:tblGrid>
      <w:tr>
        <w:trPr>
          <w:trHeight w:val="244" w:hRule="atLeast"/>
        </w:trPr>
        <w:tc>
          <w:tcPr>
            <w:tcW w:w="4757" w:type="dxa"/>
            <w:tcBorders/>
            <w:shd w:fill="auto" w:val="clear"/>
          </w:tcPr>
          <w:p>
            <w:pPr>
              <w:pStyle w:val="Normal"/>
              <w:spacing w:before="0" w:after="0"/>
              <w:rPr>
                <w:rFonts w:ascii="Times New Roman" w:hAnsi="Times New Roman" w:cs="Times New Roman"/>
                <w:color w:val="000000"/>
              </w:rPr>
            </w:pPr>
            <w:r>
              <w:drawing>
                <wp:anchor behindDoc="1" distT="0" distB="0" distL="114300" distR="114300" simplePos="0" locked="0" layoutInCell="1" allowOverlap="1" relativeHeight="2">
                  <wp:simplePos x="0" y="0"/>
                  <wp:positionH relativeFrom="column">
                    <wp:posOffset>1640205</wp:posOffset>
                  </wp:positionH>
                  <wp:positionV relativeFrom="paragraph">
                    <wp:posOffset>62230</wp:posOffset>
                  </wp:positionV>
                  <wp:extent cx="2256790" cy="647700"/>
                  <wp:effectExtent l="0" t="0" r="0" b="0"/>
                  <wp:wrapNone/>
                  <wp:docPr id="1" name="Εικόνα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4" descr=""/>
                          <pic:cNvPicPr>
                            <a:picLocks noChangeAspect="1" noChangeArrowheads="1"/>
                          </pic:cNvPicPr>
                        </pic:nvPicPr>
                        <pic:blipFill>
                          <a:blip r:embed="rId2"/>
                          <a:stretch>
                            <a:fillRect/>
                          </a:stretch>
                        </pic:blipFill>
                        <pic:spPr bwMode="auto">
                          <a:xfrm>
                            <a:off x="0" y="0"/>
                            <a:ext cx="2256790" cy="647700"/>
                          </a:xfrm>
                          <a:prstGeom prst="rect">
                            <a:avLst/>
                          </a:prstGeom>
                        </pic:spPr>
                      </pic:pic>
                    </a:graphicData>
                  </a:graphic>
                </wp:anchor>
              </w:drawing>
            </w:r>
            <w:r>
              <w:rPr>
                <w:rFonts w:cs="Times New Roman"/>
                <w:color w:val="000000"/>
              </w:rPr>
              <w:t>S</w:t>
            </w:r>
            <w:r>
              <w:rPr>
                <w:rFonts w:cs="Times New Roman"/>
                <w:color w:val="000000"/>
              </w:rPr>
              <w:t xml:space="preserve">ubmitted by: </w:t>
            </w:r>
          </w:p>
        </w:tc>
        <w:tc>
          <w:tcPr>
            <w:tcW w:w="4756" w:type="dxa"/>
            <w:tcBorders/>
            <w:shd w:fill="auto" w:val="clear"/>
          </w:tcPr>
          <w:p>
            <w:pPr>
              <w:pStyle w:val="Normal"/>
              <w:spacing w:before="0" w:after="0"/>
              <w:jc w:val="right"/>
              <w:rPr>
                <w:rFonts w:ascii="Times New Roman" w:hAnsi="Times New Roman" w:cs="Times New Roman"/>
                <w:color w:val="000000"/>
              </w:rPr>
            </w:pPr>
            <w:r>
              <w:rPr>
                <w:rFonts w:cs="Times New Roman"/>
                <w:color w:val="000000"/>
              </w:rPr>
              <w:t xml:space="preserve">Supervisor: </w:t>
            </w:r>
          </w:p>
        </w:tc>
      </w:tr>
      <w:tr>
        <w:trPr>
          <w:trHeight w:val="1479" w:hRule="atLeast"/>
        </w:trPr>
        <w:tc>
          <w:tcPr>
            <w:tcW w:w="4757" w:type="dxa"/>
            <w:tcBorders/>
            <w:shd w:fill="auto" w:val="clear"/>
          </w:tcPr>
          <w:p>
            <w:pPr>
              <w:pStyle w:val="Normal"/>
              <w:spacing w:before="0" w:after="0"/>
              <w:rPr>
                <w:rFonts w:ascii="Times New Roman" w:hAnsi="Times New Roman" w:cs="Times New Roman"/>
                <w:color w:val="000000"/>
                <w:lang w:val="en-US"/>
              </w:rPr>
            </w:pPr>
            <w:r>
              <w:rPr>
                <w:rFonts w:cs="Times New Roman"/>
                <w:color w:val="000000"/>
                <w:lang w:val="en-US"/>
              </w:rPr>
              <w:t>Ioannis Maragkos</w:t>
            </w:r>
          </w:p>
          <w:p>
            <w:pPr>
              <w:pStyle w:val="Normal"/>
              <w:spacing w:before="0" w:after="0"/>
              <w:rPr>
                <w:rFonts w:ascii="Times New Roman" w:hAnsi="Times New Roman" w:cs="Times New Roman"/>
                <w:color w:val="000000"/>
                <w:lang w:val="en-US"/>
              </w:rPr>
            </w:pPr>
            <w:r>
              <w:rPr>
                <w:rFonts w:cs="Times New Roman"/>
                <w:color w:val="000000"/>
                <w:lang w:val="en-US"/>
              </w:rPr>
              <w:t xml:space="preserve">031189-3815 </w:t>
            </w:r>
          </w:p>
          <w:p>
            <w:pPr>
              <w:pStyle w:val="Normal"/>
              <w:spacing w:before="0" w:after="0"/>
              <w:rPr>
                <w:rFonts w:ascii="Times New Roman" w:hAnsi="Times New Roman" w:cs="Times New Roman"/>
                <w:color w:val="000000"/>
                <w:lang w:val="en-US"/>
              </w:rPr>
            </w:pPr>
            <w:r>
              <w:rPr>
                <w:rFonts w:cs="Times New Roman"/>
                <w:color w:val="000000"/>
                <w:lang w:val="en-US"/>
              </w:rPr>
              <w:t>Economics and Business</w:t>
            </w:r>
          </w:p>
          <w:p>
            <w:pPr>
              <w:pStyle w:val="Normal"/>
              <w:spacing w:before="0" w:after="0"/>
              <w:rPr>
                <w:rFonts w:ascii="Times New Roman" w:hAnsi="Times New Roman" w:cs="Times New Roman"/>
                <w:color w:val="000000"/>
                <w:lang w:val="en-US"/>
              </w:rPr>
            </w:pPr>
            <w:r>
              <w:rPr>
                <w:rFonts w:cs="Times New Roman"/>
                <w:color w:val="000000"/>
                <w:lang w:val="en-US"/>
              </w:rPr>
              <w:t xml:space="preserve">Administration </w:t>
            </w:r>
          </w:p>
        </w:tc>
        <w:tc>
          <w:tcPr>
            <w:tcW w:w="4756" w:type="dxa"/>
            <w:tcBorders/>
            <w:shd w:fill="auto" w:val="clear"/>
          </w:tcPr>
          <w:p>
            <w:pPr>
              <w:pStyle w:val="Normal"/>
              <w:spacing w:before="0" w:after="0"/>
              <w:jc w:val="right"/>
              <w:rPr>
                <w:rFonts w:ascii="Times New Roman" w:hAnsi="Times New Roman" w:cs="Times New Roman"/>
                <w:color w:val="000000"/>
                <w:lang w:val="en-US"/>
              </w:rPr>
            </w:pPr>
            <w:r>
              <w:rPr>
                <w:rFonts w:cs="Times New Roman"/>
                <w:color w:val="000000"/>
                <w:lang w:val="en-US"/>
              </w:rPr>
              <w:t xml:space="preserve">Professor Bo.H.Eriksen  </w:t>
            </w:r>
          </w:p>
          <w:p>
            <w:pPr>
              <w:pStyle w:val="Normal"/>
              <w:spacing w:before="0" w:after="0"/>
              <w:jc w:val="right"/>
              <w:rPr>
                <w:rFonts w:ascii="Times New Roman" w:hAnsi="Times New Roman" w:cs="Times New Roman"/>
                <w:color w:val="000000"/>
                <w:lang w:val="en-US"/>
              </w:rPr>
            </w:pPr>
            <w:r>
              <w:rPr>
                <w:rFonts w:cs="Times New Roman"/>
                <w:color w:val="000000"/>
                <w:lang w:val="en-US"/>
              </w:rPr>
              <w:t xml:space="preserve">Department of Marketing and </w:t>
            </w:r>
          </w:p>
          <w:p>
            <w:pPr>
              <w:pStyle w:val="Normal"/>
              <w:spacing w:before="0" w:after="0"/>
              <w:jc w:val="right"/>
              <w:rPr>
                <w:rFonts w:ascii="Times New Roman" w:hAnsi="Times New Roman" w:cs="Times New Roman"/>
                <w:color w:val="000000"/>
                <w:lang w:val="en-US"/>
              </w:rPr>
            </w:pPr>
            <w:r>
              <w:rPr>
                <w:rFonts w:cs="Times New Roman"/>
                <w:color w:val="000000"/>
                <w:lang w:val="en-US"/>
              </w:rPr>
              <w:t xml:space="preserve">Management </w:t>
            </w:r>
          </w:p>
          <w:p>
            <w:pPr>
              <w:pStyle w:val="Normal"/>
              <w:spacing w:before="0" w:after="0"/>
              <w:jc w:val="right"/>
              <w:rPr>
                <w:rFonts w:ascii="Times New Roman" w:hAnsi="Times New Roman" w:cs="Times New Roman"/>
                <w:color w:val="000000"/>
                <w:lang w:val="en-US"/>
              </w:rPr>
            </w:pPr>
            <w:r>
              <w:rPr>
                <w:rFonts w:cs="Times New Roman"/>
                <w:color w:val="000000"/>
                <w:lang w:val="en-US"/>
              </w:rPr>
              <w:t xml:space="preserve">University of Southern Denmark </w:t>
            </w:r>
          </w:p>
        </w:tc>
      </w:tr>
    </w:tbl>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sectPr>
          <w:type w:val="nextPage"/>
          <w:pgSz w:w="11906" w:h="16838"/>
          <w:pgMar w:left="1797" w:right="1797" w:header="0" w:top="1440" w:footer="0" w:bottom="1440" w:gutter="0"/>
          <w:pgNumType w:fmt="decimal"/>
          <w:formProt w:val="false"/>
          <w:textDirection w:val="lrTb"/>
          <w:docGrid w:type="default" w:linePitch="360" w:charSpace="4294965247"/>
        </w:sectPr>
        <w:pStyle w:val="Normal"/>
        <w:rPr/>
      </w:pPr>
      <w:r>
        <w:rPr/>
      </w:r>
    </w:p>
    <w:p>
      <w:pPr>
        <w:pStyle w:val="Normal"/>
        <w:pageBreakBefore w:val="false"/>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Normal"/>
        <w:rPr>
          <w:rFonts w:ascii="Times New Roman" w:hAnsi="Times New Roman" w:cs="Times New Roman"/>
          <w:lang w:val="en-US"/>
        </w:rPr>
      </w:pPr>
      <w:r>
        <w:rPr>
          <w:rFonts w:cs="Times New Roman"/>
          <w:lang w:val="en-US"/>
        </w:rPr>
      </w:r>
    </w:p>
    <w:p>
      <w:pPr>
        <w:pStyle w:val="Heading1"/>
        <w:rPr/>
      </w:pPr>
      <w:bookmarkStart w:id="0" w:name="__RefHeading___Toc5730_427358540"/>
      <w:bookmarkStart w:id="1" w:name="_Toc459977472"/>
      <w:bookmarkEnd w:id="0"/>
      <w:bookmarkEnd w:id="1"/>
      <w:r>
        <w:rPr>
          <w:lang w:val="en-US"/>
        </w:rPr>
        <w:t>Abstract</w:t>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Normal"/>
        <w:rPr>
          <w:rFonts w:ascii="Times New Roman" w:hAnsi="Times New Roman" w:cs="Times New Roman"/>
          <w:b/>
          <w:b/>
          <w:sz w:val="24"/>
          <w:szCs w:val="24"/>
          <w:lang w:val="en-US"/>
        </w:rPr>
      </w:pPr>
      <w:r>
        <w:rPr>
          <w:rFonts w:cs="Times New Roman"/>
          <w:b/>
          <w:sz w:val="24"/>
          <w:szCs w:val="24"/>
          <w:lang w:val="en-US"/>
        </w:rPr>
      </w:r>
    </w:p>
    <w:p>
      <w:pPr>
        <w:pStyle w:val="Heading1"/>
        <w:rPr>
          <w:lang w:val="en-US"/>
        </w:rPr>
      </w:pPr>
      <w:bookmarkStart w:id="2" w:name="__RefHeading___Toc5732_427358540"/>
      <w:bookmarkStart w:id="3" w:name="_Toc459977473"/>
      <w:bookmarkEnd w:id="2"/>
      <w:bookmarkEnd w:id="3"/>
      <w:r>
        <w:rPr>
          <w:lang w:val="en-US"/>
        </w:rPr>
        <w:t>Acknowledgements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sdt>
      <w:sdtPr>
        <w:docPartObj>
          <w:docPartGallery w:val="Table of Contents"/>
          <w:docPartUnique w:val="true"/>
        </w:docPartObj>
        <w:id w:val="1825938659"/>
      </w:sdtPr>
      <w:sdtContent>
        <w:p>
          <w:pPr>
            <w:pStyle w:val="Heading1"/>
            <w:rPr/>
          </w:pPr>
          <w:bookmarkStart w:id="4" w:name="__RefHeading___Toc5734_427358540"/>
          <w:bookmarkStart w:id="5" w:name="_Toc459977474"/>
          <w:bookmarkEnd w:id="4"/>
          <w:bookmarkEnd w:id="5"/>
          <w:r>
            <w:rPr>
              <w:lang w:val="en-US"/>
            </w:rPr>
            <w:t>Table of Contents</w:t>
          </w:r>
        </w:p>
        <w:p>
          <w:pPr>
            <w:pStyle w:val="Contents1"/>
            <w:tabs>
              <w:tab w:val="right" w:pos="8302" w:leader="dot"/>
              <w:tab w:val="right" w:pos="8640" w:leader="dot"/>
            </w:tabs>
            <w:rPr/>
          </w:pPr>
          <w:r>
            <w:fldChar w:fldCharType="begin"/>
          </w:r>
          <w:r>
            <w:instrText> TOC \z \o "1-3" \u \h</w:instrText>
          </w:r>
          <w:r>
            <w:fldChar w:fldCharType="separate"/>
          </w:r>
          <w:hyperlink w:anchor="__RefHeading___Toc5730_427358540">
            <w:r>
              <w:rPr>
                <w:webHidden/>
                <w:rStyle w:val="IndexLink"/>
                <w:vanish w:val="false"/>
              </w:rPr>
              <w:t>Abstract</w:t>
              <w:tab/>
              <w:t>ii</w:t>
            </w:r>
          </w:hyperlink>
        </w:p>
        <w:p>
          <w:pPr>
            <w:pStyle w:val="Contents1"/>
            <w:tabs>
              <w:tab w:val="right" w:pos="8302" w:leader="dot"/>
              <w:tab w:val="right" w:pos="8640" w:leader="dot"/>
            </w:tabs>
            <w:rPr/>
          </w:pPr>
          <w:hyperlink w:anchor="__RefHeading___Toc5732_427358540">
            <w:r>
              <w:rPr>
                <w:webHidden/>
                <w:rStyle w:val="IndexLink"/>
                <w:vanish w:val="false"/>
              </w:rPr>
              <w:t>Acknowledgements</w:t>
              <w:tab/>
              <w:t>iii</w:t>
            </w:r>
          </w:hyperlink>
        </w:p>
        <w:p>
          <w:pPr>
            <w:pStyle w:val="Contents1"/>
            <w:tabs>
              <w:tab w:val="right" w:pos="8302" w:leader="dot"/>
              <w:tab w:val="right" w:pos="8640" w:leader="dot"/>
            </w:tabs>
            <w:rPr/>
          </w:pPr>
          <w:hyperlink w:anchor="__RefHeading___Toc5734_427358540">
            <w:r>
              <w:rPr>
                <w:webHidden/>
                <w:rStyle w:val="IndexLink"/>
                <w:vanish w:val="false"/>
              </w:rPr>
              <w:t>Table of Contents</w:t>
              <w:tab/>
              <w:t>iii</w:t>
            </w:r>
          </w:hyperlink>
        </w:p>
        <w:p>
          <w:pPr>
            <w:pStyle w:val="Contents1"/>
            <w:tabs>
              <w:tab w:val="right" w:pos="8302" w:leader="dot"/>
              <w:tab w:val="right" w:pos="8640" w:leader="dot"/>
            </w:tabs>
            <w:rPr/>
          </w:pPr>
          <w:hyperlink w:anchor="__RefHeading___Toc5736_427358540">
            <w:r>
              <w:rPr>
                <w:webHidden/>
                <w:rStyle w:val="IndexLink"/>
                <w:vanish w:val="false"/>
              </w:rPr>
              <w:t>Chapter 1: Introduction</w:t>
              <w:tab/>
              <w:t>1</w:t>
            </w:r>
          </w:hyperlink>
        </w:p>
        <w:p>
          <w:pPr>
            <w:pStyle w:val="Contents1"/>
            <w:tabs>
              <w:tab w:val="right" w:pos="8302" w:leader="dot"/>
              <w:tab w:val="right" w:pos="8640" w:leader="dot"/>
            </w:tabs>
            <w:rPr/>
          </w:pPr>
          <w:hyperlink w:anchor="__RefHeading___Toc5738_427358540">
            <w:r>
              <w:rPr>
                <w:webHidden/>
                <w:rStyle w:val="IndexLink"/>
                <w:vanish w:val="false"/>
              </w:rPr>
              <w:t>1.1 Case Background</w:t>
              <w:tab/>
              <w:t>1</w:t>
            </w:r>
          </w:hyperlink>
        </w:p>
        <w:p>
          <w:pPr>
            <w:pStyle w:val="Contents1"/>
            <w:tabs>
              <w:tab w:val="right" w:pos="8302" w:leader="dot"/>
              <w:tab w:val="right" w:pos="8640" w:leader="dot"/>
            </w:tabs>
            <w:rPr/>
          </w:pPr>
          <w:hyperlink w:anchor="__RefHeading___Toc5740_427358540">
            <w:r>
              <w:rPr>
                <w:webHidden/>
                <w:rStyle w:val="IndexLink"/>
                <w:vanish w:val="false"/>
              </w:rPr>
              <w:t>1.2 Problem Indication</w:t>
              <w:tab/>
              <w:t>4</w:t>
            </w:r>
          </w:hyperlink>
        </w:p>
        <w:p>
          <w:pPr>
            <w:pStyle w:val="Contents1"/>
            <w:tabs>
              <w:tab w:val="right" w:pos="8302" w:leader="dot"/>
              <w:tab w:val="right" w:pos="8640" w:leader="dot"/>
            </w:tabs>
            <w:rPr/>
          </w:pPr>
          <w:hyperlink w:anchor="__RefHeading___Toc5742_427358540">
            <w:r>
              <w:rPr>
                <w:webHidden/>
                <w:rStyle w:val="IndexLink"/>
                <w:vanish w:val="false"/>
              </w:rPr>
              <w:t>1.3 Problem Statement</w:t>
              <w:tab/>
              <w:t>5</w:t>
            </w:r>
          </w:hyperlink>
        </w:p>
        <w:p>
          <w:pPr>
            <w:pStyle w:val="Contents1"/>
            <w:tabs>
              <w:tab w:val="right" w:pos="8302" w:leader="dot"/>
              <w:tab w:val="right" w:pos="8640" w:leader="dot"/>
            </w:tabs>
            <w:rPr/>
          </w:pPr>
          <w:hyperlink w:anchor="__RefHeading___Toc5744_427358540">
            <w:r>
              <w:rPr>
                <w:webHidden/>
                <w:rStyle w:val="IndexLink"/>
                <w:vanish w:val="false"/>
              </w:rPr>
              <w:t>1.4 Theoretical Framework</w:t>
              <w:tab/>
              <w:t>6</w:t>
            </w:r>
          </w:hyperlink>
        </w:p>
        <w:p>
          <w:pPr>
            <w:pStyle w:val="Contents1"/>
            <w:tabs>
              <w:tab w:val="right" w:pos="8302" w:leader="dot"/>
              <w:tab w:val="right" w:pos="8640" w:leader="dot"/>
            </w:tabs>
            <w:rPr/>
          </w:pPr>
          <w:hyperlink w:anchor="__RefHeading___Toc5746_427358540">
            <w:r>
              <w:rPr>
                <w:webHidden/>
                <w:rStyle w:val="IndexLink"/>
                <w:vanish w:val="false"/>
              </w:rPr>
              <w:t>1.5 Method</w:t>
              <w:tab/>
              <w:t>6</w:t>
            </w:r>
          </w:hyperlink>
        </w:p>
        <w:p>
          <w:pPr>
            <w:pStyle w:val="Contents1"/>
            <w:tabs>
              <w:tab w:val="right" w:pos="8302" w:leader="dot"/>
              <w:tab w:val="right" w:pos="8640" w:leader="dot"/>
            </w:tabs>
            <w:rPr/>
          </w:pPr>
          <w:hyperlink w:anchor="__RefHeading___Toc5748_427358540">
            <w:r>
              <w:rPr>
                <w:webHidden/>
                <w:rStyle w:val="IndexLink"/>
                <w:vanish w:val="false"/>
              </w:rPr>
              <w:t>1.6 Structure of the Report</w:t>
              <w:tab/>
              <w:t>7</w:t>
            </w:r>
          </w:hyperlink>
        </w:p>
        <w:p>
          <w:pPr>
            <w:pStyle w:val="Contents1"/>
            <w:tabs>
              <w:tab w:val="right" w:pos="8302" w:leader="dot"/>
              <w:tab w:val="right" w:pos="8640" w:leader="dot"/>
            </w:tabs>
            <w:rPr/>
          </w:pPr>
          <w:hyperlink w:anchor="__RefHeading___Toc5750_427358540">
            <w:r>
              <w:rPr>
                <w:webHidden/>
                <w:rStyle w:val="IndexLink"/>
                <w:vanish w:val="false"/>
              </w:rPr>
              <w:t>Chapter 2: Theoretical Framework</w:t>
              <w:tab/>
              <w:t>7</w:t>
            </w:r>
          </w:hyperlink>
        </w:p>
        <w:p>
          <w:pPr>
            <w:pStyle w:val="Contents1"/>
            <w:tabs>
              <w:tab w:val="right" w:pos="8302" w:leader="dot"/>
              <w:tab w:val="right" w:pos="8640" w:leader="dot"/>
            </w:tabs>
            <w:rPr/>
          </w:pPr>
          <w:hyperlink w:anchor="__RefHeading___Toc5752_427358540">
            <w:r>
              <w:rPr>
                <w:webHidden/>
                <w:rStyle w:val="IndexLink"/>
                <w:vanish w:val="false"/>
              </w:rPr>
              <w:t>2.1 Porter’s Diamond model</w:t>
              <w:tab/>
              <w:t>7</w:t>
            </w:r>
          </w:hyperlink>
        </w:p>
        <w:p>
          <w:pPr>
            <w:pStyle w:val="Contents1"/>
            <w:tabs>
              <w:tab w:val="right" w:pos="8302" w:leader="dot"/>
              <w:tab w:val="right" w:pos="8640" w:leader="dot"/>
            </w:tabs>
            <w:rPr/>
          </w:pPr>
          <w:hyperlink w:anchor="__RefHeading___Toc5754_427358540">
            <w:r>
              <w:rPr>
                <w:webHidden/>
                <w:rStyle w:val="IndexLink"/>
                <w:vanish w:val="false"/>
              </w:rPr>
              <w:t>2.2 Innovation Systems</w:t>
              <w:tab/>
              <w:t>10</w:t>
            </w:r>
          </w:hyperlink>
        </w:p>
        <w:p>
          <w:pPr>
            <w:pStyle w:val="Contents1"/>
            <w:tabs>
              <w:tab w:val="right" w:pos="8302" w:leader="dot"/>
              <w:tab w:val="right" w:pos="8640" w:leader="dot"/>
            </w:tabs>
            <w:rPr/>
          </w:pPr>
          <w:hyperlink w:anchor="__RefHeading___Toc5756_427358540">
            <w:r>
              <w:rPr>
                <w:webHidden/>
                <w:rStyle w:val="IndexLink"/>
                <w:vanish w:val="false"/>
              </w:rPr>
              <w:t>2.3 The Triple Helix Model</w:t>
              <w:tab/>
              <w:t>13</w:t>
            </w:r>
          </w:hyperlink>
        </w:p>
        <w:p>
          <w:pPr>
            <w:pStyle w:val="Contents1"/>
            <w:tabs>
              <w:tab w:val="right" w:pos="8302" w:leader="dot"/>
              <w:tab w:val="right" w:pos="8640" w:leader="dot"/>
            </w:tabs>
            <w:rPr/>
          </w:pPr>
          <w:hyperlink w:anchor="__RefHeading___Toc5758_427358540">
            <w:r>
              <w:rPr>
                <w:webHidden/>
                <w:rStyle w:val="IndexLink"/>
                <w:vanish w:val="false"/>
              </w:rPr>
              <w:t>2.3.1 The role of the University</w:t>
              <w:tab/>
              <w:t>14</w:t>
            </w:r>
          </w:hyperlink>
        </w:p>
        <w:p>
          <w:pPr>
            <w:pStyle w:val="Contents1"/>
            <w:tabs>
              <w:tab w:val="right" w:pos="8302" w:leader="dot"/>
              <w:tab w:val="right" w:pos="8640" w:leader="dot"/>
            </w:tabs>
            <w:rPr/>
          </w:pPr>
          <w:hyperlink w:anchor="__RefHeading___Toc5760_427358540">
            <w:r>
              <w:rPr>
                <w:webHidden/>
                <w:rStyle w:val="IndexLink"/>
                <w:vanish w:val="false"/>
              </w:rPr>
              <w:t>2.3.2 The role of the government</w:t>
              <w:tab/>
              <w:t>15</w:t>
            </w:r>
          </w:hyperlink>
        </w:p>
        <w:p>
          <w:pPr>
            <w:pStyle w:val="Contents1"/>
            <w:tabs>
              <w:tab w:val="right" w:pos="8302" w:leader="dot"/>
              <w:tab w:val="right" w:pos="8640" w:leader="dot"/>
            </w:tabs>
            <w:rPr/>
          </w:pPr>
          <w:hyperlink w:anchor="__RefHeading___Toc5762_427358540">
            <w:r>
              <w:rPr>
                <w:webHidden/>
                <w:rStyle w:val="IndexLink"/>
                <w:vanish w:val="false"/>
              </w:rPr>
              <w:t>2.4 Geographical clusters</w:t>
              <w:tab/>
              <w:t>17</w:t>
            </w:r>
          </w:hyperlink>
        </w:p>
        <w:p>
          <w:pPr>
            <w:pStyle w:val="Contents1"/>
            <w:tabs>
              <w:tab w:val="right" w:pos="8302" w:leader="dot"/>
              <w:tab w:val="right" w:pos="8640" w:leader="dot"/>
            </w:tabs>
            <w:rPr/>
          </w:pPr>
          <w:hyperlink w:anchor="__RefHeading___Toc5764_427358540">
            <w:r>
              <w:rPr>
                <w:webHidden/>
                <w:rStyle w:val="IndexLink"/>
                <w:vanish w:val="false"/>
              </w:rPr>
              <w:t>2.5 The cluster actors</w:t>
              <w:tab/>
              <w:t>19</w:t>
            </w:r>
          </w:hyperlink>
        </w:p>
        <w:p>
          <w:pPr>
            <w:pStyle w:val="Contents1"/>
            <w:tabs>
              <w:tab w:val="right" w:pos="8302" w:leader="dot"/>
              <w:tab w:val="right" w:pos="8640" w:leader="dot"/>
            </w:tabs>
            <w:rPr/>
          </w:pPr>
          <w:hyperlink w:anchor="__RefHeading___Toc5766_427358540">
            <w:r>
              <w:rPr>
                <w:webHidden/>
                <w:rStyle w:val="IndexLink"/>
                <w:vanish w:val="false"/>
              </w:rPr>
              <w:t>2.6 Cluster Characteristics</w:t>
              <w:tab/>
              <w:t>20</w:t>
            </w:r>
          </w:hyperlink>
        </w:p>
        <w:p>
          <w:pPr>
            <w:pStyle w:val="Contents1"/>
            <w:tabs>
              <w:tab w:val="right" w:pos="8302" w:leader="dot"/>
              <w:tab w:val="right" w:pos="8640" w:leader="dot"/>
            </w:tabs>
            <w:rPr/>
          </w:pPr>
          <w:hyperlink w:anchor="__RefHeading___Toc5768_427358540">
            <w:r>
              <w:rPr>
                <w:webHidden/>
                <w:rStyle w:val="IndexLink"/>
                <w:vanish w:val="false"/>
              </w:rPr>
              <w:t>2.6.1Geographical proximity</w:t>
              <w:tab/>
              <w:t>22</w:t>
            </w:r>
          </w:hyperlink>
        </w:p>
        <w:p>
          <w:pPr>
            <w:pStyle w:val="Contents1"/>
            <w:tabs>
              <w:tab w:val="right" w:pos="8302" w:leader="dot"/>
              <w:tab w:val="right" w:pos="8640" w:leader="dot"/>
            </w:tabs>
            <w:rPr/>
          </w:pPr>
          <w:hyperlink w:anchor="__RefHeading___Toc5770_427358540">
            <w:r>
              <w:rPr>
                <w:webHidden/>
                <w:rStyle w:val="IndexLink"/>
                <w:vanish w:val="false"/>
              </w:rPr>
              <w:t>2.6.2 Internal competition and co-operation</w:t>
              <w:tab/>
              <w:t>22</w:t>
            </w:r>
          </w:hyperlink>
        </w:p>
        <w:p>
          <w:pPr>
            <w:pStyle w:val="Contents1"/>
            <w:tabs>
              <w:tab w:val="right" w:pos="8302" w:leader="dot"/>
              <w:tab w:val="right" w:pos="8640" w:leader="dot"/>
            </w:tabs>
            <w:rPr/>
          </w:pPr>
          <w:hyperlink w:anchor="__RefHeading___Toc5772_427358540">
            <w:r>
              <w:rPr>
                <w:webHidden/>
                <w:rStyle w:val="IndexLink"/>
                <w:vanish w:val="false"/>
              </w:rPr>
              <w:t>2.6.3 capital and trust</w:t>
              <w:tab/>
              <w:t>22</w:t>
            </w:r>
          </w:hyperlink>
        </w:p>
        <w:p>
          <w:pPr>
            <w:pStyle w:val="Contents1"/>
            <w:tabs>
              <w:tab w:val="right" w:pos="8302" w:leader="dot"/>
              <w:tab w:val="right" w:pos="8640" w:leader="dot"/>
            </w:tabs>
            <w:rPr/>
          </w:pPr>
          <w:hyperlink w:anchor="__RefHeading___Toc5774_427358540">
            <w:r>
              <w:rPr>
                <w:webHidden/>
                <w:rStyle w:val="IndexLink"/>
                <w:vanish w:val="false"/>
              </w:rPr>
              <w:t>2.6.4 Leadership-Entrepreneurship</w:t>
              <w:tab/>
              <w:t>23</w:t>
            </w:r>
          </w:hyperlink>
        </w:p>
        <w:p>
          <w:pPr>
            <w:pStyle w:val="Contents1"/>
            <w:tabs>
              <w:tab w:val="right" w:pos="8302" w:leader="dot"/>
              <w:tab w:val="right" w:pos="8640" w:leader="dot"/>
            </w:tabs>
            <w:rPr/>
          </w:pPr>
          <w:hyperlink w:anchor="__RefHeading___Toc5776_427358540">
            <w:r>
              <w:rPr>
                <w:webHidden/>
                <w:rStyle w:val="IndexLink"/>
                <w:vanish w:val="false"/>
              </w:rPr>
              <w:t>2.6.5 Internal vs. external linkages-Physical proximity</w:t>
              <w:tab/>
              <w:t>24</w:t>
            </w:r>
          </w:hyperlink>
        </w:p>
        <w:p>
          <w:pPr>
            <w:pStyle w:val="Contents1"/>
            <w:tabs>
              <w:tab w:val="right" w:pos="8302" w:leader="dot"/>
              <w:tab w:val="right" w:pos="8640" w:leader="dot"/>
            </w:tabs>
            <w:rPr/>
          </w:pPr>
          <w:hyperlink w:anchor="__RefHeading___Toc5778_427358540">
            <w:r>
              <w:rPr>
                <w:webHidden/>
                <w:rStyle w:val="IndexLink"/>
                <w:vanish w:val="false"/>
              </w:rPr>
              <w:t>2.7 Global clusters of innovation</w:t>
              <w:tab/>
              <w:t>26</w:t>
            </w:r>
          </w:hyperlink>
        </w:p>
        <w:p>
          <w:pPr>
            <w:pStyle w:val="Contents1"/>
            <w:tabs>
              <w:tab w:val="right" w:pos="8302" w:leader="dot"/>
              <w:tab w:val="right" w:pos="8640" w:leader="dot"/>
            </w:tabs>
            <w:rPr/>
          </w:pPr>
          <w:hyperlink w:anchor="__RefHeading___Toc5780_427358540">
            <w:r>
              <w:rPr>
                <w:webHidden/>
                <w:rStyle w:val="IndexLink"/>
                <w:vanish w:val="false"/>
              </w:rPr>
              <w:t>2.8 Conclusion</w:t>
              <w:tab/>
              <w:t>28</w:t>
            </w:r>
          </w:hyperlink>
        </w:p>
        <w:p>
          <w:pPr>
            <w:pStyle w:val="Contents1"/>
            <w:tabs>
              <w:tab w:val="right" w:pos="8302" w:leader="dot"/>
              <w:tab w:val="right" w:pos="8640" w:leader="dot"/>
            </w:tabs>
            <w:rPr/>
          </w:pPr>
          <w:hyperlink w:anchor="__RefHeading___Toc5782_427358540">
            <w:r>
              <w:rPr>
                <w:webHidden/>
                <w:rStyle w:val="IndexLink"/>
                <w:vanish w:val="false"/>
              </w:rPr>
              <w:t>Chapter 3: Methodology</w:t>
              <w:tab/>
              <w:t>28</w:t>
            </w:r>
          </w:hyperlink>
        </w:p>
        <w:p>
          <w:pPr>
            <w:pStyle w:val="Contents1"/>
            <w:tabs>
              <w:tab w:val="right" w:pos="8302" w:leader="dot"/>
              <w:tab w:val="right" w:pos="8640" w:leader="dot"/>
            </w:tabs>
            <w:rPr/>
          </w:pPr>
          <w:hyperlink w:anchor="__RefHeading___Toc5784_427358540">
            <w:r>
              <w:rPr>
                <w:webHidden/>
                <w:rStyle w:val="IndexLink"/>
                <w:vanish w:val="false"/>
              </w:rPr>
              <w:t>3.1 Research design and strategy</w:t>
              <w:tab/>
              <w:t>28</w:t>
            </w:r>
          </w:hyperlink>
        </w:p>
        <w:p>
          <w:pPr>
            <w:pStyle w:val="Contents1"/>
            <w:tabs>
              <w:tab w:val="right" w:pos="8302" w:leader="dot"/>
              <w:tab w:val="right" w:pos="8640" w:leader="dot"/>
            </w:tabs>
            <w:rPr/>
          </w:pPr>
          <w:hyperlink w:anchor="__RefHeading___Toc5786_427358540">
            <w:r>
              <w:rPr>
                <w:webHidden/>
                <w:rStyle w:val="IndexLink"/>
                <w:vanish w:val="false"/>
              </w:rPr>
              <w:t>3.2 Data Collection Method</w:t>
              <w:tab/>
              <w:t>29</w:t>
            </w:r>
          </w:hyperlink>
        </w:p>
        <w:p>
          <w:pPr>
            <w:pStyle w:val="Contents1"/>
            <w:tabs>
              <w:tab w:val="right" w:pos="8302" w:leader="dot"/>
              <w:tab w:val="right" w:pos="8640" w:leader="dot"/>
            </w:tabs>
            <w:rPr/>
          </w:pPr>
          <w:hyperlink w:anchor="__RefHeading___Toc5788_427358540">
            <w:r>
              <w:rPr>
                <w:webHidden/>
                <w:rStyle w:val="IndexLink"/>
                <w:vanish w:val="false"/>
              </w:rPr>
              <w:t>3.3 Sampling method</w:t>
              <w:tab/>
              <w:t>30</w:t>
            </w:r>
          </w:hyperlink>
        </w:p>
        <w:p>
          <w:pPr>
            <w:pStyle w:val="Contents1"/>
            <w:tabs>
              <w:tab w:val="right" w:pos="8302" w:leader="dot"/>
              <w:tab w:val="right" w:pos="8640" w:leader="dot"/>
            </w:tabs>
            <w:rPr/>
          </w:pPr>
          <w:hyperlink w:anchor="__RefHeading___Toc5790_427358540">
            <w:r>
              <w:rPr>
                <w:webHidden/>
                <w:rStyle w:val="IndexLink"/>
                <w:vanish w:val="false"/>
              </w:rPr>
              <w:t>3.3.1 Snowball sampling</w:t>
              <w:tab/>
              <w:t>30</w:t>
            </w:r>
          </w:hyperlink>
        </w:p>
        <w:p>
          <w:pPr>
            <w:pStyle w:val="Contents1"/>
            <w:tabs>
              <w:tab w:val="right" w:pos="8302" w:leader="dot"/>
              <w:tab w:val="right" w:pos="8640" w:leader="dot"/>
            </w:tabs>
            <w:rPr/>
          </w:pPr>
          <w:hyperlink w:anchor="__RefHeading___Toc5792_427358540">
            <w:r>
              <w:rPr>
                <w:webHidden/>
                <w:rStyle w:val="IndexLink"/>
                <w:vanish w:val="false"/>
              </w:rPr>
              <w:t>3.3.2 Snowball Stemma</w:t>
              <w:tab/>
              <w:t>31</w:t>
            </w:r>
          </w:hyperlink>
        </w:p>
        <w:p>
          <w:pPr>
            <w:pStyle w:val="Contents1"/>
            <w:tabs>
              <w:tab w:val="right" w:pos="8302" w:leader="dot"/>
              <w:tab w:val="right" w:pos="8640" w:leader="dot"/>
            </w:tabs>
            <w:rPr/>
          </w:pPr>
          <w:hyperlink w:anchor="__RefHeading___Toc5794_427358540">
            <w:r>
              <w:rPr>
                <w:webHidden/>
                <w:rStyle w:val="IndexLink"/>
                <w:vanish w:val="false"/>
              </w:rPr>
              <w:t>3.4 Data analysis</w:t>
              <w:tab/>
              <w:t>33</w:t>
            </w:r>
          </w:hyperlink>
        </w:p>
        <w:p>
          <w:pPr>
            <w:pStyle w:val="Contents1"/>
            <w:tabs>
              <w:tab w:val="right" w:pos="8302" w:leader="dot"/>
              <w:tab w:val="right" w:pos="8640" w:leader="dot"/>
            </w:tabs>
            <w:rPr/>
          </w:pPr>
          <w:hyperlink w:anchor="__RefHeading___Toc5796_427358540">
            <w:r>
              <w:rPr>
                <w:webHidden/>
                <w:rStyle w:val="IndexLink"/>
                <w:vanish w:val="false"/>
              </w:rPr>
              <w:t>3.4.1 Coding the data</w:t>
              <w:tab/>
              <w:t>34</w:t>
            </w:r>
          </w:hyperlink>
        </w:p>
        <w:p>
          <w:pPr>
            <w:pStyle w:val="Contents1"/>
            <w:tabs>
              <w:tab w:val="right" w:pos="8302" w:leader="dot"/>
              <w:tab w:val="right" w:pos="8640" w:leader="dot"/>
            </w:tabs>
            <w:rPr/>
          </w:pPr>
          <w:hyperlink w:anchor="__RefHeading___Toc5798_427358540">
            <w:r>
              <w:rPr>
                <w:webHidden/>
                <w:rStyle w:val="IndexLink"/>
                <w:vanish w:val="false"/>
              </w:rPr>
              <w:t>3.4.2 Secondary Data</w:t>
              <w:tab/>
              <w:t>35</w:t>
            </w:r>
          </w:hyperlink>
        </w:p>
        <w:p>
          <w:pPr>
            <w:pStyle w:val="Contents1"/>
            <w:tabs>
              <w:tab w:val="right" w:pos="8302" w:leader="dot"/>
              <w:tab w:val="right" w:pos="8640" w:leader="dot"/>
            </w:tabs>
            <w:rPr/>
          </w:pPr>
          <w:hyperlink w:anchor="__RefHeading___Toc5800_427358540">
            <w:r>
              <w:rPr>
                <w:webHidden/>
                <w:rStyle w:val="IndexLink"/>
                <w:vanish w:val="false"/>
              </w:rPr>
              <w:t>3.6 Trustworthiness of results</w:t>
              <w:tab/>
              <w:t>35</w:t>
            </w:r>
          </w:hyperlink>
        </w:p>
        <w:p>
          <w:pPr>
            <w:pStyle w:val="Contents1"/>
            <w:tabs>
              <w:tab w:val="right" w:pos="8302" w:leader="dot"/>
              <w:tab w:val="right" w:pos="8640" w:leader="dot"/>
            </w:tabs>
            <w:rPr/>
          </w:pPr>
          <w:hyperlink w:anchor="__RefHeading___Toc5802_427358540">
            <w:r>
              <w:rPr>
                <w:webHidden/>
                <w:rStyle w:val="IndexLink"/>
                <w:vanish w:val="false"/>
              </w:rPr>
              <w:t>3.7 Verification and Reflection</w:t>
              <w:tab/>
              <w:t>35</w:t>
            </w:r>
          </w:hyperlink>
        </w:p>
        <w:p>
          <w:pPr>
            <w:pStyle w:val="Contents1"/>
            <w:tabs>
              <w:tab w:val="right" w:pos="8302" w:leader="dot"/>
              <w:tab w:val="right" w:pos="8640" w:leader="dot"/>
            </w:tabs>
            <w:rPr/>
          </w:pPr>
          <w:hyperlink w:anchor="__RefHeading___Toc5804_427358540">
            <w:r>
              <w:rPr>
                <w:webHidden/>
                <w:rStyle w:val="IndexLink"/>
                <w:vanish w:val="false"/>
              </w:rPr>
              <w:t>Chapter 4: Analysis</w:t>
              <w:tab/>
              <w:t>36</w:t>
            </w:r>
          </w:hyperlink>
        </w:p>
        <w:p>
          <w:pPr>
            <w:pStyle w:val="Contents1"/>
            <w:tabs>
              <w:tab w:val="right" w:pos="8302" w:leader="dot"/>
              <w:tab w:val="right" w:pos="8640" w:leader="dot"/>
            </w:tabs>
            <w:rPr/>
          </w:pPr>
          <w:hyperlink w:anchor="__RefHeading___Toc5806_427358540">
            <w:r>
              <w:rPr>
                <w:webHidden/>
                <w:rStyle w:val="IndexLink"/>
                <w:vanish w:val="false"/>
              </w:rPr>
              <w:t>4.1 Diamond analysis of the Odense Robotics Cluster</w:t>
              <w:tab/>
              <w:t>37</w:t>
            </w:r>
          </w:hyperlink>
        </w:p>
        <w:p>
          <w:pPr>
            <w:pStyle w:val="Contents1"/>
            <w:tabs>
              <w:tab w:val="right" w:pos="8302" w:leader="dot"/>
              <w:tab w:val="right" w:pos="8640" w:leader="dot"/>
            </w:tabs>
            <w:rPr/>
          </w:pPr>
          <w:hyperlink w:anchor="__RefHeading___Toc5808_427358540">
            <w:r>
              <w:rPr>
                <w:webHidden/>
                <w:rStyle w:val="IndexLink"/>
                <w:vanish w:val="false"/>
              </w:rPr>
              <w:t>4.1.1 Factor Conditions</w:t>
              <w:tab/>
              <w:t>37</w:t>
            </w:r>
          </w:hyperlink>
        </w:p>
        <w:p>
          <w:pPr>
            <w:pStyle w:val="Contents1"/>
            <w:tabs>
              <w:tab w:val="right" w:pos="8302" w:leader="dot"/>
              <w:tab w:val="right" w:pos="8640" w:leader="dot"/>
            </w:tabs>
            <w:rPr/>
          </w:pPr>
          <w:hyperlink w:anchor="__RefHeading___Toc5810_427358540">
            <w:r>
              <w:rPr>
                <w:webHidden/>
                <w:rStyle w:val="IndexLink"/>
                <w:vanish w:val="false"/>
              </w:rPr>
              <w:t>4.1.2 Demand conditions</w:t>
              <w:tab/>
              <w:t>41</w:t>
            </w:r>
          </w:hyperlink>
        </w:p>
        <w:p>
          <w:pPr>
            <w:pStyle w:val="Contents1"/>
            <w:tabs>
              <w:tab w:val="right" w:pos="8302" w:leader="dot"/>
              <w:tab w:val="right" w:pos="8640" w:leader="dot"/>
            </w:tabs>
            <w:rPr/>
          </w:pPr>
          <w:hyperlink w:anchor="__RefHeading___Toc5812_427358540">
            <w:r>
              <w:rPr>
                <w:webHidden/>
                <w:rStyle w:val="IndexLink"/>
                <w:vanish w:val="false"/>
              </w:rPr>
              <w:t>4.1.3 Related and Supporting Industries</w:t>
              <w:tab/>
              <w:t>42</w:t>
            </w:r>
          </w:hyperlink>
        </w:p>
        <w:p>
          <w:pPr>
            <w:pStyle w:val="Contents1"/>
            <w:tabs>
              <w:tab w:val="right" w:pos="8302" w:leader="dot"/>
              <w:tab w:val="right" w:pos="8640" w:leader="dot"/>
            </w:tabs>
            <w:rPr/>
          </w:pPr>
          <w:hyperlink w:anchor="__RefHeading___Toc5814_427358540">
            <w:r>
              <w:rPr>
                <w:webHidden/>
                <w:rStyle w:val="IndexLink"/>
                <w:vanish w:val="false"/>
              </w:rPr>
              <w:t>4.1.4 Firm Strategy, structure and Rivalry</w:t>
              <w:tab/>
              <w:t>44</w:t>
            </w:r>
          </w:hyperlink>
        </w:p>
        <w:p>
          <w:pPr>
            <w:pStyle w:val="Contents1"/>
            <w:tabs>
              <w:tab w:val="right" w:pos="8302" w:leader="dot"/>
              <w:tab w:val="right" w:pos="8640" w:leader="dot"/>
            </w:tabs>
            <w:rPr/>
          </w:pPr>
          <w:hyperlink w:anchor="__RefHeading___Toc5816_427358540">
            <w:r>
              <w:rPr>
                <w:webHidden/>
                <w:rStyle w:val="IndexLink"/>
                <w:vanish w:val="false"/>
              </w:rPr>
              <w:t>4.2 Danish Innovation systems</w:t>
              <w:tab/>
              <w:t>45</w:t>
            </w:r>
          </w:hyperlink>
        </w:p>
        <w:p>
          <w:pPr>
            <w:pStyle w:val="Contents1"/>
            <w:tabs>
              <w:tab w:val="right" w:pos="8302" w:leader="dot"/>
              <w:tab w:val="right" w:pos="8640" w:leader="dot"/>
            </w:tabs>
            <w:rPr/>
          </w:pPr>
          <w:hyperlink w:anchor="__RefHeading___Toc5818_427358540">
            <w:r>
              <w:rPr>
                <w:webHidden/>
                <w:rStyle w:val="IndexLink"/>
                <w:vanish w:val="false"/>
              </w:rPr>
              <w:t>4.3 The Triple Helix Model</w:t>
              <w:tab/>
              <w:t>49</w:t>
            </w:r>
          </w:hyperlink>
        </w:p>
        <w:p>
          <w:pPr>
            <w:pStyle w:val="Contents1"/>
            <w:tabs>
              <w:tab w:val="right" w:pos="8302" w:leader="dot"/>
              <w:tab w:val="right" w:pos="8640" w:leader="dot"/>
            </w:tabs>
            <w:rPr/>
          </w:pPr>
          <w:hyperlink w:anchor="__RefHeading___Toc5820_427358540">
            <w:r>
              <w:rPr>
                <w:webHidden/>
                <w:rStyle w:val="IndexLink"/>
                <w:vanish w:val="false"/>
              </w:rPr>
              <w:t>4.4 Odense Robotics Cluster</w:t>
              <w:tab/>
              <w:t>51</w:t>
            </w:r>
          </w:hyperlink>
        </w:p>
        <w:p>
          <w:pPr>
            <w:pStyle w:val="Contents1"/>
            <w:tabs>
              <w:tab w:val="right" w:pos="8302" w:leader="dot"/>
              <w:tab w:val="right" w:pos="8640" w:leader="dot"/>
            </w:tabs>
            <w:rPr/>
          </w:pPr>
          <w:hyperlink w:anchor="__RefHeading___Toc5822_427358540">
            <w:r>
              <w:rPr>
                <w:webHidden/>
                <w:rStyle w:val="IndexLink"/>
                <w:vanish w:val="false"/>
              </w:rPr>
              <w:t>4.4.1 Actors and their role in Odense Robotics cluster</w:t>
              <w:tab/>
              <w:t>51</w:t>
            </w:r>
          </w:hyperlink>
        </w:p>
        <w:p>
          <w:pPr>
            <w:pStyle w:val="Contents1"/>
            <w:tabs>
              <w:tab w:val="right" w:pos="8302" w:leader="dot"/>
              <w:tab w:val="right" w:pos="8640" w:leader="dot"/>
            </w:tabs>
            <w:rPr/>
          </w:pPr>
          <w:hyperlink w:anchor="__RefHeading___Toc5824_427358540">
            <w:r>
              <w:rPr>
                <w:webHidden/>
                <w:rStyle w:val="IndexLink"/>
                <w:vanish w:val="false"/>
              </w:rPr>
              <w:t>4.4.2 Odense robotics Cluster and Innovation</w:t>
              <w:tab/>
              <w:t>55</w:t>
            </w:r>
          </w:hyperlink>
        </w:p>
        <w:p>
          <w:pPr>
            <w:pStyle w:val="Contents1"/>
            <w:tabs>
              <w:tab w:val="right" w:pos="8302" w:leader="dot"/>
              <w:tab w:val="right" w:pos="8640" w:leader="dot"/>
            </w:tabs>
            <w:rPr/>
          </w:pPr>
          <w:hyperlink w:anchor="__RefHeading___Toc5826_427358540">
            <w:r>
              <w:rPr>
                <w:webHidden/>
                <w:rStyle w:val="IndexLink"/>
                <w:vanish w:val="false"/>
              </w:rPr>
              <w:t>4.5 Odense Robotics cluster Characteristics</w:t>
              <w:tab/>
              <w:t>57</w:t>
            </w:r>
          </w:hyperlink>
        </w:p>
        <w:p>
          <w:pPr>
            <w:pStyle w:val="Contents1"/>
            <w:tabs>
              <w:tab w:val="right" w:pos="8302" w:leader="dot"/>
              <w:tab w:val="right" w:pos="8640" w:leader="dot"/>
            </w:tabs>
            <w:rPr/>
          </w:pPr>
          <w:hyperlink w:anchor="__RefHeading___Toc5828_427358540">
            <w:r>
              <w:rPr>
                <w:webHidden/>
                <w:rStyle w:val="IndexLink"/>
                <w:vanish w:val="false"/>
              </w:rPr>
              <w:t>4.5.1 Geographical proximity</w:t>
              <w:tab/>
              <w:t>57</w:t>
            </w:r>
          </w:hyperlink>
        </w:p>
        <w:p>
          <w:pPr>
            <w:pStyle w:val="Contents1"/>
            <w:tabs>
              <w:tab w:val="right" w:pos="8302" w:leader="dot"/>
              <w:tab w:val="right" w:pos="8640" w:leader="dot"/>
            </w:tabs>
            <w:rPr/>
          </w:pPr>
          <w:hyperlink w:anchor="__RefHeading___Toc5830_427358540">
            <w:r>
              <w:rPr>
                <w:webHidden/>
                <w:rStyle w:val="IndexLink"/>
                <w:vanish w:val="false"/>
              </w:rPr>
              <w:t>4.5.2 Internal versus external linkages</w:t>
              <w:tab/>
              <w:t>59</w:t>
            </w:r>
          </w:hyperlink>
        </w:p>
        <w:p>
          <w:pPr>
            <w:pStyle w:val="Contents1"/>
            <w:tabs>
              <w:tab w:val="right" w:pos="8302" w:leader="dot"/>
              <w:tab w:val="right" w:pos="8640" w:leader="dot"/>
            </w:tabs>
            <w:rPr/>
          </w:pPr>
          <w:hyperlink w:anchor="__RefHeading___Toc5832_427358540">
            <w:r>
              <w:rPr>
                <w:webHidden/>
                <w:rStyle w:val="IndexLink"/>
                <w:vanish w:val="false"/>
              </w:rPr>
              <w:t>4.5.3 Capital and trust</w:t>
              <w:tab/>
              <w:t>62</w:t>
            </w:r>
          </w:hyperlink>
        </w:p>
        <w:p>
          <w:pPr>
            <w:pStyle w:val="Contents1"/>
            <w:tabs>
              <w:tab w:val="right" w:pos="8302" w:leader="dot"/>
              <w:tab w:val="right" w:pos="8640" w:leader="dot"/>
            </w:tabs>
            <w:rPr/>
          </w:pPr>
          <w:hyperlink w:anchor="__RefHeading___Toc5834_427358540">
            <w:r>
              <w:rPr>
                <w:webHidden/>
                <w:rStyle w:val="IndexLink"/>
                <w:vanish w:val="false"/>
              </w:rPr>
              <w:t>4.5.4 Internal competition and cooperation</w:t>
              <w:tab/>
              <w:t>64</w:t>
            </w:r>
          </w:hyperlink>
        </w:p>
        <w:p>
          <w:pPr>
            <w:pStyle w:val="Contents1"/>
            <w:tabs>
              <w:tab w:val="right" w:pos="8302" w:leader="dot"/>
              <w:tab w:val="right" w:pos="8640" w:leader="dot"/>
            </w:tabs>
            <w:rPr/>
          </w:pPr>
          <w:hyperlink w:anchor="__RefHeading___Toc5836_427358540">
            <w:r>
              <w:rPr>
                <w:webHidden/>
                <w:rStyle w:val="IndexLink"/>
                <w:vanish w:val="false"/>
              </w:rPr>
              <w:t>4.5.5 Leadership-Entrepreneurship</w:t>
              <w:tab/>
              <w:t>66</w:t>
            </w:r>
          </w:hyperlink>
        </w:p>
        <w:p>
          <w:pPr>
            <w:pStyle w:val="Contents1"/>
            <w:tabs>
              <w:tab w:val="right" w:pos="8302" w:leader="dot"/>
              <w:tab w:val="right" w:pos="8640" w:leader="dot"/>
            </w:tabs>
            <w:rPr/>
          </w:pPr>
          <w:hyperlink w:anchor="__RefHeading___Toc5838_427358540">
            <w:r>
              <w:rPr>
                <w:webHidden/>
                <w:rStyle w:val="IndexLink"/>
                <w:vanish w:val="false"/>
              </w:rPr>
              <w:t>4.6 Odense Robotics Global Cluster of innovation</w:t>
            </w:r>
            <w:r>
              <w:rPr>
                <w:rStyle w:val="IndexLink"/>
              </w:rPr>
              <w:tab/>
              <w:t>68</w:t>
            </w:r>
          </w:hyperlink>
        </w:p>
        <w:p>
          <w:pPr>
            <w:pStyle w:val="Contents1"/>
            <w:tabs>
              <w:tab w:val="right" w:pos="8302" w:leader="dot"/>
              <w:tab w:val="right" w:pos="8640" w:leader="dot"/>
            </w:tabs>
            <w:rPr/>
          </w:pPr>
          <w:hyperlink w:anchor="__RefHeading___Toc5840_427358540">
            <w:r>
              <w:rPr>
                <w:webHidden/>
                <w:rStyle w:val="IndexLink"/>
                <w:vanish w:val="false"/>
              </w:rPr>
              <w:t>Chapter 5: Discussion</w:t>
              <w:tab/>
              <w:t>70</w:t>
            </w:r>
          </w:hyperlink>
        </w:p>
        <w:p>
          <w:pPr>
            <w:pStyle w:val="Contents1"/>
            <w:tabs>
              <w:tab w:val="right" w:pos="8302" w:leader="dot"/>
              <w:tab w:val="right" w:pos="8640" w:leader="dot"/>
            </w:tabs>
            <w:rPr/>
          </w:pPr>
          <w:hyperlink w:anchor="__RefHeading___Toc5842_427358540">
            <w:r>
              <w:rPr>
                <w:webHidden/>
                <w:rStyle w:val="IndexLink"/>
                <w:vanish w:val="false"/>
              </w:rPr>
              <w:t>5.1 Odense Robotics Diamond</w:t>
              <w:tab/>
              <w:t>70</w:t>
            </w:r>
          </w:hyperlink>
        </w:p>
        <w:p>
          <w:pPr>
            <w:pStyle w:val="Contents1"/>
            <w:tabs>
              <w:tab w:val="right" w:pos="8302" w:leader="dot"/>
              <w:tab w:val="right" w:pos="8640" w:leader="dot"/>
            </w:tabs>
            <w:rPr/>
          </w:pPr>
          <w:hyperlink w:anchor="__RefHeading___Toc5844_427358540">
            <w:r>
              <w:rPr>
                <w:webHidden/>
                <w:rStyle w:val="IndexLink"/>
                <w:vanish w:val="false"/>
              </w:rPr>
              <w:t>5.1.1 Factor Conditions</w:t>
              <w:tab/>
              <w:t>70</w:t>
            </w:r>
          </w:hyperlink>
        </w:p>
        <w:p>
          <w:pPr>
            <w:pStyle w:val="Contents1"/>
            <w:tabs>
              <w:tab w:val="right" w:pos="8302" w:leader="dot"/>
              <w:tab w:val="right" w:pos="8640" w:leader="dot"/>
            </w:tabs>
            <w:rPr/>
          </w:pPr>
          <w:hyperlink w:anchor="__RefHeading___Toc5846_427358540">
            <w:r>
              <w:rPr>
                <w:webHidden/>
                <w:rStyle w:val="IndexLink"/>
                <w:vanish w:val="false"/>
              </w:rPr>
              <w:t>5.1.2 Demand Conditions</w:t>
              <w:tab/>
              <w:t>72</w:t>
            </w:r>
          </w:hyperlink>
        </w:p>
        <w:p>
          <w:pPr>
            <w:pStyle w:val="Contents1"/>
            <w:tabs>
              <w:tab w:val="right" w:pos="8302" w:leader="dot"/>
              <w:tab w:val="right" w:pos="8640" w:leader="dot"/>
            </w:tabs>
            <w:rPr/>
          </w:pPr>
          <w:hyperlink w:anchor="__RefHeading___Toc5848_427358540">
            <w:r>
              <w:rPr>
                <w:webHidden/>
                <w:rStyle w:val="IndexLink"/>
                <w:vanish w:val="false"/>
              </w:rPr>
              <w:t>5.1.3 Firms’ strategy, structure and rivalry</w:t>
              <w:tab/>
              <w:t>72</w:t>
            </w:r>
          </w:hyperlink>
        </w:p>
        <w:p>
          <w:pPr>
            <w:pStyle w:val="Contents1"/>
            <w:tabs>
              <w:tab w:val="right" w:pos="8302" w:leader="dot"/>
              <w:tab w:val="right" w:pos="8640" w:leader="dot"/>
            </w:tabs>
            <w:rPr/>
          </w:pPr>
          <w:hyperlink w:anchor="__RefHeading___Toc5850_427358540">
            <w:r>
              <w:rPr>
                <w:webHidden/>
                <w:rStyle w:val="IndexLink"/>
                <w:vanish w:val="false"/>
              </w:rPr>
              <w:t>5.1.4 Related and Supporting Industries</w:t>
              <w:tab/>
              <w:t>73</w:t>
            </w:r>
          </w:hyperlink>
        </w:p>
        <w:p>
          <w:pPr>
            <w:pStyle w:val="Contents1"/>
            <w:tabs>
              <w:tab w:val="right" w:pos="8302" w:leader="dot"/>
              <w:tab w:val="right" w:pos="8640" w:leader="dot"/>
            </w:tabs>
            <w:rPr/>
          </w:pPr>
          <w:hyperlink w:anchor="__RefHeading___Toc5852_427358540">
            <w:r>
              <w:rPr>
                <w:webHidden/>
                <w:rStyle w:val="IndexLink"/>
                <w:vanish w:val="false"/>
              </w:rPr>
              <w:t>5.2 Danish Systems of Innovation</w:t>
              <w:tab/>
              <w:t>74</w:t>
            </w:r>
          </w:hyperlink>
        </w:p>
        <w:p>
          <w:pPr>
            <w:pStyle w:val="Contents1"/>
            <w:tabs>
              <w:tab w:val="right" w:pos="8302" w:leader="dot"/>
              <w:tab w:val="right" w:pos="8640" w:leader="dot"/>
            </w:tabs>
            <w:rPr/>
          </w:pPr>
          <w:hyperlink w:anchor="__RefHeading___Toc5854_427358540">
            <w:r>
              <w:rPr>
                <w:webHidden/>
                <w:rStyle w:val="IndexLink"/>
                <w:vanish w:val="false"/>
              </w:rPr>
              <w:t>5.3 Odense Robotics Triple Helix configuration</w:t>
              <w:tab/>
              <w:t>76</w:t>
            </w:r>
          </w:hyperlink>
        </w:p>
        <w:p>
          <w:pPr>
            <w:pStyle w:val="Contents1"/>
            <w:tabs>
              <w:tab w:val="right" w:pos="8302" w:leader="dot"/>
              <w:tab w:val="right" w:pos="8640" w:leader="dot"/>
            </w:tabs>
            <w:rPr/>
          </w:pPr>
          <w:hyperlink w:anchor="__RefHeading___Toc5856_427358540">
            <w:r>
              <w:rPr>
                <w:webHidden/>
                <w:rStyle w:val="IndexLink"/>
                <w:vanish w:val="false"/>
              </w:rPr>
              <w:t>5.4 Odense Robotics Cluster of Innovation</w:t>
              <w:tab/>
              <w:t>78</w:t>
            </w:r>
          </w:hyperlink>
        </w:p>
        <w:p>
          <w:pPr>
            <w:pStyle w:val="Contents1"/>
            <w:tabs>
              <w:tab w:val="right" w:pos="8302" w:leader="dot"/>
              <w:tab w:val="right" w:pos="8640" w:leader="dot"/>
            </w:tabs>
            <w:rPr/>
          </w:pPr>
          <w:hyperlink w:anchor="__RefHeading___Toc5858_427358540">
            <w:r>
              <w:rPr>
                <w:webHidden/>
                <w:rStyle w:val="IndexLink"/>
                <w:vanish w:val="false"/>
              </w:rPr>
              <w:t>5.4.1 Odense Robotics actors</w:t>
              <w:tab/>
              <w:t>78</w:t>
            </w:r>
          </w:hyperlink>
        </w:p>
        <w:p>
          <w:pPr>
            <w:pStyle w:val="Contents1"/>
            <w:tabs>
              <w:tab w:val="right" w:pos="8302" w:leader="dot"/>
              <w:tab w:val="right" w:pos="8640" w:leader="dot"/>
            </w:tabs>
            <w:rPr/>
          </w:pPr>
          <w:hyperlink w:anchor="__RefHeading___Toc5860_427358540">
            <w:r>
              <w:rPr>
                <w:webHidden/>
                <w:rStyle w:val="IndexLink"/>
                <w:vanish w:val="false"/>
              </w:rPr>
              <w:t>5.4.2 Odense Robotics and Innovation</w:t>
              <w:tab/>
              <w:t>80</w:t>
            </w:r>
          </w:hyperlink>
        </w:p>
        <w:p>
          <w:pPr>
            <w:pStyle w:val="Contents1"/>
            <w:tabs>
              <w:tab w:val="right" w:pos="8302" w:leader="dot"/>
              <w:tab w:val="right" w:pos="8640" w:leader="dot"/>
            </w:tabs>
            <w:rPr/>
          </w:pPr>
          <w:hyperlink w:anchor="__RefHeading___Toc5862_427358540">
            <w:r>
              <w:rPr>
                <w:webHidden/>
                <w:rStyle w:val="IndexLink"/>
                <w:vanish w:val="false"/>
              </w:rPr>
              <w:t>5.4.3 Odense Robotics characteristics</w:t>
              <w:tab/>
              <w:t>80</w:t>
            </w:r>
          </w:hyperlink>
        </w:p>
        <w:p>
          <w:pPr>
            <w:pStyle w:val="Contents1"/>
            <w:tabs>
              <w:tab w:val="right" w:pos="8302" w:leader="dot"/>
              <w:tab w:val="right" w:pos="8640" w:leader="dot"/>
            </w:tabs>
            <w:rPr/>
          </w:pPr>
          <w:hyperlink w:anchor="__RefHeading___Toc5864_427358540">
            <w:r>
              <w:rPr>
                <w:webHidden/>
                <w:rStyle w:val="IndexLink"/>
                <w:vanish w:val="false"/>
              </w:rPr>
              <w:t>5.4.4 Odense Robotics Global Perspective</w:t>
              <w:tab/>
              <w:t>82</w:t>
            </w:r>
          </w:hyperlink>
        </w:p>
        <w:p>
          <w:pPr>
            <w:pStyle w:val="Contents1"/>
            <w:tabs>
              <w:tab w:val="right" w:pos="8302" w:leader="dot"/>
              <w:tab w:val="right" w:pos="8640" w:leader="dot"/>
            </w:tabs>
            <w:rPr/>
          </w:pPr>
          <w:hyperlink w:anchor="__RefHeading___Toc5866_427358540">
            <w:r>
              <w:rPr>
                <w:webHidden/>
                <w:rStyle w:val="IndexLink"/>
                <w:vanish w:val="false"/>
              </w:rPr>
              <w:t>5.5 Answering the research sub-questions</w:t>
              <w:tab/>
              <w:t>84</w:t>
            </w:r>
          </w:hyperlink>
        </w:p>
        <w:p>
          <w:pPr>
            <w:pStyle w:val="Contents1"/>
            <w:tabs>
              <w:tab w:val="right" w:pos="8302" w:leader="dot"/>
              <w:tab w:val="right" w:pos="8640" w:leader="dot"/>
            </w:tabs>
            <w:rPr/>
          </w:pPr>
          <w:hyperlink w:anchor="__RefHeading___Toc5868_427358540">
            <w:r>
              <w:rPr>
                <w:webHidden/>
                <w:rStyle w:val="IndexLink"/>
                <w:vanish w:val="false"/>
              </w:rPr>
              <w:t>5.5.1 Which characteristics influence Odense Robotics cluster environment?</w:t>
              <w:tab/>
              <w:t>84</w:t>
            </w:r>
          </w:hyperlink>
        </w:p>
        <w:p>
          <w:pPr>
            <w:pStyle w:val="Contents1"/>
            <w:tabs>
              <w:tab w:val="right" w:pos="8302" w:leader="dot"/>
              <w:tab w:val="right" w:pos="8640" w:leader="dot"/>
            </w:tabs>
            <w:rPr/>
          </w:pPr>
          <w:hyperlink w:anchor="__RefHeading___Toc5870_427358540">
            <w:r>
              <w:rPr>
                <w:webHidden/>
                <w:rStyle w:val="IndexLink"/>
                <w:vanish w:val="false"/>
              </w:rPr>
              <w:t>5.5.2 How is the structure of the Odense Robotics cluster?</w:t>
              <w:tab/>
              <w:t>85</w:t>
            </w:r>
          </w:hyperlink>
        </w:p>
        <w:p>
          <w:pPr>
            <w:pStyle w:val="Contents1"/>
            <w:tabs>
              <w:tab w:val="right" w:pos="8302" w:leader="dot"/>
              <w:tab w:val="right" w:pos="8640" w:leader="dot"/>
            </w:tabs>
            <w:rPr/>
          </w:pPr>
          <w:hyperlink w:anchor="__RefHeading___Toc5872_427358540">
            <w:r>
              <w:rPr>
                <w:webHidden/>
                <w:rStyle w:val="IndexLink"/>
                <w:vanish w:val="false"/>
              </w:rPr>
              <w:t>5.5.3 Which frictions foster innovation in Odense Robotics cluster?</w:t>
              <w:tab/>
              <w:t>87</w:t>
            </w:r>
          </w:hyperlink>
        </w:p>
        <w:p>
          <w:pPr>
            <w:pStyle w:val="Contents1"/>
            <w:tabs>
              <w:tab w:val="right" w:pos="8302" w:leader="dot"/>
              <w:tab w:val="right" w:pos="8640" w:leader="dot"/>
            </w:tabs>
            <w:rPr/>
          </w:pPr>
          <w:hyperlink w:anchor="__RefHeading___Toc5874_427358540">
            <w:r>
              <w:rPr>
                <w:webHidden/>
                <w:rStyle w:val="IndexLink"/>
                <w:vanish w:val="false"/>
              </w:rPr>
              <w:t>Chapter 6: Conclusion</w:t>
              <w:tab/>
              <w:t>89</w:t>
            </w:r>
          </w:hyperlink>
        </w:p>
        <w:p>
          <w:pPr>
            <w:pStyle w:val="Contents1"/>
            <w:tabs>
              <w:tab w:val="right" w:pos="8302" w:leader="dot"/>
              <w:tab w:val="right" w:pos="8640" w:leader="dot"/>
            </w:tabs>
            <w:rPr/>
          </w:pPr>
          <w:hyperlink w:anchor="__RefHeading___Toc5876_427358540">
            <w:r>
              <w:rPr>
                <w:webHidden/>
                <w:rStyle w:val="IndexLink"/>
                <w:vanish w:val="false"/>
              </w:rPr>
              <w:t>Findings</w:t>
              <w:tab/>
              <w:t>89</w:t>
            </w:r>
          </w:hyperlink>
        </w:p>
        <w:p>
          <w:pPr>
            <w:pStyle w:val="Contents1"/>
            <w:tabs>
              <w:tab w:val="right" w:pos="8302" w:leader="dot"/>
              <w:tab w:val="right" w:pos="8640" w:leader="dot"/>
            </w:tabs>
            <w:rPr/>
          </w:pPr>
          <w:hyperlink w:anchor="__RefHeading___Toc5878_427358540">
            <w:r>
              <w:rPr>
                <w:webHidden/>
                <w:rStyle w:val="IndexLink"/>
                <w:vanish w:val="false"/>
              </w:rPr>
              <w:t>6.1 Recommendations</w:t>
              <w:tab/>
              <w:t>91</w:t>
            </w:r>
          </w:hyperlink>
        </w:p>
        <w:p>
          <w:pPr>
            <w:pStyle w:val="Contents1"/>
            <w:tabs>
              <w:tab w:val="right" w:pos="8302" w:leader="dot"/>
              <w:tab w:val="right" w:pos="8640" w:leader="dot"/>
            </w:tabs>
            <w:rPr/>
          </w:pPr>
          <w:hyperlink w:anchor="__RefHeading___Toc5880_427358540">
            <w:r>
              <w:rPr>
                <w:webHidden/>
                <w:rStyle w:val="IndexLink"/>
                <w:vanish w:val="false"/>
              </w:rPr>
              <w:t>6.2 Limitations &amp; Future Research</w:t>
              <w:tab/>
              <w:t>92</w:t>
            </w:r>
          </w:hyperlink>
        </w:p>
        <w:p>
          <w:pPr>
            <w:pStyle w:val="Contents1"/>
            <w:tabs>
              <w:tab w:val="right" w:pos="8302" w:leader="dot"/>
              <w:tab w:val="right" w:pos="8640" w:leader="dot"/>
            </w:tabs>
            <w:rPr/>
          </w:pPr>
          <w:hyperlink w:anchor="__RefHeading___Toc5882_427358540">
            <w:r>
              <w:rPr>
                <w:webHidden/>
                <w:rStyle w:val="IndexLink"/>
                <w:vanish w:val="false"/>
              </w:rPr>
              <w:t>References</w:t>
              <w:tab/>
              <w:t>93</w:t>
            </w:r>
          </w:hyperlink>
        </w:p>
        <w:p>
          <w:pPr>
            <w:pStyle w:val="Contents1"/>
            <w:tabs>
              <w:tab w:val="right" w:pos="8302" w:leader="dot"/>
              <w:tab w:val="right" w:pos="8640" w:leader="dot"/>
            </w:tabs>
            <w:rPr/>
          </w:pPr>
          <w:hyperlink w:anchor="__RefHeading___Toc5884_427358540">
            <w:r>
              <w:rPr>
                <w:webHidden/>
                <w:rStyle w:val="IndexLink"/>
                <w:vanish w:val="false"/>
              </w:rPr>
              <w:t>Appendices</w:t>
              <w:tab/>
              <w:t>93</w:t>
            </w:r>
          </w:hyperlink>
        </w:p>
        <w:p>
          <w:pPr>
            <w:pStyle w:val="Contents1"/>
            <w:tabs>
              <w:tab w:val="right" w:pos="8302" w:leader="dot"/>
              <w:tab w:val="right" w:pos="8640" w:leader="dot"/>
            </w:tabs>
            <w:rPr/>
          </w:pPr>
          <w:hyperlink w:anchor="__RefHeading___Toc5886_427358540">
            <w:r>
              <w:rPr>
                <w:webHidden/>
                <w:rStyle w:val="IndexLink"/>
                <w:vanish w:val="false"/>
              </w:rPr>
              <w:t>Appendix 1: Interview Transcriptions</w:t>
              <w:tab/>
              <w:t>93</w:t>
            </w:r>
          </w:hyperlink>
        </w:p>
        <w:p>
          <w:pPr>
            <w:pStyle w:val="Contents1"/>
            <w:tabs>
              <w:tab w:val="right" w:pos="8302" w:leader="dot"/>
              <w:tab w:val="right" w:pos="8640" w:leader="dot"/>
            </w:tabs>
            <w:rPr/>
          </w:pPr>
          <w:hyperlink w:anchor="__RefHeading___Toc5888_427358540">
            <w:r>
              <w:rPr>
                <w:webHidden/>
                <w:rStyle w:val="IndexLink"/>
                <w:vanish w:val="false"/>
              </w:rPr>
              <w:t>Appendix 2: Stylistic Notes</w:t>
              <w:tab/>
              <w:t>93</w:t>
            </w:r>
          </w:hyperlink>
        </w:p>
        <w:p>
          <w:pPr>
            <w:pStyle w:val="Contents1"/>
            <w:tabs>
              <w:tab w:val="right" w:pos="8302" w:leader="dot"/>
              <w:tab w:val="right" w:pos="8640" w:leader="dot"/>
            </w:tabs>
            <w:rPr/>
          </w:pPr>
          <w:hyperlink w:anchor="__RefHeading___Toc5890_427358540">
            <w:r>
              <w:rPr>
                <w:webHidden/>
                <w:rStyle w:val="IndexLink"/>
                <w:vanish w:val="false"/>
              </w:rPr>
              <w:t>Appendix 3: Interview Guide</w:t>
              <w:tab/>
              <w:t>94</w:t>
            </w:r>
          </w:hyperlink>
        </w:p>
        <w:p>
          <w:pPr>
            <w:pStyle w:val="Contents1"/>
            <w:tabs>
              <w:tab w:val="right" w:pos="8302" w:leader="dot"/>
              <w:tab w:val="right" w:pos="8640" w:leader="dot"/>
            </w:tabs>
            <w:rPr/>
          </w:pPr>
          <w:hyperlink w:anchor="__RefHeading___Toc5892_427358540">
            <w:r>
              <w:rPr>
                <w:webHidden/>
                <w:rStyle w:val="IndexLink"/>
                <w:vanish w:val="false"/>
              </w:rPr>
              <w:t>Appendix 4 : Odense Robotics ecosystem</w:t>
              <w:tab/>
              <w:t>96</w:t>
            </w:r>
          </w:hyperlink>
          <w:r>
            <w:fldChar w:fldCharType="end"/>
          </w:r>
        </w:p>
        <w:p>
          <w:pPr>
            <w:pStyle w:val="Heading1"/>
            <w:pageBreakBefore w:val="false"/>
            <w:rPr/>
          </w:pPr>
          <w:bookmarkStart w:id="6" w:name="__RefHeading___Toc5736_427358540"/>
          <w:bookmarkStart w:id="7" w:name="_Toc459977475"/>
          <w:bookmarkEnd w:id="6"/>
          <w:bookmarkEnd w:id="7"/>
          <w:r>
            <w:rPr>
              <w:lang w:val="en-US"/>
            </w:rPr>
            <w:t>Chapter 1: Introduction</w:t>
          </w:r>
        </w:p>
        <w:p>
          <w:pPr>
            <w:pStyle w:val="Normal"/>
            <w:rPr>
              <w:lang w:val="en-US"/>
            </w:rPr>
          </w:pPr>
          <w:r>
            <w:rPr>
              <w:lang w:val="en-US"/>
            </w:rPr>
          </w:r>
        </w:p>
        <w:p>
          <w:pPr>
            <w:pStyle w:val="Normal"/>
            <w:spacing w:lineRule="auto" w:line="360"/>
            <w:rPr>
              <w:lang w:val="en-US"/>
            </w:rPr>
          </w:pPr>
          <w:r>
            <w:rPr>
              <w:lang w:val="en-US"/>
            </w:rPr>
            <w:t xml:space="preserve">This chapter’s aim is to set the expectations of the study that follows to the reader. First, I will communicate the essence of the topic by giving the necessary feedback for the Odense Robotics ecosystem setting up the background of the research </w:t>
          </w:r>
          <w:commentRangeStart w:id="0"/>
          <w:r>
            <w:rPr>
              <w:lang w:val="en-US"/>
            </w:rPr>
            <w:t>case</w:t>
          </w:r>
          <w:r>
            <w:rPr>
              <w:lang w:val="en-US"/>
            </w:rPr>
          </w:r>
          <w:commentRangeEnd w:id="0"/>
          <w:r>
            <w:commentReference w:id="0"/>
          </w:r>
          <w:r>
            <w:rPr>
              <w:lang w:val="en-US"/>
            </w:rPr>
            <w:t xml:space="preserve">. I will try to make the reader understand what Odense Robotics is, where the problem is and why a solution will result in practical or theoretical applications. </w:t>
          </w:r>
        </w:p>
        <w:p>
          <w:pPr>
            <w:pStyle w:val="Normal"/>
            <w:spacing w:lineRule="auto" w:line="360"/>
            <w:rPr>
              <w:lang w:val="en-US"/>
            </w:rPr>
          </w:pPr>
          <w:r>
            <w:rPr>
              <w:lang w:val="en-US"/>
            </w:rPr>
            <w:t xml:space="preserve">For that reason I will introduce the problem statement, which includes the research questions. After the research questions are stated and explained, the following section describes how they are going to be answered. In order to justify the research strategy I provide the key theoretical assumptions and research methods that the thesis is based on, discussing why the chosen theories and methods are appropriate for solving the identified problem. </w:t>
          </w:r>
        </w:p>
        <w:p>
          <w:pPr>
            <w:pStyle w:val="Normal"/>
            <w:spacing w:lineRule="auto" w:line="360"/>
            <w:rPr>
              <w:lang w:val="en-US"/>
            </w:rPr>
          </w:pPr>
          <w:r>
            <w:rPr>
              <w:lang w:val="en-US"/>
            </w:rPr>
            <w:t>In the final part of this introductory chapter, I map the structure of the report and explain the content of the following chapters setting up the boundaries and goals of the study.</w:t>
          </w:r>
        </w:p>
        <w:p>
          <w:pPr>
            <w:pStyle w:val="Heading1"/>
            <w:rPr>
              <w:lang w:val="en-US"/>
            </w:rPr>
          </w:pPr>
          <w:bookmarkStart w:id="8" w:name="_Toc459977476"/>
          <w:bookmarkStart w:id="9" w:name="__RefHeading___Toc5738_427358540"/>
          <w:bookmarkEnd w:id="8"/>
          <w:bookmarkEnd w:id="9"/>
          <w:r>
            <w:rPr>
              <w:lang w:val="en-US"/>
            </w:rPr>
            <w:t>1.1 Case Background</w:t>
          </w:r>
        </w:p>
        <w:p>
          <w:pPr>
            <w:pStyle w:val="Normal"/>
            <w:spacing w:lineRule="auto" w:line="360"/>
            <w:rPr/>
          </w:pPr>
          <w:r>
            <w:rPr>
              <w:lang w:val="en-US"/>
            </w:rPr>
            <w:t xml:space="preserve">In spite of the fact that it has been published a large quantity of scientific articles on the subject of clusters, there is no clear agreement about the definition of a cluster. Michael Porter is one of the key academics in the field of this industrial clustering and simply explains that “clusters are geographic concentrations of interconnected companies and institutions in a particular field” </w:t>
          </w:r>
          <w:r>
            <w:fldChar w:fldCharType="begin"/>
          </w:r>
          <w:r>
            <w:instrText>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w:instrText>
          </w:r>
          <w:r>
            <w:fldChar w:fldCharType="separate"/>
          </w:r>
          <w:bookmarkStart w:id="10" w:name="__Fieldmark__661_783673585"/>
          <w:r>
            <w:rPr>
              <w:lang w:val="en-US"/>
            </w:rPr>
          </w:r>
          <w:r>
            <w:rPr>
              <w:rFonts w:cs="Times New Roman"/>
              <w:lang w:val="en-US"/>
            </w:rPr>
            <w:t>(</w:t>
          </w:r>
          <w:bookmarkStart w:id="11" w:name="__Fieldmark__764_427358540"/>
          <w:r>
            <w:rPr>
              <w:rFonts w:cs="Times New Roman"/>
              <w:lang w:val="en-US"/>
            </w:rPr>
            <w:t>M E Porter, 1998, p. 78)</w:t>
          </w:r>
          <w:r>
            <w:rPr>
              <w:lang w:val="en-US"/>
            </w:rPr>
          </w:r>
          <w:r>
            <w:fldChar w:fldCharType="end"/>
          </w:r>
          <w:bookmarkEnd w:id="10"/>
          <w:bookmarkEnd w:id="11"/>
          <w:r>
            <w:rPr>
              <w:lang w:val="en-US"/>
            </w:rPr>
            <w:t xml:space="preserve">. The factors that foster cluster’s development can often be traced to historical circumstances </w:t>
          </w:r>
          <w:r>
            <w:fldChar w:fldCharType="begin"/>
          </w:r>
          <w:r>
            <w:instrText>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12" w:name="__Fieldmark__668_783673585"/>
          <w:r>
            <w:rPr>
              <w:lang w:val="en-US"/>
            </w:rPr>
          </w:r>
          <w:r>
            <w:rPr>
              <w:rFonts w:cs="Times New Roman"/>
              <w:lang w:val="en-US"/>
            </w:rPr>
            <w:t>(</w:t>
          </w:r>
          <w:bookmarkStart w:id="13" w:name="__Fieldmark__771_427358540"/>
          <w:r>
            <w:rPr>
              <w:rFonts w:cs="Times New Roman"/>
              <w:lang w:val="en-US"/>
            </w:rPr>
            <w:t>M E Porter, 1998)</w:t>
          </w:r>
          <w:r>
            <w:rPr>
              <w:lang w:val="en-US"/>
            </w:rPr>
          </w:r>
          <w:r>
            <w:fldChar w:fldCharType="end"/>
          </w:r>
          <w:bookmarkEnd w:id="12"/>
          <w:bookmarkEnd w:id="13"/>
          <w:r>
            <w:rPr>
              <w:lang w:val="en-US"/>
            </w:rPr>
            <w:t xml:space="preserve"> and for that reason my study here will take a chronological interest as to describe the evolution of Odense robotics cluster. The timeline in Figure1 shows some of the important historical points that let robotic industry establish in the region of Southern Denmark.</w:t>
          </w:r>
        </w:p>
        <w:p>
          <w:pPr>
            <w:pStyle w:val="Normal"/>
            <w:spacing w:lineRule="auto" w:line="360"/>
            <w:rPr>
              <w:lang w:val="en-US"/>
            </w:rPr>
          </w:pPr>
          <w:r>
            <w:rPr/>
            <w:drawing>
              <wp:inline distT="0" distB="0" distL="0" distR="0" wp14:anchorId="6E9C2E83">
                <wp:extent cx="5279390" cy="3482975"/>
                <wp:effectExtent l="0" t="0" r="0" b="0"/>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1</w:t>
          </w:r>
          <w:r>
            <w:fldChar w:fldCharType="end"/>
          </w:r>
          <w:r>
            <w:rPr>
              <w:lang w:val="en-US"/>
            </w:rPr>
            <w:t xml:space="preserve"> Odense Robotics Timeline</w:t>
          </w:r>
        </w:p>
        <w:p>
          <w:pPr>
            <w:pStyle w:val="Normal"/>
            <w:spacing w:lineRule="auto" w:line="360"/>
            <w:rPr/>
          </w:pPr>
          <w:r>
            <w:rPr>
              <w:lang w:val="en-US"/>
            </w:rPr>
            <w:t xml:space="preserve">Odense is the third-largest city in Denmark with nearly 200.000 inhabitants, located in the broad region of southern Denmark in the island of Fynen </w:t>
          </w:r>
          <w:r>
            <w:fldChar w:fldCharType="begin"/>
          </w:r>
          <w:r>
            <w:instrText>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w:instrText>
          </w:r>
          <w:r>
            <w:fldChar w:fldCharType="separate"/>
          </w:r>
          <w:bookmarkStart w:id="14" w:name="__Fieldmark__684_783673585"/>
          <w:r>
            <w:rPr>
              <w:lang w:val="en-US"/>
            </w:rPr>
          </w:r>
          <w:r>
            <w:rPr>
              <w:rFonts w:cs="Times New Roman"/>
              <w:lang w:val="en-US"/>
            </w:rPr>
            <w:t>(</w:t>
          </w:r>
          <w:bookmarkStart w:id="15" w:name="__Fieldmark__791_427358540"/>
          <w:r>
            <w:rPr>
              <w:rFonts w:cs="Times New Roman"/>
              <w:lang w:val="en-US"/>
            </w:rPr>
            <w:t>CamillaHansen, 2012)</w:t>
          </w:r>
          <w:r>
            <w:rPr>
              <w:lang w:val="en-US"/>
            </w:rPr>
          </w:r>
          <w:r>
            <w:fldChar w:fldCharType="end"/>
          </w:r>
          <w:bookmarkEnd w:id="14"/>
          <w:bookmarkEnd w:id="15"/>
          <w:r>
            <w:rPr>
              <w:lang w:val="en-US"/>
            </w:rPr>
            <w:t xml:space="preserve">. In the mid-1980s the major Danish shipbuilder Odense Steel Shipyard (the "Lindø" Yard), owned by the world-known MAERSK cargo conglomerate had to reduce the wages of the workers in a try to raise the international competitiveness of the foundation. For that reason they bought a couple of welding robots from the Japanese Hitachi but the problem was that there were only a few tasks that the robot could generate </w:t>
          </w:r>
          <w:r>
            <w:fldChar w:fldCharType="begin"/>
          </w:r>
          <w:r>
            <w:instrText>ADDIN ZOTERO_ITEM CSL_CITATION {"citationID":"1ngbe1unhm","properties":{"formattedCitation":"(Steno,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16" w:name="__Fieldmark__691_783673585"/>
          <w:r>
            <w:rPr>
              <w:lang w:val="en-US"/>
            </w:rPr>
          </w:r>
          <w:r>
            <w:rPr>
              <w:rFonts w:cs="Times New Roman"/>
              <w:lang w:val="en-US"/>
            </w:rPr>
            <w:t>(</w:t>
          </w:r>
          <w:bookmarkStart w:id="17" w:name="__Fieldmark__809_427358540"/>
          <w:r>
            <w:rPr>
              <w:rFonts w:cs="Times New Roman"/>
              <w:lang w:val="en-US"/>
            </w:rPr>
            <w:t>Steno, 2016)</w:t>
          </w:r>
          <w:r>
            <w:rPr>
              <w:lang w:val="en-US"/>
            </w:rPr>
          </w:r>
          <w:r>
            <w:fldChar w:fldCharType="end"/>
          </w:r>
          <w:bookmarkEnd w:id="16"/>
          <w:bookmarkEnd w:id="17"/>
          <w:r>
            <w:rPr>
              <w:lang w:val="en-US"/>
            </w:rPr>
            <w:t xml:space="preserve">. The company tried to solve the issue by asking advice from researchers in the former Odense University and now University of Southern Denmark (SDU). The collaboration between a company and the university laid the foundations to uncover the potentials of robot technologies and thus to be the basis of the Odense Robotics cluster development. </w:t>
          </w:r>
        </w:p>
        <w:p>
          <w:pPr>
            <w:pStyle w:val="Normal"/>
            <w:spacing w:lineRule="auto" w:line="360"/>
            <w:rPr/>
          </w:pPr>
          <w:r>
            <w:rPr>
              <w:lang w:val="en-US"/>
            </w:rPr>
            <w:t>Few years later the Lindø shipyard, Odense University and the Danish Ministry of Science finance the AMROSE(Autonomous Multiple Robot Operation in Structured Environments)  project having as a task to solve the operation problems in robots movements</w:t>
          </w:r>
          <w:r>
            <w:fldChar w:fldCharType="begin"/>
          </w:r>
          <w:r>
            <w:instrText>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18" w:name="__Fieldmark__700_783673585"/>
          <w:r>
            <w:rPr>
              <w:lang w:val="en-US"/>
            </w:rPr>
          </w:r>
          <w:r>
            <w:rPr>
              <w:rFonts w:cs="Times New Roman"/>
              <w:lang w:val="en-US"/>
            </w:rPr>
            <w:t>(</w:t>
          </w:r>
          <w:bookmarkStart w:id="19" w:name="__Fieldmark__831_427358540"/>
          <w:r>
            <w:rPr>
              <w:rFonts w:cs="Times New Roman"/>
              <w:lang w:val="en-US"/>
            </w:rPr>
            <w:t>Steno, 2016)</w:t>
          </w:r>
          <w:r>
            <w:rPr>
              <w:lang w:val="en-US"/>
            </w:rPr>
          </w:r>
          <w:r>
            <w:fldChar w:fldCharType="end"/>
          </w:r>
          <w:bookmarkEnd w:id="18"/>
          <w:bookmarkEnd w:id="19"/>
          <w:r>
            <w:rPr>
              <w:lang w:val="en-US"/>
            </w:rPr>
            <w:t xml:space="preserve">. This project was a pioneer collaboration between industry, university and state capturing a mix of private and public money. In 1994 the first AMROSE-guided robot entered into operation as a collaboration of the shipyard’s specialized developing team giving and a number of university’s robot engineers </w:t>
          </w:r>
          <w:r>
            <w:fldChar w:fldCharType="begin"/>
          </w:r>
          <w:r>
            <w:instrText>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20" w:name="__Fieldmark__707_783673585"/>
          <w:r>
            <w:rPr>
              <w:lang w:val="en-US"/>
            </w:rPr>
          </w:r>
          <w:r>
            <w:rPr>
              <w:rFonts w:cs="Times New Roman"/>
              <w:lang w:val="en-US"/>
            </w:rPr>
            <w:t>(</w:t>
          </w:r>
          <w:bookmarkStart w:id="21" w:name="__Fieldmark__841_427358540"/>
          <w:r>
            <w:rPr>
              <w:rFonts w:cs="Times New Roman"/>
              <w:lang w:val="en-US"/>
            </w:rPr>
            <w:t>Steno, 2016)</w:t>
          </w:r>
          <w:r>
            <w:rPr>
              <w:lang w:val="en-US"/>
            </w:rPr>
          </w:r>
          <w:r>
            <w:fldChar w:fldCharType="end"/>
          </w:r>
          <w:bookmarkEnd w:id="20"/>
          <w:bookmarkEnd w:id="21"/>
          <w:r>
            <w:rPr>
              <w:lang w:val="en-US"/>
            </w:rPr>
            <w:t>.</w:t>
          </w:r>
        </w:p>
        <w:p>
          <w:pPr>
            <w:pStyle w:val="Normal"/>
            <w:spacing w:lineRule="auto" w:line="360"/>
            <w:rPr/>
          </w:pPr>
          <w:r>
            <w:rPr>
              <w:lang w:val="en-US"/>
            </w:rPr>
            <w:t xml:space="preserve">Mr. Mærsk Mc-Kinney Møller the chairman of Lindø shipyard in 1997 made a donation of 80 million kroner for the establishment of the Maersk Mc-Kinney Moller Institute (MMMI) as a part of the University of Southern Denmark </w:t>
          </w:r>
          <w:r>
            <w:fldChar w:fldCharType="begin"/>
          </w:r>
          <w:r>
            <w:instrText>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22" w:name="__Fieldmark__716_783673585"/>
          <w:r>
            <w:rPr>
              <w:lang w:val="en-US"/>
            </w:rPr>
          </w:r>
          <w:r>
            <w:rPr>
              <w:rFonts w:cs="Times New Roman"/>
              <w:lang w:val="en-US"/>
            </w:rPr>
            <w:t>(</w:t>
          </w:r>
          <w:bookmarkStart w:id="23" w:name="__Fieldmark__861_427358540"/>
          <w:r>
            <w:rPr>
              <w:rFonts w:cs="Times New Roman"/>
              <w:lang w:val="en-US"/>
            </w:rPr>
            <w:t>Steno, 2016)</w:t>
          </w:r>
          <w:r>
            <w:rPr>
              <w:lang w:val="en-US"/>
            </w:rPr>
          </w:r>
          <w:r>
            <w:fldChar w:fldCharType="end"/>
          </w:r>
          <w:bookmarkEnd w:id="22"/>
          <w:bookmarkEnd w:id="23"/>
          <w:r>
            <w:rPr>
              <w:lang w:val="en-US"/>
            </w:rPr>
            <w:t>. The institute had a target to house robot research as the potential for Danish industry in robotic technology was prominent in Odense. Until that time the environment around robotics was flourishing but the economic downturn in the beginning of 2000s caused effects in the industry. The AMROSE project that has turned into a company until then and the development department at the Odense shipyard were shut down.</w:t>
          </w:r>
        </w:p>
        <w:p>
          <w:pPr>
            <w:pStyle w:val="Normal"/>
            <w:spacing w:lineRule="auto" w:line="360"/>
            <w:rPr>
              <w:lang w:val="en-US"/>
            </w:rPr>
          </w:pPr>
          <w:r>
            <w:rPr>
              <w:lang w:val="en-US"/>
            </w:rPr>
            <w:t>The robot-environment around Fyn was still holding a great deal of knowledge and people in this area. It was the time for local authorities to act in order to save the development of the robotic industry. RoboCluster was established in spring 2002 as a local growth environment based at the Maersk Mc-Kinney Moller Institute at the University of Southern Denmark to continue the work on projects in the robotics industry. RoboCluster was the first network for Odense Robotics ecosystem organization that put also the word ‘cluster’ in its name. The second phase of the further development of the cluster has started with public initiatives financing the organization.</w:t>
          </w:r>
        </w:p>
        <w:p>
          <w:pPr>
            <w:pStyle w:val="Normal"/>
            <w:spacing w:lineRule="auto" w:line="360"/>
            <w:rPr>
              <w:lang w:val="en-US"/>
            </w:rPr>
          </w:pPr>
          <w:r>
            <w:rPr>
              <w:lang w:val="en-US"/>
            </w:rPr>
            <w:t xml:space="preserve">2002 was probably the birth year of Odense Robotics ecosystem. After that point many companies sprung up as universities spin-offs but also the public sector adopted initiatives to help robotic industry grow. Government has realized the growth potentials and major technology investments are being made financed by the state along with Danish businesses. The Danish Advanced Technology Foundation (a part of Innovation Fund Denmark from 2014) that was set up in 2005 by the Danish government and the Danish Technological institute that established the Center for Robotic technologies in Odense in 2006 was two critical factors for the formulation of a strong robotic environment in the region of Southern Denmark. Those two entities made capital and knowledge resources available for application-focused research projects related to robotics. Those projects enjoyed the participation of government, university and industry actors for developing robot technologies. </w:t>
          </w:r>
        </w:p>
        <w:p>
          <w:pPr>
            <w:pStyle w:val="Normal"/>
            <w:spacing w:lineRule="auto" w:line="360"/>
            <w:rPr/>
          </w:pPr>
          <w:r>
            <w:rPr>
              <w:lang w:val="en-US"/>
            </w:rPr>
            <w:t xml:space="preserve">The growth of the cluster is best illustrated with the great sale of the local producer of collaborative robots (Cobots) Universal Robots (UR) to the US Corporation Teradyne for 285 million dollars in May 2015. Despite the fact that Odense thrives on a tradition with industrial Robots the spectacular exit of Universal Robots helped the cluster to gain extra attention and revival of growth potentials.  Universal Robots founded in October 2005 as a startup company at the University of Southern Denmark with a startup capital of 1.2 million Danish kroner from the innovation incubator Syddansk Innovation </w:t>
          </w:r>
          <w:r>
            <w:fldChar w:fldCharType="begin"/>
          </w:r>
          <w:r>
            <w:instrText>ADDIN ZOTERO_ITEM CSL_CITATION {"citationID":"7vjmgh90d","properties":{"formattedCitation":"(Steno,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24" w:name="__Fieldmark__727_783673585"/>
          <w:r>
            <w:rPr>
              <w:lang w:val="en-US"/>
            </w:rPr>
          </w:r>
          <w:r>
            <w:rPr>
              <w:rFonts w:cs="Times New Roman"/>
              <w:lang w:val="en-US"/>
            </w:rPr>
            <w:t>(</w:t>
          </w:r>
          <w:bookmarkStart w:id="25" w:name="__Fieldmark__934_427358540"/>
          <w:r>
            <w:rPr>
              <w:rFonts w:cs="Times New Roman"/>
              <w:lang w:val="en-US"/>
            </w:rPr>
            <w:t>Steno, 2016)</w:t>
          </w:r>
          <w:r>
            <w:rPr>
              <w:lang w:val="en-US"/>
            </w:rPr>
          </w:r>
          <w:r>
            <w:fldChar w:fldCharType="end"/>
          </w:r>
          <w:bookmarkEnd w:id="24"/>
          <w:bookmarkEnd w:id="25"/>
          <w:r>
            <w:rPr>
              <w:lang w:val="en-US"/>
            </w:rPr>
            <w:t xml:space="preserve">. </w:t>
          </w:r>
        </w:p>
        <w:p>
          <w:pPr>
            <w:pStyle w:val="Normal"/>
            <w:spacing w:lineRule="auto" w:line="360"/>
            <w:rPr/>
          </w:pPr>
          <w:r>
            <w:rPr>
              <w:lang w:val="en-US"/>
            </w:rPr>
            <w:t xml:space="preserve">In 2015 was also the year which Odense Robotics frontier for robotic technologies established as a network organization having specific tasks in Odense Robotics cluster branding. In the study when I use the term Odense Robotics I mean the overall cluster and for the frontier I will use ‘Odense Robotics frontier’ to avoid misunderstandings between these terms. At the moment, Odense holds a high preposition related to Robotics with 83 companies in robot technologies, more than 30 higher education programs and a large number of knowledge and research institutes and network organizations providing to the region more than 2200 working positions </w:t>
          </w:r>
          <w:r>
            <w:fldChar w:fldCharType="begin"/>
          </w:r>
          <w:r>
            <w:instrText>ADDIN ZOTERO_ITEM CSL_CITATION {"citationID":"1tql48u038","properties":{"formattedCitation":"(Odense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w:instrText>
          </w:r>
          <w:r>
            <w:fldChar w:fldCharType="separate"/>
          </w:r>
          <w:bookmarkStart w:id="26" w:name="__Fieldmark__736_783673585"/>
          <w:r>
            <w:rPr>
              <w:lang w:val="en-US"/>
            </w:rPr>
          </w:r>
          <w:r>
            <w:rPr>
              <w:rFonts w:cs="Times New Roman"/>
              <w:lang w:val="en-US"/>
            </w:rPr>
            <w:t>(</w:t>
          </w:r>
          <w:bookmarkStart w:id="27" w:name="__Fieldmark__952_427358540"/>
          <w:r>
            <w:rPr>
              <w:rFonts w:cs="Times New Roman"/>
              <w:lang w:val="en-US"/>
            </w:rPr>
            <w:t>Odense Robotics, 2015)</w:t>
          </w:r>
          <w:r>
            <w:rPr>
              <w:lang w:val="en-US"/>
            </w:rPr>
          </w:r>
          <w:r>
            <w:fldChar w:fldCharType="end"/>
          </w:r>
          <w:bookmarkEnd w:id="26"/>
          <w:bookmarkEnd w:id="27"/>
          <w:r>
            <w:rPr>
              <w:lang w:val="en-US"/>
            </w:rPr>
            <w:t xml:space="preserve">. </w:t>
          </w:r>
        </w:p>
        <w:p>
          <w:pPr>
            <w:pStyle w:val="Normal"/>
            <w:spacing w:lineRule="auto" w:line="360"/>
            <w:rPr>
              <w:lang w:val="en-US"/>
            </w:rPr>
          </w:pPr>
          <w:r>
            <w:rPr>
              <w:lang w:val="en-US"/>
            </w:rPr>
            <w:t>This unique robot cluster offers ambitious technology for companies and prime conditions for growth in several areas, with particular strength in collaborative robots, drones, and food automation. Odense’s achievements in robotics are signs of a viable transformation, leaving strong insights about the connection between innovation and growth. A fertile ground for cooperation between businesses and institutes is taking shape around Odense that may provide a considerable potential for Danish economy in advanced industrial technology.</w:t>
          </w:r>
        </w:p>
        <w:p>
          <w:pPr>
            <w:pStyle w:val="Normal"/>
            <w:spacing w:lineRule="auto" w:line="360"/>
            <w:rPr/>
          </w:pPr>
          <w:r>
            <w:rPr>
              <w:lang w:val="en-US"/>
            </w:rPr>
            <w:t xml:space="preserve">The global industry around robots is also prominent. The worldwide supply of industrial robots is expected to triple up until 2018 </w:t>
          </w:r>
          <w:r>
            <w:fldChar w:fldCharType="begin"/>
          </w:r>
          <w:r>
            <w:instrText>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w:instrText>
          </w:r>
          <w:r>
            <w:fldChar w:fldCharType="separate"/>
          </w:r>
          <w:bookmarkStart w:id="28" w:name="__Fieldmark__746_783673585"/>
          <w:r>
            <w:rPr>
              <w:lang w:val="en-US"/>
            </w:rPr>
          </w:r>
          <w:r>
            <w:rPr>
              <w:rFonts w:cs="Times New Roman"/>
              <w:szCs w:val="24"/>
              <w:lang w:val="en-US"/>
            </w:rPr>
            <w:t>(</w:t>
          </w:r>
          <w:bookmarkStart w:id="29" w:name="__Fieldmark__963_427358540"/>
          <w:r>
            <w:rPr>
              <w:rFonts w:cs="Times New Roman"/>
              <w:szCs w:val="24"/>
              <w:lang w:val="en-US"/>
            </w:rPr>
            <w:t>“IFR Press Release - IFR International Federation of Robotics,” n.d.)</w:t>
          </w:r>
          <w:r>
            <w:rPr>
              <w:lang w:val="en-US"/>
            </w:rPr>
          </w:r>
          <w:r>
            <w:fldChar w:fldCharType="end"/>
          </w:r>
          <w:bookmarkEnd w:id="28"/>
          <w:bookmarkEnd w:id="29"/>
          <w:r>
            <w:rPr>
              <w:lang w:val="en-US"/>
            </w:rPr>
            <w:t xml:space="preserve"> providing strong indicators for growth in the global robot industry. In a national level, the robot density in Denmark is the fifth highest in the world where 166 industrial robots are employed per 10.000 people in the manufacturing industry despite the fact that Denmark does not have car industry which is taking the lead in robot automation </w:t>
          </w:r>
          <w:r>
            <w:fldChar w:fldCharType="begin"/>
          </w:r>
          <w:r>
            <w:instrText>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w:instrText>
          </w:r>
          <w:r>
            <w:fldChar w:fldCharType="separate"/>
          </w:r>
          <w:bookmarkStart w:id="30" w:name="__Fieldmark__753_783673585"/>
          <w:r>
            <w:rPr>
              <w:lang w:val="en-US"/>
            </w:rPr>
          </w:r>
          <w:r>
            <w:rPr>
              <w:rFonts w:cs="Times New Roman"/>
              <w:szCs w:val="24"/>
              <w:lang w:val="en-US"/>
            </w:rPr>
            <w:t>(</w:t>
          </w:r>
          <w:bookmarkStart w:id="31" w:name="__Fieldmark__969_427358540"/>
          <w:r>
            <w:rPr>
              <w:rFonts w:cs="Times New Roman"/>
              <w:szCs w:val="24"/>
              <w:lang w:val="en-US"/>
            </w:rPr>
            <w:t>“GlobalRobot density IFR,” 2014)</w:t>
          </w:r>
          <w:r>
            <w:rPr>
              <w:lang w:val="en-US"/>
            </w:rPr>
          </w:r>
          <w:r>
            <w:fldChar w:fldCharType="end"/>
          </w:r>
          <w:bookmarkEnd w:id="30"/>
          <w:bookmarkEnd w:id="31"/>
          <w:r>
            <w:rPr>
              <w:lang w:val="en-US"/>
            </w:rPr>
            <w:t xml:space="preserve">. Danes are welcoming robots to take over boring and predictable work and there is an understanding that institutes of higher learning and commercial businesses can work together for the common good. Moreover, according to a 2016 survey by the Danish Society engineers, only one present of Danes think that robots will take their jobs </w:t>
          </w:r>
          <w:r>
            <w:fldChar w:fldCharType="begin"/>
          </w:r>
          <w:r>
            <w:instrText>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32" w:name="__Fieldmark__760_783673585"/>
          <w:r>
            <w:rPr>
              <w:lang w:val="en-US"/>
            </w:rPr>
          </w:r>
          <w:r>
            <w:rPr>
              <w:rFonts w:cs="Times New Roman"/>
              <w:lang w:val="en-US"/>
            </w:rPr>
            <w:t>(</w:t>
          </w:r>
          <w:bookmarkStart w:id="33" w:name="__Fieldmark__977_427358540"/>
          <w:r>
            <w:rPr>
              <w:rFonts w:cs="Times New Roman"/>
              <w:lang w:val="en-US"/>
            </w:rPr>
            <w:t>Steno, 2016)</w:t>
          </w:r>
          <w:r>
            <w:rPr>
              <w:lang w:val="en-US"/>
            </w:rPr>
          </w:r>
          <w:r>
            <w:fldChar w:fldCharType="end"/>
          </w:r>
          <w:bookmarkEnd w:id="32"/>
          <w:bookmarkEnd w:id="33"/>
          <w:r>
            <w:rPr>
              <w:lang w:val="en-US"/>
            </w:rPr>
            <w:t>. The vital point is to share knowledge across the entire system to benefit the whole value chain, from subcontractors to the final user.</w:t>
          </w:r>
        </w:p>
        <w:p>
          <w:pPr>
            <w:pStyle w:val="Heading1"/>
            <w:rPr>
              <w:lang w:val="en-US"/>
            </w:rPr>
          </w:pPr>
          <w:bookmarkStart w:id="34" w:name="_Toc459977477"/>
          <w:bookmarkStart w:id="35" w:name="__RefHeading___Toc5740_427358540"/>
          <w:bookmarkEnd w:id="35"/>
          <w:r>
            <w:rPr>
              <w:lang w:val="en-US"/>
            </w:rPr>
            <w:t>1.2 Problem Indication</w:t>
          </w:r>
          <w:bookmarkEnd w:id="34"/>
          <w:r>
            <w:rPr>
              <w:lang w:val="en-US"/>
            </w:rPr>
            <w:t xml:space="preserve"> </w:t>
          </w:r>
        </w:p>
        <w:p>
          <w:pPr>
            <w:pStyle w:val="Normal"/>
            <w:spacing w:lineRule="auto" w:line="360"/>
            <w:rPr>
              <w:lang w:val="en-US"/>
            </w:rPr>
          </w:pPr>
          <w:r>
            <w:rPr>
              <w:lang w:val="en-US"/>
            </w:rPr>
            <w:t>Danish society is positive towards robots as a mean to raise the productivity of enterprises. Moreover, the state can use robot workers in welfare and healthcare applications reducing public sector costs for raising the prosperity of the citizens in other sectors. Despite the recession in the beginning of 2000 the robotic industry around Odense is growing with fast rates. According to Odense Robotics frontier (2015), the robotic companies expect growth from the current 2200 employees to more than 3000 earlier than 2020 being beneficial for the society (creating work positions) and for individuals (creating successful firms).</w:t>
          </w:r>
        </w:p>
        <w:p>
          <w:pPr>
            <w:pStyle w:val="Normal"/>
            <w:spacing w:lineRule="auto" w:line="360"/>
            <w:rPr>
              <w:lang w:val="en-US"/>
            </w:rPr>
          </w:pPr>
          <w:r>
            <w:rPr>
              <w:lang w:val="en-US"/>
            </w:rPr>
            <w:t xml:space="preserve">Keeping pace with innovation and growth in a multidimensional technology as robotics seems to be in question for Odense Robotics cluster. The formation of the Robotic cluster is an organized effort to gain and sustain competitive advantage for making Odense a worldwide leader in robot technologies. The success of Universal Robots showed the feasibility of an international growth to the cluster actors but is still one of a kind. </w:t>
          </w:r>
        </w:p>
        <w:p>
          <w:pPr>
            <w:pStyle w:val="Normal"/>
            <w:spacing w:lineRule="auto" w:line="360"/>
            <w:rPr>
              <w:lang w:val="en-US"/>
            </w:rPr>
          </w:pPr>
          <w:r>
            <w:rPr>
              <w:lang w:val="en-US"/>
            </w:rPr>
            <w:t xml:space="preserve">The examination of Odense Robotics global competitiveness is the main goal of this study. In this notion, I will examine the environment that the cluster competes, the structure and behaviors of the cluster and the interactions that lead to innovation and growth as three main factors that will lead to internationalization. </w:t>
          </w:r>
        </w:p>
        <w:p>
          <w:pPr>
            <w:pStyle w:val="Normal"/>
            <w:spacing w:lineRule="auto" w:line="360"/>
            <w:rPr>
              <w:lang w:val="en-US"/>
            </w:rPr>
          </w:pPr>
          <w:commentRangeStart w:id="1"/>
          <w:r>
            <w:rPr>
              <w:lang w:val="en-US"/>
            </w:rPr>
            <w:t>The cluster’s environment that is developing in, the structure and the interactions that will keep the cluster innovative.</w:t>
          </w:r>
        </w:p>
        <w:p>
          <w:pPr>
            <w:pStyle w:val="Normal"/>
            <w:spacing w:lineRule="auto" w:line="360"/>
            <w:rPr>
              <w:lang w:val="en-US"/>
            </w:rPr>
          </w:pPr>
          <w:r>
            <w:rPr>
              <w:lang w:val="en-US"/>
            </w:rPr>
            <w:t xml:space="preserve">The first is the structure and characteristics of the ecosystem as to gain a deep understanding of the function and culture prevail in the system. The goal for that is to explain which initiatives that led the cluster to grow to have the today’s formation. The second factor is to examine the frictions that cause innovation between different cluster entities. Robot technology is highly knowledge based as it combines different components that enable robots to sense, plan and act </w:t>
          </w:r>
          <w:r>
            <w:fldChar w:fldCharType="begin"/>
          </w:r>
          <w:r>
            <w:instrText>ADDIN ZOTERO_ITEM CSL_CITATION {"citationID":"ggiopt43s","properties":{"formattedCitation":"{\\rtf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w:instrText>
          </w:r>
          <w:r>
            <w:fldChar w:fldCharType="separate"/>
          </w:r>
          <w:bookmarkStart w:id="36" w:name="__Fieldmark__781_783673585"/>
          <w:r>
            <w:rPr>
              <w:lang w:val="en-US"/>
            </w:rPr>
          </w:r>
          <w:r>
            <w:rPr>
              <w:rFonts w:cs="Times New Roman"/>
              <w:szCs w:val="24"/>
              <w:lang w:val="en-US"/>
            </w:rPr>
            <w:t>(</w:t>
          </w:r>
          <w:bookmarkStart w:id="37" w:name="__Fieldmark__1034_427358540"/>
          <w:r>
            <w:rPr>
              <w:rFonts w:cs="Times New Roman"/>
              <w:szCs w:val="24"/>
              <w:lang w:val="en-US"/>
            </w:rPr>
            <w:t>“ROBO Global,” 2016)</w:t>
          </w:r>
          <w:r>
            <w:rPr>
              <w:lang w:val="en-US"/>
            </w:rPr>
          </w:r>
          <w:r>
            <w:fldChar w:fldCharType="end"/>
          </w:r>
          <w:bookmarkEnd w:id="36"/>
          <w:bookmarkEnd w:id="37"/>
          <w:r>
            <w:rPr>
              <w:lang w:val="en-US"/>
            </w:rPr>
            <w:t xml:space="preserve">. </w:t>
          </w:r>
          <w:commentRangeEnd w:id="1"/>
          <w:r>
            <w:commentReference w:id="1"/>
          </w:r>
          <w:r>
            <w:rPr>
              <w:lang w:val="en-US"/>
            </w:rPr>
          </w:r>
        </w:p>
        <w:p>
          <w:pPr>
            <w:pStyle w:val="Heading1"/>
            <w:rPr>
              <w:lang w:val="en-US"/>
            </w:rPr>
          </w:pPr>
          <w:bookmarkStart w:id="38" w:name="_Toc459977478"/>
          <w:bookmarkStart w:id="39" w:name="__RefHeading___Toc5742_427358540"/>
          <w:bookmarkEnd w:id="38"/>
          <w:bookmarkEnd w:id="39"/>
          <w:r>
            <w:rPr>
              <w:lang w:val="en-US"/>
            </w:rPr>
            <w:t>1.3 Problem Statement</w:t>
          </w:r>
        </w:p>
        <w:p>
          <w:pPr>
            <w:pStyle w:val="Normal"/>
            <w:spacing w:lineRule="auto" w:line="360"/>
            <w:rPr>
              <w:lang w:val="en-US"/>
            </w:rPr>
          </w:pPr>
          <w:r>
            <w:rPr>
              <w:lang w:val="en-US"/>
            </w:rPr>
            <w:t>The objective of this study is to explore and identify the cluster dynamics for supporting the thirst for international growth and innovation in Odense Robotics industry that leads to the following research problem:</w:t>
          </w:r>
        </w:p>
        <w:p>
          <w:pPr>
            <w:pStyle w:val="Normal"/>
            <w:spacing w:lineRule="auto" w:line="360"/>
            <w:rPr>
              <w:b/>
              <w:b/>
              <w:lang w:val="en-US"/>
            </w:rPr>
          </w:pPr>
          <w:r>
            <w:rPr>
              <w:b/>
              <w:lang w:val="en-US"/>
            </w:rPr>
            <w:t xml:space="preserve">Can Odense Robotics cluster support innovation and growth in the continuous quest of internationally high competitive firms? </w:t>
          </w:r>
        </w:p>
        <w:p>
          <w:pPr>
            <w:pStyle w:val="Normal"/>
            <w:spacing w:lineRule="auto" w:line="360"/>
            <w:rPr>
              <w:lang w:val="en-US"/>
            </w:rPr>
          </w:pPr>
          <w:r>
            <w:rPr>
              <w:lang w:val="en-US"/>
            </w:rPr>
            <w:t>The analysis of the Odense Robotics cluster in this study involves the following sub-questions:</w:t>
          </w:r>
        </w:p>
        <w:p>
          <w:pPr>
            <w:pStyle w:val="Normal"/>
            <w:spacing w:lineRule="auto" w:line="360"/>
            <w:rPr>
              <w:lang w:val="en-US"/>
            </w:rPr>
          </w:pPr>
          <w:r>
            <w:rPr>
              <w:lang w:val="en-US"/>
            </w:rPr>
            <w:t>Which characteristics influence Odense Robotics cluster environment?</w:t>
          </w:r>
        </w:p>
        <w:p>
          <w:pPr>
            <w:pStyle w:val="Normal"/>
            <w:spacing w:lineRule="auto" w:line="360"/>
            <w:rPr>
              <w:lang w:val="en-US"/>
            </w:rPr>
          </w:pPr>
          <w:r>
            <w:rPr>
              <w:lang w:val="en-US"/>
            </w:rPr>
            <w:t>How is the structure of the Odense Robotics cluster?</w:t>
          </w:r>
        </w:p>
        <w:p>
          <w:pPr>
            <w:pStyle w:val="Normal"/>
            <w:spacing w:lineRule="auto" w:line="360"/>
            <w:rPr>
              <w:lang w:val="en-US"/>
            </w:rPr>
          </w:pPr>
          <w:r>
            <w:rPr>
              <w:lang w:val="en-US"/>
            </w:rPr>
            <w:t>Which frictions foster innovation in Odense Robotics cluster?</w:t>
          </w:r>
        </w:p>
        <w:p>
          <w:pPr>
            <w:pStyle w:val="Heading1"/>
            <w:rPr>
              <w:lang w:val="en-US"/>
            </w:rPr>
          </w:pPr>
          <w:bookmarkStart w:id="40" w:name="__RefHeading___Toc5744_427358540"/>
          <w:bookmarkStart w:id="41" w:name="_Toc459977479"/>
          <w:bookmarkEnd w:id="40"/>
          <w:bookmarkEnd w:id="41"/>
          <w:r>
            <w:rPr>
              <w:lang w:val="en-US"/>
            </w:rPr>
            <w:t>1.4 Theoretical Framework</w:t>
          </w:r>
        </w:p>
        <w:p>
          <w:pPr>
            <w:pStyle w:val="Normal"/>
            <w:spacing w:lineRule="auto" w:line="360"/>
            <w:rPr/>
          </w:pPr>
          <w:r>
            <w:rPr>
              <w:lang w:val="en-US"/>
            </w:rPr>
            <w:t xml:space="preserve">The literature review of the study will follow three pilots. At first, I examine the environment that Odense Robotics competes for but also the structure and the characteristics of the cluster. Porter’s (1990) diamond model explained the industrial dynamics that measures the competitiveness of a nation or location revealing the importance of clustering as often successful industries located in a single town or region within a nation. The intensity of productivity, innovation, and new business creation are the main advantages that cluster members can enjoy by participating in the industrial agglomeration (M E Porter, 1998).The analysis of clusters is closely related to the analysis of innovation systems as organized initiatives to promote innovations. The concept of the innovation system will thus be examined as stresses that all the important economic, social, political, organizational, and other factors influence the development, diffusion, and use of innovations </w:t>
          </w:r>
          <w:r>
            <w:fldChar w:fldCharType="begin"/>
          </w:r>
          <w:r>
            <w:instrText>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w:instrText>
          </w:r>
          <w:r>
            <w:fldChar w:fldCharType="separate"/>
          </w:r>
          <w:bookmarkStart w:id="42" w:name="__Fieldmark__811_783673585"/>
          <w:r>
            <w:rPr>
              <w:lang w:val="en-US"/>
            </w:rPr>
          </w:r>
          <w:r>
            <w:rPr>
              <w:rFonts w:cs="Times New Roman"/>
              <w:lang w:val="en-US"/>
            </w:rPr>
            <w:t>(</w:t>
          </w:r>
          <w:bookmarkStart w:id="43" w:name="__Fieldmark__1101_427358540"/>
          <w:r>
            <w:rPr>
              <w:rFonts w:cs="Times New Roman"/>
              <w:lang w:val="en-US"/>
            </w:rPr>
            <w:t>Edquist, 1997)</w:t>
          </w:r>
          <w:r>
            <w:rPr>
              <w:lang w:val="en-US"/>
            </w:rPr>
          </w:r>
          <w:r>
            <w:fldChar w:fldCharType="end"/>
          </w:r>
          <w:bookmarkEnd w:id="42"/>
          <w:bookmarkEnd w:id="43"/>
          <w:r>
            <w:rPr>
              <w:lang w:val="en-US"/>
            </w:rPr>
            <w:t xml:space="preserve">. Moreover, the actors and characteristics of the robotic cluster will be theoretically reviewed by </w:t>
          </w:r>
          <w:r>
            <w:rPr>
              <w:rFonts w:eastAsia="Calibri" w:cs="Times New Roman"/>
              <w:lang w:val="en-US"/>
            </w:rPr>
            <w:t>Andersson et al., 2004 and Sölvell et al., 2003 that with their studies set a framework for cluster initiatives and structure.</w:t>
          </w:r>
        </w:p>
        <w:p>
          <w:pPr>
            <w:pStyle w:val="Normal"/>
            <w:spacing w:lineRule="auto" w:line="360"/>
            <w:rPr/>
          </w:pPr>
          <w:r>
            <w:rPr>
              <w:rFonts w:eastAsia="Calibri" w:cs="Times New Roman"/>
              <w:lang w:val="en-US"/>
            </w:rPr>
            <w:t xml:space="preserve">The second guideline for the project will be the examination of the frictions that foster innovation in the cluster. I will introduce </w:t>
          </w:r>
          <w:r>
            <w:rPr>
              <w:lang w:val="en-US"/>
            </w:rPr>
            <w:t>the</w:t>
          </w:r>
          <w:r>
            <w:rPr>
              <w:rFonts w:eastAsia="Calibri" w:cs="Times New Roman"/>
              <w:lang w:val="en-US"/>
            </w:rPr>
            <w:t xml:space="preserve"> Triple Helix model of university–industry–government relations </w:t>
          </w:r>
          <w:r>
            <w:fldChar w:fldCharType="begin"/>
          </w:r>
          <w:r>
            <w:instrText>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w:instrText>
          </w:r>
          <w:r>
            <w:fldChar w:fldCharType="separate"/>
          </w:r>
          <w:bookmarkStart w:id="44" w:name="__Fieldmark__823_783673585"/>
          <w:r>
            <w:rPr>
              <w:rFonts w:eastAsia="Calibri" w:cs="Times New Roman"/>
              <w:lang w:val="en-US"/>
            </w:rPr>
            <w:t>(</w:t>
          </w:r>
          <w:bookmarkStart w:id="45" w:name="__Fieldmark__1125_427358540"/>
          <w:r>
            <w:rPr>
              <w:rFonts w:eastAsia="Calibri" w:cs="Times New Roman"/>
              <w:lang w:val="en-US"/>
            </w:rPr>
            <w:t>Leydesdorff &amp; Etzkowitz, 1996)</w:t>
          </w:r>
          <w:r>
            <w:rPr>
              <w:rFonts w:eastAsia="Calibri" w:cs="Times New Roman"/>
              <w:lang w:val="en-US"/>
            </w:rPr>
          </w:r>
          <w:r>
            <w:fldChar w:fldCharType="end"/>
          </w:r>
          <w:bookmarkEnd w:id="44"/>
          <w:bookmarkEnd w:id="45"/>
          <w:r>
            <w:rPr>
              <w:rFonts w:eastAsia="Calibri" w:cs="Times New Roman"/>
              <w:lang w:val="en-US"/>
            </w:rPr>
            <w:t xml:space="preserve"> to explain the interactions of actors and its social contexts in regard to innovation systems  and clusters. The target to bring out the depth and complexity of the innovation process as circular interaction system based on the knowledge-based economy (Leydesdorff &amp; Zawdie, 2010). The role of the university and government will be explained separately. </w:t>
          </w:r>
        </w:p>
        <w:p>
          <w:pPr>
            <w:pStyle w:val="Normal"/>
            <w:spacing w:lineRule="auto" w:line="360"/>
            <w:rPr/>
          </w:pPr>
          <w:r>
            <w:rPr>
              <w:rFonts w:eastAsia="Calibri" w:cs="Times New Roman"/>
              <w:lang w:val="en-US"/>
            </w:rPr>
            <w:t xml:space="preserve">At last for describing the international perspective of the Odense Robotics cluster I adopt in the study the theories of Jerome Engel (2009, 2011, 2015) about Global clusters of Innovation. Clusters are not isolated islands as the most successful ones are often the most globally connected </w:t>
          </w:r>
          <w:r>
            <w:fldChar w:fldCharType="begin"/>
          </w:r>
          <w:r>
            <w:instrText>ADDIN ZOTERO_ITEM CSL_CITATION {"citationID":"1q14qmivh","properties":{"formattedCitation":"(Engel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w:instrText>
          </w:r>
          <w:r>
            <w:fldChar w:fldCharType="separate"/>
          </w:r>
          <w:bookmarkStart w:id="46" w:name="__Fieldmark__832_783673585"/>
          <w:r>
            <w:rPr>
              <w:rFonts w:eastAsia="Calibri" w:cs="Times New Roman"/>
              <w:lang w:val="en-US"/>
            </w:rPr>
            <w:t>(</w:t>
          </w:r>
          <w:bookmarkStart w:id="47" w:name="__Fieldmark__1142_427358540"/>
          <w:r>
            <w:rPr>
              <w:rFonts w:eastAsia="Calibri" w:cs="Times New Roman"/>
              <w:lang w:val="en-US"/>
            </w:rPr>
            <w:t>Engel &amp; del-Palacio, 2011)</w:t>
          </w:r>
          <w:r>
            <w:rPr>
              <w:rFonts w:eastAsia="Calibri" w:cs="Times New Roman"/>
              <w:lang w:val="en-US"/>
            </w:rPr>
          </w:r>
          <w:r>
            <w:fldChar w:fldCharType="end"/>
          </w:r>
          <w:bookmarkEnd w:id="46"/>
          <w:bookmarkEnd w:id="47"/>
          <w:r>
            <w:rPr>
              <w:rFonts w:eastAsia="Calibri" w:cs="Times New Roman"/>
              <w:lang w:val="en-US"/>
            </w:rPr>
            <w:t>. The concept of Global clusters of innovation completes the theoretical review of the study as a framework that connects success and growth with globalization.</w:t>
          </w:r>
        </w:p>
        <w:p>
          <w:pPr>
            <w:pStyle w:val="Heading1"/>
            <w:rPr>
              <w:lang w:val="en-US"/>
            </w:rPr>
          </w:pPr>
          <w:bookmarkStart w:id="48" w:name="_Toc459977480"/>
          <w:bookmarkStart w:id="49" w:name="__RefHeading___Toc5746_427358540"/>
          <w:bookmarkEnd w:id="48"/>
          <w:bookmarkEnd w:id="49"/>
          <w:r>
            <w:rPr>
              <w:lang w:val="en-US"/>
            </w:rPr>
            <w:t>1.5 Method</w:t>
          </w:r>
        </w:p>
        <w:p>
          <w:pPr>
            <w:pStyle w:val="Normal"/>
            <w:rPr>
              <w:lang w:val="en-US"/>
            </w:rPr>
          </w:pPr>
          <w:r>
            <w:rPr>
              <w:lang w:val="en-US"/>
            </w:rPr>
            <w:t>RESEARCH METHODOLOGY: Inductive based approach was used when trying to investigate a cluster in Halmstad called “Innovative Logistic in Halmstad”. The cluster is in an early stage at this moment. Data was collected through interviews and secondary data was collected to complement our findings as well.</w:t>
          </w:r>
        </w:p>
        <w:p>
          <w:pPr>
            <w:pStyle w:val="Normal"/>
            <w:spacing w:lineRule="auto" w:line="360"/>
            <w:rPr>
              <w:lang w:val="en-US"/>
            </w:rPr>
          </w:pPr>
          <w:r>
            <w:rPr>
              <w:rFonts w:eastAsia="Calibri" w:cs="Times New Roman"/>
              <w:lang w:val="en-US"/>
            </w:rPr>
            <w:t>The research behind this thesis can be described as qualitative sociological research and the strategy that I used to collect the necessary data is in-depth interviews based on the snowball sampling method.</w:t>
          </w:r>
          <w:r>
            <w:rPr>
              <w:lang w:val="en-US"/>
            </w:rPr>
            <w:t xml:space="preserve"> </w:t>
          </w:r>
          <w:r>
            <w:rPr>
              <w:rFonts w:eastAsia="Calibri" w:cs="Times New Roman"/>
              <w:lang w:val="en-US"/>
            </w:rPr>
            <w:t xml:space="preserve">Snowball or chain referral sampling is a method used in qualitative social research that yield a study sample through referrals made among people who share or know of others who possess some characteristics that are of research interest.(Biernacki &amp; Waldorf, 1981). </w:t>
          </w:r>
          <w:commentRangeStart w:id="2"/>
          <w:r>
            <w:rPr>
              <w:rFonts w:eastAsia="Calibri" w:cs="Times New Roman"/>
              <w:lang w:val="en-US"/>
            </w:rPr>
            <w:t xml:space="preserve">The employment of snowball sampling in organic social networks brings to the fore the concepts of social knowledge and power relations that when employed in the study of social systems and networks, this sampling method delivers a unique type of knowledge </w:t>
          </w:r>
          <w:r>
            <w:fldChar w:fldCharType="begin"/>
          </w:r>
          <w:r>
            <w:instrText>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w:instrText>
          </w:r>
          <w:r>
            <w:fldChar w:fldCharType="separate"/>
          </w:r>
          <w:bookmarkStart w:id="50" w:name="__Fieldmark__853_783673585"/>
          <w:r>
            <w:rPr>
              <w:rFonts w:eastAsia="Calibri" w:cs="Times New Roman"/>
              <w:lang w:val="en-US"/>
            </w:rPr>
            <w:t>(</w:t>
          </w:r>
          <w:bookmarkStart w:id="51" w:name="__Fieldmark__1176_427358540"/>
          <w:r>
            <w:rPr>
              <w:rFonts w:eastAsia="Calibri" w:cs="Times New Roman"/>
              <w:lang w:val="en-US"/>
            </w:rPr>
            <w:t>Noy, 2008)</w:t>
          </w:r>
          <w:r>
            <w:rPr>
              <w:rFonts w:eastAsia="Calibri" w:cs="Times New Roman"/>
              <w:lang w:val="en-US"/>
            </w:rPr>
          </w:r>
          <w:r>
            <w:fldChar w:fldCharType="end"/>
          </w:r>
          <w:bookmarkEnd w:id="50"/>
          <w:bookmarkEnd w:id="51"/>
          <w:commentRangeEnd w:id="2"/>
          <w:r>
            <w:commentReference w:id="2"/>
          </w:r>
          <w:r>
            <w:rPr>
              <w:rFonts w:eastAsia="Calibri" w:cs="Times New Roman"/>
              <w:lang w:val="en-US"/>
            </w:rPr>
          </w:r>
        </w:p>
        <w:p>
          <w:pPr>
            <w:pStyle w:val="Heading1"/>
            <w:rPr>
              <w:lang w:val="en-US"/>
            </w:rPr>
          </w:pPr>
          <w:bookmarkStart w:id="52" w:name="_Toc457211222"/>
          <w:bookmarkStart w:id="53" w:name="__RefHeading___Toc5748_427358540"/>
          <w:bookmarkStart w:id="54" w:name="_Toc459977481"/>
          <w:bookmarkEnd w:id="52"/>
          <w:bookmarkEnd w:id="53"/>
          <w:bookmarkEnd w:id="54"/>
          <w:r>
            <w:rPr>
              <w:lang w:val="en-US"/>
            </w:rPr>
            <w:t>1.6 Structure of the Report</w:t>
          </w:r>
        </w:p>
        <w:p>
          <w:pPr>
            <w:pStyle w:val="Normal"/>
            <w:spacing w:lineRule="auto" w:line="360"/>
            <w:rPr>
              <w:lang w:val="en-US"/>
            </w:rPr>
          </w:pPr>
          <w:r>
            <w:rPr>
              <w:lang w:val="en-US"/>
            </w:rPr>
            <w:t>The thesis is divided into six main chapters. Besides the first chapter which is introductory, in the second chapter which is the theoretical framework chapter, several theoretical aspects about clusters of innovation are analyzed that are used also for the analysis of the data. In the third chapter, the chapter of methodology, the methods of both collecting and analyzing data are explained, as well as how the design of the study fits for answering the research questions. In the fourth chapter, the analysis chapter, the methods that were used are combined to the relevant chosen theories in order to have a proper analysis of the data .In the fifth chapter, the discussion chapter, the topics that emerged from the analysis chapter are discussed. In the sixth chapter, the chapter of conclusion, it is connected back to this chapter (chapter of introduction) and the objective is to answer the research question. The sixth chapter also includes the limitations and the recommendations for future research of the study.</w:t>
          </w:r>
        </w:p>
        <w:p>
          <w:pPr>
            <w:pStyle w:val="Heading1"/>
            <w:rPr>
              <w:lang w:val="en-US"/>
            </w:rPr>
          </w:pPr>
          <w:bookmarkStart w:id="55" w:name="_Toc459977482"/>
          <w:bookmarkStart w:id="56" w:name="__RefHeading___Toc5750_427358540"/>
          <w:bookmarkEnd w:id="55"/>
          <w:bookmarkEnd w:id="56"/>
          <w:r>
            <w:rPr>
              <w:lang w:val="en-US"/>
            </w:rPr>
            <w:t>Chapter 2: Theoretical Framework</w:t>
          </w:r>
        </w:p>
        <w:p>
          <w:pPr>
            <w:pStyle w:val="Normal"/>
            <w:spacing w:lineRule="auto" w:line="360"/>
            <w:rPr>
              <w:lang w:val="en-US"/>
            </w:rPr>
          </w:pPr>
          <w:r>
            <w:rPr>
              <w:lang w:val="en-US"/>
            </w:rPr>
            <w:t xml:space="preserve">This chapter presents an overview of previous research that has been found to be relevant for the study. The chapter starts with literature related to the competitive environment around clusters with Porter’s diamond model and the overview of Systems of Innovation. Then it goes deeper into the literature about geographical clusters, their actors and cluster characteristics. 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p>
        <w:p>
          <w:pPr>
            <w:pStyle w:val="Heading1"/>
            <w:rPr>
              <w:lang w:val="en-US"/>
            </w:rPr>
          </w:pPr>
          <w:bookmarkStart w:id="57" w:name="_Toc459977483"/>
          <w:bookmarkStart w:id="58" w:name="__RefHeading___Toc5752_427358540"/>
          <w:bookmarkEnd w:id="57"/>
          <w:bookmarkEnd w:id="58"/>
          <w:r>
            <w:rPr>
              <w:lang w:val="en-US"/>
            </w:rPr>
            <w:t>2.1 Porter’s Diamond model</w:t>
          </w:r>
        </w:p>
        <w:p>
          <w:pPr>
            <w:pStyle w:val="Normal"/>
            <w:spacing w:lineRule="auto" w:line="360"/>
            <w:rPr/>
          </w:pPr>
          <w:r>
            <w:rPr>
              <w:rFonts w:eastAsia="Calibri" w:cs="Times New Roman"/>
              <w:lang w:val="en-US"/>
            </w:rPr>
            <w:t xml:space="preserve">In 1990, Michael Porter introduced the book </w:t>
          </w:r>
          <w:r>
            <w:rPr>
              <w:rFonts w:eastAsia="Calibri" w:cs="Times New Roman"/>
              <w:i/>
              <w:lang w:val="en-US"/>
            </w:rPr>
            <w:t>Competitive Advantage of Nations</w:t>
          </w:r>
          <w:r>
            <w:rPr>
              <w:rFonts w:eastAsia="Calibri" w:cs="Times New Roman"/>
              <w:lang w:val="en-US"/>
            </w:rPr>
            <w:t xml:space="preserve"> describing the ways that firms gain and sustain competitive advantage emphasizing to the role of nation that they participate.</w:t>
          </w:r>
          <w:r>
            <w:rPr>
              <w:rFonts w:eastAsia="Calibri" w:cs="Times New Roman" w:ascii="Calibri" w:hAnsi="Calibri"/>
              <w:lang w:val="en-US"/>
            </w:rPr>
            <w:t xml:space="preserve"> </w:t>
          </w:r>
          <w:r>
            <w:rPr>
              <w:rFonts w:eastAsia="Calibri" w:cs="Times New Roman"/>
              <w:lang w:val="en-US"/>
            </w:rPr>
            <w:t>The competitiveness of a nation or location is measured by the level of productivity of its industries and the rate that they are able</w:t>
          </w:r>
          <w:r>
            <w:rPr>
              <w:rFonts w:eastAsia="Calibri" w:cs="Times New Roman" w:ascii="Calibri" w:hAnsi="Calibri"/>
              <w:lang w:val="en-US"/>
            </w:rPr>
            <w:t xml:space="preserve"> </w:t>
          </w:r>
          <w:r>
            <w:rPr>
              <w:rFonts w:eastAsia="Calibri" w:cs="Times New Roman"/>
              <w:lang w:val="en-US"/>
            </w:rPr>
            <w:t xml:space="preserve">to innovate and stay competitive  </w:t>
          </w:r>
          <w:r>
            <w:fldChar w:fldCharType="begin"/>
          </w:r>
          <w:r>
            <w:instrText>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59" w:name="__Fieldmark__894_783673585"/>
          <w:r>
            <w:rPr>
              <w:rFonts w:eastAsia="Calibri" w:cs="Times New Roman"/>
              <w:lang w:val="en-US"/>
            </w:rPr>
            <w:t>(</w:t>
          </w:r>
          <w:bookmarkStart w:id="60" w:name="__Fieldmark__1223_427358540"/>
          <w:r>
            <w:rPr>
              <w:rFonts w:eastAsia="Calibri" w:cs="Times New Roman"/>
              <w:lang w:val="en-US"/>
            </w:rPr>
            <w:t>Michael E. Porter, 1990)</w:t>
          </w:r>
          <w:r>
            <w:rPr>
              <w:rFonts w:eastAsia="Calibri" w:cs="Times New Roman"/>
              <w:lang w:val="en-US"/>
            </w:rPr>
          </w:r>
          <w:r>
            <w:fldChar w:fldCharType="end"/>
          </w:r>
          <w:bookmarkEnd w:id="59"/>
          <w:bookmarkEnd w:id="60"/>
          <w:r>
            <w:rPr>
              <w:rFonts w:eastAsia="Calibri" w:cs="Times New Roman"/>
              <w:lang w:val="en-US"/>
            </w:rPr>
            <w:t>. In Porter’s concept, industries specialized in a particular sector of production can gain competitive advantage through the use of economies of scale and reduced transactional costs.</w:t>
          </w:r>
          <w:r>
            <w:rPr>
              <w:rFonts w:eastAsia="Calibri" w:cs="Times New Roman" w:ascii="Calibri" w:hAnsi="Calibri"/>
              <w:lang w:val="en-US"/>
            </w:rPr>
            <w:t xml:space="preserve"> </w:t>
          </w:r>
        </w:p>
        <w:p>
          <w:pPr>
            <w:pStyle w:val="Normal"/>
            <w:spacing w:lineRule="auto" w:line="360"/>
            <w:rPr/>
          </w:pPr>
          <w:r>
            <w:rPr>
              <w:rFonts w:eastAsia="Calibri"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Pr>
              <w:rFonts w:eastAsia="Calibri" w:cs="Times New Roman" w:ascii="Calibri" w:hAnsi="Calibri"/>
              <w:lang w:val="en-US"/>
            </w:rPr>
            <w:t xml:space="preserve"> </w:t>
          </w:r>
          <w:r>
            <w:rPr>
              <w:rFonts w:eastAsia="Calibri" w:cs="Times New Roman"/>
              <w:lang w:val="en-US"/>
            </w:rPr>
            <w:t xml:space="preserve">He states that the nation whose home environment related to a specific industry is forward-looking, dynamic and challenging has a good foundation to succeed in a given industry </w:t>
          </w:r>
          <w:r>
            <w:fldChar w:fldCharType="begin"/>
          </w:r>
          <w:r>
            <w:instrText>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61" w:name="__Fieldmark__906_783673585"/>
          <w:r>
            <w:rPr>
              <w:rFonts w:eastAsia="Calibri" w:cs="Times New Roman"/>
              <w:lang w:val="en-US"/>
            </w:rPr>
            <w:t>(</w:t>
          </w:r>
          <w:bookmarkStart w:id="62" w:name="__Fieldmark__1235_427358540"/>
          <w:r>
            <w:rPr>
              <w:rFonts w:eastAsia="Calibri" w:cs="Times New Roman"/>
              <w:lang w:val="en-US"/>
            </w:rPr>
            <w:t>Michael E. Porter, 1990)</w:t>
          </w:r>
          <w:r>
            <w:rPr>
              <w:rFonts w:eastAsia="Calibri" w:cs="Times New Roman"/>
              <w:lang w:val="en-US"/>
            </w:rPr>
          </w:r>
          <w:r>
            <w:fldChar w:fldCharType="end"/>
          </w:r>
          <w:bookmarkEnd w:id="61"/>
          <w:bookmarkEnd w:id="62"/>
          <w:r>
            <w:rPr>
              <w:rFonts w:eastAsia="Calibri" w:cs="Times New Roman" w:ascii="Calibri" w:hAnsi="Calibri"/>
              <w:lang w:val="en-US"/>
            </w:rPr>
            <w:t xml:space="preserve"> </w:t>
          </w:r>
        </w:p>
        <w:p>
          <w:pPr>
            <w:pStyle w:val="Normal"/>
            <w:spacing w:lineRule="auto" w:line="360"/>
            <w:rPr/>
          </w:pPr>
          <w:r>
            <w:rPr>
              <w:rFonts w:eastAsia="Calibri" w:cs="Times New Roman"/>
              <w:lang w:val="en-US"/>
            </w:rPr>
            <w:t>Michael Porter (1990), introduced the “diamond model” to explain industrial dynamics, consisting of four sets of interrelated forces: factor conditions (input), demand conditions, related and supporting industries, and context for firm strategy and rivalry. The role of chance and the role of government shape the determinants of a nation’s business environment as it is illustrated in Figure 2.</w:t>
          </w:r>
          <w:r>
            <w:rPr>
              <w:lang w:val="en-US"/>
            </w:rPr>
            <w:t xml:space="preserve"> </w:t>
          </w:r>
          <w:r>
            <w:rPr>
              <w:rFonts w:eastAsia="Calibri" w:cs="Times New Roman"/>
              <w:lang w:val="en-US"/>
            </w:rPr>
            <w:t xml:space="preserve">This system is specialized to a particular industry structure but discontinuities created by chance events allowing new specialized national “diamonds” to compliment others </w:t>
          </w:r>
          <w:r>
            <w:fldChar w:fldCharType="begin"/>
          </w:r>
          <w:r>
            <w:instrText>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63" w:name="__Fieldmark__917_783673585"/>
          <w:r>
            <w:rPr>
              <w:rFonts w:eastAsia="Calibri" w:cs="Times New Roman"/>
              <w:lang w:val="en-US"/>
            </w:rPr>
            <w:t>(</w:t>
          </w:r>
          <w:bookmarkStart w:id="64" w:name="__Fieldmark__1257_427358540"/>
          <w:r>
            <w:rPr>
              <w:rFonts w:eastAsia="Calibri" w:cs="Times New Roman"/>
              <w:lang w:val="en-US"/>
            </w:rPr>
            <w:t>Michael E. Porter, 1990)</w:t>
          </w:r>
          <w:r>
            <w:rPr>
              <w:rFonts w:eastAsia="Calibri" w:cs="Times New Roman"/>
              <w:lang w:val="en-US"/>
            </w:rPr>
          </w:r>
          <w:r>
            <w:fldChar w:fldCharType="end"/>
          </w:r>
          <w:bookmarkEnd w:id="63"/>
          <w:bookmarkEnd w:id="64"/>
          <w:r>
            <w:rPr>
              <w:rFonts w:eastAsia="Calibri" w:cs="Times New Roman"/>
              <w:lang w:val="en-US"/>
            </w:rPr>
            <w:t xml:space="preserve">. Chance can exercise influence of the system but the system cannot affect it. Government can both influence and be influenced by the diamond’s determinants. </w:t>
          </w:r>
        </w:p>
        <w:p>
          <w:pPr>
            <w:pStyle w:val="Normal"/>
            <w:keepNext/>
            <w:spacing w:lineRule="auto" w:line="360"/>
            <w:jc w:val="center"/>
            <w:rPr/>
          </w:pPr>
          <w:r>
            <w:rPr/>
            <w:drawing>
              <wp:inline distT="0" distB="0" distL="0" distR="0">
                <wp:extent cx="5709285" cy="3726815"/>
                <wp:effectExtent l="0" t="0" r="0" b="0"/>
                <wp:docPr id="3" name="Εικόνα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
                        <pic:cNvPicPr>
                          <a:picLocks noChangeAspect="1" noChangeArrowheads="1"/>
                        </pic:cNvPicPr>
                      </pic:nvPicPr>
                      <pic:blipFill>
                        <a:blip r:embed="rId8"/>
                        <a:stretch>
                          <a:fillRect/>
                        </a:stretch>
                      </pic:blipFill>
                      <pic:spPr bwMode="auto">
                        <a:xfrm>
                          <a:off x="0" y="0"/>
                          <a:ext cx="5709285" cy="3726815"/>
                        </a:xfrm>
                        <a:prstGeom prst="rect">
                          <a:avLst/>
                        </a:prstGeom>
                      </pic:spPr>
                    </pic:pic>
                  </a:graphicData>
                </a:graphic>
              </wp:inline>
            </w:drawing>
          </w:r>
        </w:p>
        <w:p>
          <w:pPr>
            <w:pStyle w:val="Caption1"/>
            <w:jc w:val="left"/>
            <w:rPr/>
          </w:pPr>
          <w:r>
            <w:rPr>
              <w:lang w:val="en-US"/>
            </w:rPr>
            <w:t xml:space="preserve">Figure </w:t>
          </w:r>
          <w:r>
            <w:rPr>
              <w:lang w:val="en-US"/>
            </w:rPr>
            <w:fldChar w:fldCharType="begin"/>
          </w:r>
          <w:r>
            <w:instrText> SEQ Figure \* ARABIC </w:instrText>
          </w:r>
          <w:r>
            <w:fldChar w:fldCharType="separate"/>
          </w:r>
          <w:r>
            <w:t>2</w:t>
          </w:r>
          <w:r>
            <w:fldChar w:fldCharType="end"/>
          </w:r>
          <w:r>
            <w:rPr>
              <w:lang w:val="en-US"/>
            </w:rPr>
            <w:t xml:space="preserve"> Porter's Diamond</w:t>
          </w:r>
        </w:p>
        <w:p>
          <w:pPr>
            <w:pStyle w:val="Normal"/>
            <w:spacing w:lineRule="auto" w:line="360"/>
            <w:rPr/>
          </w:pPr>
          <w:r>
            <w:rPr>
              <w:rFonts w:eastAsia="Calibri" w:cs="Times New Roman"/>
              <w:lang w:val="en-US"/>
            </w:rPr>
            <w:t xml:space="preserve">Factor conditions, most notably education, labor force, infrastructure and research institutions are about creating a match between the factor endowments of the country, or region and the needs of the industry. These factors should be specialized to the relevant industry, be of high quality but the critical point is to deploy them productively </w:t>
          </w:r>
          <w:r>
            <w:fldChar w:fldCharType="begin"/>
          </w:r>
          <w:r>
            <w:instrText>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65" w:name="__Fieldmark__932_783673585"/>
          <w:r>
            <w:rPr>
              <w:rFonts w:eastAsia="Calibri" w:cs="Times New Roman"/>
              <w:lang w:val="en-US"/>
            </w:rPr>
            <w:t>(</w:t>
          </w:r>
          <w:bookmarkStart w:id="66" w:name="__Fieldmark__1284_427358540"/>
          <w:r>
            <w:rPr>
              <w:rFonts w:eastAsia="Calibri" w:cs="Times New Roman"/>
              <w:lang w:val="en-US"/>
            </w:rPr>
            <w:t>Michael E. Porter, 1990)</w:t>
          </w:r>
          <w:r>
            <w:rPr>
              <w:rFonts w:eastAsia="Calibri" w:cs="Times New Roman"/>
              <w:lang w:val="en-US"/>
            </w:rPr>
          </w:r>
          <w:r>
            <w:fldChar w:fldCharType="end"/>
          </w:r>
          <w:bookmarkEnd w:id="65"/>
          <w:bookmarkEnd w:id="66"/>
          <w:r>
            <w:rPr>
              <w:rFonts w:eastAsia="Calibri" w:cs="Times New Roman"/>
              <w:lang w:val="en-US"/>
            </w:rPr>
            <w:t xml:space="preserve">.According to Porter (1990), the efficiency and effectiveness in the use of factor conditions is not correlated with just the mere access to them. </w:t>
          </w:r>
        </w:p>
        <w:p>
          <w:pPr>
            <w:pStyle w:val="Normal"/>
            <w:spacing w:lineRule="auto" w:line="360"/>
            <w:rPr/>
          </w:pPr>
          <w:r>
            <w:rPr>
              <w:rFonts w:eastAsia="Calibri" w:cs="Times New Roman"/>
              <w:lang w:val="en-US"/>
            </w:rPr>
            <w:t>Demand conditions in the home market are important in the quest of gaining and sustaining the competitive advantage.</w:t>
          </w:r>
          <w:r>
            <w:rPr>
              <w:rFonts w:eastAsia="Calibri" w:cs="Times New Roman" w:ascii="Calibri" w:hAnsi="Calibri"/>
              <w:lang w:val="en-US"/>
            </w:rPr>
            <w:t xml:space="preserve"> </w:t>
          </w:r>
          <w:r>
            <w:rPr>
              <w:rFonts w:eastAsia="Calibri" w:cs="Times New Roman"/>
              <w:lang w:val="en-US"/>
            </w:rPr>
            <w:t>A large domestic market is naturally positive for business, as the company has a great potential to compete nationally</w:t>
          </w:r>
          <w:r>
            <w:fldChar w:fldCharType="begin"/>
          </w:r>
          <w:r>
            <w:instrText>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67" w:name="__Fieldmark__943_783673585"/>
          <w:r>
            <w:rPr>
              <w:rFonts w:eastAsia="Calibri" w:cs="Times New Roman"/>
              <w:lang w:val="en-US"/>
            </w:rPr>
            <w:t>(</w:t>
          </w:r>
          <w:bookmarkStart w:id="68" w:name="__Fieldmark__1298_427358540"/>
          <w:r>
            <w:rPr>
              <w:rFonts w:eastAsia="Calibri" w:cs="Times New Roman"/>
              <w:lang w:val="en-US"/>
            </w:rPr>
            <w:t>Michael E. Porter, 1990)</w:t>
          </w:r>
          <w:r>
            <w:rPr>
              <w:rFonts w:eastAsia="Calibri" w:cs="Times New Roman"/>
              <w:lang w:val="en-US"/>
            </w:rPr>
          </w:r>
          <w:r>
            <w:fldChar w:fldCharType="end"/>
          </w:r>
          <w:bookmarkEnd w:id="67"/>
          <w:bookmarkEnd w:id="68"/>
          <w:r>
            <w:rPr>
              <w:rFonts w:eastAsia="Calibri" w:cs="Times New Roman"/>
              <w:lang w:val="en-US"/>
            </w:rPr>
            <w:t>. However, what is more significant than market size is the nature of domestic demand. In Porter’s opinion, sophisticated clients will force companies to become more equipped to satisfy their needs. Also, each producer wants to serve a geographically extensive market from a single location as low transactional cost occur regarding to transportation and communication</w:t>
          </w:r>
          <w:r>
            <w:fldChar w:fldCharType="begin"/>
          </w:r>
          <w:r>
            <w:instrText>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69" w:name="__Fieldmark__950_783673585"/>
          <w:r>
            <w:rPr>
              <w:rFonts w:eastAsia="Calibri" w:cs="Times New Roman"/>
              <w:lang w:val="en-US"/>
            </w:rPr>
            <w:t>(</w:t>
          </w:r>
          <w:bookmarkStart w:id="70" w:name="__Fieldmark__1305_427358540"/>
          <w:r>
            <w:rPr>
              <w:rFonts w:eastAsia="Calibri" w:cs="Times New Roman"/>
              <w:lang w:val="en-US"/>
            </w:rPr>
            <w:t>Michael E. Porter, 1990)</w:t>
          </w:r>
          <w:r>
            <w:rPr>
              <w:rFonts w:eastAsia="Calibri" w:cs="Times New Roman"/>
              <w:lang w:val="en-US"/>
            </w:rPr>
          </w:r>
          <w:r>
            <w:fldChar w:fldCharType="end"/>
          </w:r>
          <w:bookmarkEnd w:id="69"/>
          <w:bookmarkEnd w:id="70"/>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The existence of nearby related and supporting industries eases the coordination of technology and labor</w:t>
          </w:r>
          <w:r>
            <w:fldChar w:fldCharType="begin"/>
          </w:r>
          <w:r>
            <w:instrText>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71" w:name="__Fieldmark__959_783673585"/>
          <w:r>
            <w:rPr>
              <w:rFonts w:eastAsia="Calibri" w:cs="Times New Roman"/>
              <w:lang w:val="en-US"/>
            </w:rPr>
            <w:t>(</w:t>
          </w:r>
          <w:bookmarkStart w:id="72" w:name="__Fieldmark__1313_427358540"/>
          <w:r>
            <w:rPr>
              <w:rFonts w:eastAsia="Calibri" w:cs="Times New Roman"/>
              <w:lang w:val="en-US"/>
            </w:rPr>
            <w:t>Michael E. Porter, 1990)</w:t>
          </w:r>
          <w:r>
            <w:rPr>
              <w:rFonts w:eastAsia="Calibri" w:cs="Times New Roman"/>
              <w:lang w:val="en-US"/>
            </w:rPr>
          </w:r>
          <w:r>
            <w:fldChar w:fldCharType="end"/>
          </w:r>
          <w:bookmarkEnd w:id="71"/>
          <w:bookmarkEnd w:id="72"/>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 xml:space="preserve">In Silicon Valley, for example, the workforce is extremely mobile and knowledge flows relatively freely between competing firms </w:t>
          </w:r>
          <w:r>
            <w:fldChar w:fldCharType="begin"/>
          </w:r>
          <w:r>
            <w:instrText>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73" w:name="__Fieldmark__968_783673585"/>
          <w:r>
            <w:rPr>
              <w:rFonts w:eastAsia="Calibri" w:cs="Times New Roman"/>
              <w:lang w:val="en-US"/>
            </w:rPr>
            <w:t>(</w:t>
          </w:r>
          <w:bookmarkStart w:id="74" w:name="__Fieldmark__1320_427358540"/>
          <w:r>
            <w:rPr>
              <w:rFonts w:eastAsia="Calibri" w:cs="Times New Roman"/>
              <w:lang w:val="en-US"/>
            </w:rPr>
            <w:t>M E Porter, 1998)</w:t>
          </w:r>
          <w:r>
            <w:rPr>
              <w:rFonts w:eastAsia="Calibri" w:cs="Times New Roman"/>
              <w:lang w:val="en-US"/>
            </w:rPr>
          </w:r>
          <w:r>
            <w:fldChar w:fldCharType="end"/>
          </w:r>
          <w:bookmarkEnd w:id="73"/>
          <w:bookmarkEnd w:id="74"/>
          <w:r>
            <w:rPr>
              <w:rFonts w:eastAsia="Calibri" w:cs="Times New Roman"/>
              <w:lang w:val="en-US"/>
            </w:rPr>
            <w:t xml:space="preserve"> facilitating the use of high-quality cost-effective inputs at the lowest possible transaction costs</w:t>
          </w:r>
          <w:commentRangeStart w:id="3"/>
          <w:r>
            <w:rPr>
              <w:rFonts w:eastAsia="Calibri" w:cs="Times New Roman"/>
              <w:lang w:val="en-US"/>
            </w:rPr>
            <w:t xml:space="preserve">. Geographical proximity to one’s suppliers also makes close relationships and joint product development easier, especially in technologically advanced processes </w:t>
          </w:r>
          <w:r>
            <w:fldChar w:fldCharType="begin"/>
          </w:r>
          <w:r>
            <w:instrText>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75" w:name="__Fieldmark__977_783673585"/>
          <w:r>
            <w:rPr>
              <w:rFonts w:eastAsia="Calibri" w:cs="Times New Roman"/>
              <w:lang w:val="en-US"/>
            </w:rPr>
            <w:t>(</w:t>
          </w:r>
          <w:bookmarkStart w:id="76" w:name="__Fieldmark__1332_427358540"/>
          <w:r>
            <w:rPr>
              <w:rFonts w:eastAsia="Calibri" w:cs="Times New Roman"/>
              <w:lang w:val="en-US"/>
            </w:rPr>
            <w:t>Michael E. Porter, 1990)</w:t>
          </w:r>
          <w:r>
            <w:rPr>
              <w:rFonts w:eastAsia="Calibri" w:cs="Times New Roman"/>
              <w:lang w:val="en-US"/>
            </w:rPr>
          </w:r>
          <w:r>
            <w:fldChar w:fldCharType="end"/>
          </w:r>
          <w:bookmarkEnd w:id="75"/>
          <w:bookmarkEnd w:id="76"/>
          <w:r>
            <w:rPr>
              <w:rFonts w:eastAsia="Calibri" w:cs="Times New Roman"/>
              <w:lang w:val="en-US"/>
            </w:rPr>
            <w:t>.</w:t>
          </w:r>
          <w:commentRangeEnd w:id="3"/>
          <w:r>
            <w:commentReference w:id="3"/>
          </w:r>
          <w:r>
            <w:rPr>
              <w:rFonts w:eastAsia="Calibri" w:cs="Times New Roman"/>
              <w:lang w:val="en-US"/>
            </w:rPr>
          </w:r>
        </w:p>
        <w:p>
          <w:pPr>
            <w:pStyle w:val="Normal"/>
            <w:spacing w:lineRule="auto" w:line="360"/>
            <w:rPr>
              <w:rFonts w:ascii="Times New Roman" w:hAnsi="Times New Roman" w:eastAsia="Calibri" w:cs="Times New Roman"/>
              <w:lang w:val="en-US"/>
            </w:rPr>
          </w:pPr>
          <w:r>
            <w:rPr>
              <w:rFonts w:eastAsia="Calibri" w:cs="Times New Roman"/>
              <w:lang w:val="en-US"/>
            </w:rPr>
            <w:t xml:space="preserve">The firm’s strategy, structure and rivalry are influenced by the flexible environment of the firm. It is a direct competition that forces firms to produce innovations and increase their productivity developing superior technologies, products and management practices to survive </w:t>
          </w:r>
          <w:r>
            <w:fldChar w:fldCharType="begin"/>
          </w:r>
          <w:r>
            <w:instrText>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77" w:name="__Fieldmark__987_783673585"/>
          <w:r>
            <w:rPr>
              <w:rFonts w:eastAsia="Calibri" w:cs="Times New Roman"/>
              <w:lang w:val="en-US"/>
            </w:rPr>
            <w:t>(</w:t>
          </w:r>
          <w:bookmarkStart w:id="78" w:name="__Fieldmark__1346_427358540"/>
          <w:r>
            <w:rPr>
              <w:rFonts w:eastAsia="Calibri" w:cs="Times New Roman"/>
              <w:lang w:val="en-US"/>
            </w:rPr>
            <w:t>Michael E. Porter, 1990)</w:t>
          </w:r>
          <w:r>
            <w:rPr>
              <w:rFonts w:eastAsia="Calibri" w:cs="Times New Roman"/>
              <w:lang w:val="en-US"/>
            </w:rPr>
          </w:r>
          <w:r>
            <w:fldChar w:fldCharType="end"/>
          </w:r>
          <w:bookmarkEnd w:id="77"/>
          <w:bookmarkEnd w:id="78"/>
          <w:r>
            <w:rPr>
              <w:rFonts w:eastAsia="Calibri" w:cs="Times New Roman"/>
              <w:lang w:val="en-US"/>
            </w:rPr>
            <w:t xml:space="preserve">. </w:t>
          </w:r>
          <w:commentRangeStart w:id="4"/>
          <w:r>
            <w:rPr>
              <w:rFonts w:eastAsia="Calibri" w:cs="Times New Roman"/>
              <w:lang w:val="en-US"/>
            </w:rPr>
            <w:t xml:space="preserve">A company which is forced to innovate and stay competitive is more likely to succeed also internationally. </w:t>
          </w:r>
          <w:commentRangeEnd w:id="4"/>
          <w:r>
            <w:commentReference w:id="4"/>
          </w:r>
          <w:r>
            <w:rPr>
              <w:rFonts w:eastAsia="Calibri" w:cs="Times New Roman"/>
              <w:lang w:val="en-US"/>
            </w:rPr>
          </w:r>
        </w:p>
        <w:p>
          <w:pPr>
            <w:pStyle w:val="Normal"/>
            <w:spacing w:lineRule="auto" w:line="360"/>
            <w:rPr/>
          </w:pPr>
          <w:r>
            <w:rPr>
              <w:rFonts w:eastAsia="Calibri" w:cs="Times New Roman"/>
              <w:lang w:val="en-US"/>
            </w:rPr>
            <w:t xml:space="preserve">Clearly, the government can influence the supply conditions of key production factors, demand conditions in the home market, and competition between firms by establishing product standards or regulations that can influence buyer’s needs </w:t>
          </w:r>
          <w:r>
            <w:fldChar w:fldCharType="begin"/>
          </w:r>
          <w:r>
            <w:instrText>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79" w:name="__Fieldmark__999_783673585"/>
          <w:r>
            <w:rPr>
              <w:rFonts w:eastAsia="Calibri" w:cs="Times New Roman"/>
              <w:lang w:val="en-US"/>
            </w:rPr>
            <w:t>(</w:t>
          </w:r>
          <w:bookmarkStart w:id="80" w:name="__Fieldmark__1360_427358540"/>
          <w:r>
            <w:rPr>
              <w:rFonts w:eastAsia="Calibri" w:cs="Times New Roman"/>
              <w:lang w:val="en-US"/>
            </w:rPr>
            <w:t>Michael E. Porter, 1990)</w:t>
          </w:r>
          <w:r>
            <w:rPr>
              <w:rFonts w:eastAsia="Calibri" w:cs="Times New Roman"/>
              <w:lang w:val="en-US"/>
            </w:rPr>
          </w:r>
          <w:r>
            <w:fldChar w:fldCharType="end"/>
          </w:r>
          <w:bookmarkEnd w:id="79"/>
          <w:bookmarkEnd w:id="80"/>
          <w:r>
            <w:rPr>
              <w:rFonts w:eastAsia="Calibri" w:cs="Times New Roman"/>
              <w:lang w:val="en-US"/>
            </w:rPr>
            <w:t xml:space="preserve">. On the other hand, chance events are occurrences that are outside of the control of a firm being important because they create discontinuities in which some gain competitive positions and some lose </w:t>
          </w:r>
          <w:r>
            <w:fldChar w:fldCharType="begin"/>
          </w:r>
          <w:r>
            <w:instrText>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81" w:name="__Fieldmark__1006_783673585"/>
          <w:r>
            <w:rPr>
              <w:rFonts w:eastAsia="Calibri" w:cs="Times New Roman"/>
              <w:lang w:val="en-US"/>
            </w:rPr>
            <w:t>(</w:t>
          </w:r>
          <w:bookmarkStart w:id="82" w:name="__Fieldmark__1372_427358540"/>
          <w:r>
            <w:rPr>
              <w:rFonts w:eastAsia="Calibri" w:cs="Times New Roman"/>
              <w:lang w:val="en-US"/>
            </w:rPr>
            <w:t>Michael E. Porter, 1990)</w:t>
          </w:r>
          <w:r>
            <w:rPr>
              <w:rFonts w:eastAsia="Calibri" w:cs="Times New Roman"/>
              <w:lang w:val="en-US"/>
            </w:rPr>
          </w:r>
          <w:r>
            <w:fldChar w:fldCharType="end"/>
          </w:r>
          <w:bookmarkEnd w:id="81"/>
          <w:bookmarkEnd w:id="82"/>
          <w:r>
            <w:rPr>
              <w:rFonts w:eastAsia="Calibri" w:cs="Times New Roman"/>
              <w:lang w:val="en-US"/>
            </w:rPr>
            <w:t>.</w:t>
          </w:r>
        </w:p>
        <w:p>
          <w:pPr>
            <w:pStyle w:val="Normal"/>
            <w:spacing w:lineRule="auto" w:line="360"/>
            <w:rPr>
              <w:rFonts w:ascii="Times New Roman" w:hAnsi="Times New Roman" w:eastAsia="Calibri" w:cs="Times New Roman"/>
              <w:lang w:val="en-US"/>
            </w:rPr>
          </w:pPr>
          <w:commentRangeStart w:id="5"/>
          <w:r>
            <w:rPr>
              <w:rFonts w:eastAsia="Calibri" w:cs="Times New Roman"/>
              <w:lang w:val="en-US"/>
            </w:rPr>
            <w:t>The diamond should be viewed as a system, where the performance on one factor influences the performance of others and the cumulative potential of the cluster. The various factors have different relative significance in different industries, but the main case is still that all factors need to be at a high level in order for the cluster as a system to be at a high level, as the factors reinforce each other.</w:t>
          </w:r>
          <w:commentRangeEnd w:id="5"/>
          <w:r>
            <w:commentReference w:id="5"/>
          </w:r>
          <w:r>
            <w:rPr>
              <w:rFonts w:eastAsia="Calibri" w:cs="Times New Roman"/>
              <w:lang w:val="en-US"/>
            </w:rPr>
          </w:r>
        </w:p>
        <w:p>
          <w:pPr>
            <w:pStyle w:val="Normal"/>
            <w:spacing w:lineRule="auto" w:line="360"/>
            <w:rPr/>
          </w:pPr>
          <w:r>
            <w:rPr>
              <w:rFonts w:eastAsia="Calibri" w:cs="Times New Roman"/>
              <w:lang w:val="en-US"/>
            </w:rPr>
            <w:t xml:space="preserve">Although the model was developed to analyze the competitive advantage over nations, it focuses on the local clustering of industries within those nations compete and concludes that competitors in many internationally successful industries, and often entire clusters of industries, are often located in a single town or region within a nation </w:t>
          </w:r>
          <w:r>
            <w:fldChar w:fldCharType="begin"/>
          </w:r>
          <w:r>
            <w:instrText>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83" w:name="__Fieldmark__1019_783673585"/>
          <w:r>
            <w:rPr>
              <w:rFonts w:eastAsia="Calibri" w:cs="Times New Roman"/>
              <w:lang w:val="en-US"/>
            </w:rPr>
            <w:t>(</w:t>
          </w:r>
          <w:bookmarkStart w:id="84" w:name="__Fieldmark__1388_427358540"/>
          <w:r>
            <w:rPr>
              <w:rFonts w:eastAsia="Calibri" w:cs="Times New Roman"/>
              <w:lang w:val="en-US"/>
            </w:rPr>
            <w:t>Michael E. Porter, 1990)</w:t>
          </w:r>
          <w:r>
            <w:rPr>
              <w:rFonts w:eastAsia="Calibri" w:cs="Times New Roman"/>
              <w:lang w:val="en-US"/>
            </w:rPr>
          </w:r>
          <w:r>
            <w:fldChar w:fldCharType="end"/>
          </w:r>
          <w:bookmarkEnd w:id="83"/>
          <w:bookmarkEnd w:id="84"/>
          <w:r>
            <w:rPr>
              <w:rFonts w:eastAsia="Calibri" w:cs="Times New Roman"/>
              <w:lang w:val="en-US"/>
            </w:rPr>
            <w:t xml:space="preserve">. Advantages throughout the diamond are necessary for achieving and sustaining competitive success in the knowledge intensive industries that form the back bone of advanced economies </w:t>
          </w:r>
          <w:r>
            <w:fldChar w:fldCharType="begin"/>
          </w:r>
          <w:r>
            <w:instrText>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w:instrText>
          </w:r>
          <w:r>
            <w:fldChar w:fldCharType="separate"/>
          </w:r>
          <w:bookmarkStart w:id="85" w:name="__Fieldmark__1026_783673585"/>
          <w:r>
            <w:rPr>
              <w:rFonts w:eastAsia="Calibri" w:cs="Times New Roman"/>
              <w:lang w:val="en-US"/>
            </w:rPr>
            <w:t>(</w:t>
          </w:r>
          <w:bookmarkStart w:id="86" w:name="__Fieldmark__1397_427358540"/>
          <w:r>
            <w:rPr>
              <w:rFonts w:eastAsia="Calibri" w:cs="Times New Roman"/>
              <w:lang w:val="en-US"/>
            </w:rPr>
            <w:t>Michael E. Porter, 1990, p. 73)</w:t>
          </w:r>
          <w:bookmarkEnd w:id="85"/>
          <w:bookmarkEnd w:id="86"/>
          <w:r>
            <w:rPr>
              <w:rFonts w:eastAsia="Calibri" w:cs="Times New Roman"/>
              <w:lang w:val="en-US"/>
            </w:rPr>
          </w:r>
          <w:r>
            <w:fldChar w:fldCharType="end"/>
          </w:r>
        </w:p>
        <w:p>
          <w:pPr>
            <w:pStyle w:val="Heading1"/>
            <w:rPr>
              <w:lang w:val="en-US"/>
            </w:rPr>
          </w:pPr>
          <w:bookmarkStart w:id="87" w:name="_Toc459977484"/>
          <w:bookmarkStart w:id="88" w:name="__RefHeading___Toc5754_427358540"/>
          <w:bookmarkEnd w:id="87"/>
          <w:bookmarkEnd w:id="88"/>
          <w:r>
            <w:rPr>
              <w:lang w:val="en-US"/>
            </w:rPr>
            <w:t>2.2 Innovation Systems</w:t>
          </w:r>
        </w:p>
        <w:p>
          <w:pPr>
            <w:pStyle w:val="Normal"/>
            <w:rPr>
              <w:b/>
              <w:b/>
              <w:lang w:val="en-US"/>
            </w:rPr>
          </w:pPr>
          <w:r>
            <w:rPr>
              <w:b/>
              <w:lang w:val="en-US"/>
            </w:rPr>
          </w:r>
        </w:p>
        <w:p>
          <w:pPr>
            <w:pStyle w:val="Normal"/>
            <w:rPr>
              <w:b/>
              <w:b/>
              <w:lang w:val="en-US"/>
            </w:rPr>
          </w:pPr>
          <w:r>
            <w:rPr>
              <w:b/>
              <w:lang w:val="en-US"/>
            </w:rPr>
            <w:t>2.2.1 Innovation</w:t>
          </w:r>
        </w:p>
        <w:p>
          <w:pPr>
            <w:pStyle w:val="Normal"/>
            <w:spacing w:lineRule="auto" w:line="360"/>
            <w:rPr/>
          </w:pPr>
          <w:r>
            <w:rPr>
              <w:lang w:val="en-US"/>
            </w:rPr>
            <w:t xml:space="preserve">Innovation is attracting the attention of economists as a mean of gaining and sustaining the competitive advantage for companies and organizations </w:t>
          </w:r>
          <w:r>
            <w:fldChar w:fldCharType="begin"/>
          </w:r>
          <w:r>
            <w:instrText>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89" w:name="__Fieldmark__1042_783673585"/>
          <w:r>
            <w:rPr>
              <w:lang w:val="en-US"/>
            </w:rPr>
          </w:r>
          <w:r>
            <w:rPr>
              <w:rFonts w:cs="Times New Roman"/>
              <w:lang w:val="en-US"/>
            </w:rPr>
            <w:t>(</w:t>
          </w:r>
          <w:bookmarkStart w:id="90" w:name="__Fieldmark__1409_427358540"/>
          <w:r>
            <w:rPr>
              <w:rFonts w:cs="Times New Roman"/>
              <w:lang w:val="en-US"/>
            </w:rPr>
            <w:t>Michael E. Porter, 1990)</w:t>
          </w:r>
          <w:r>
            <w:rPr>
              <w:lang w:val="en-US"/>
            </w:rPr>
          </w:r>
          <w:r>
            <w:fldChar w:fldCharType="end"/>
          </w:r>
          <w:bookmarkEnd w:id="89"/>
          <w:bookmarkEnd w:id="90"/>
          <w:r>
            <w:rPr>
              <w:lang w:val="en-US"/>
            </w:rPr>
            <w:t xml:space="preserve">. Innovation and entrepreneurship have become the buzzword of the decade with both individuals and societies to realize that innovation can create value and prosperity </w:t>
          </w:r>
          <w:r>
            <w:fldChar w:fldCharType="begin"/>
          </w:r>
          <w:r>
            <w:instrText>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w:instrText>
          </w:r>
          <w:r>
            <w:fldChar w:fldCharType="separate"/>
          </w:r>
          <w:bookmarkStart w:id="91" w:name="__Fieldmark__1049_783673585"/>
          <w:r>
            <w:rPr>
              <w:lang w:val="en-US"/>
            </w:rPr>
          </w:r>
          <w:r>
            <w:rPr>
              <w:rFonts w:cs="Times New Roman"/>
              <w:lang w:val="en-US"/>
            </w:rPr>
            <w:t>(</w:t>
          </w:r>
          <w:bookmarkStart w:id="92" w:name="__Fieldmark__1419_427358540"/>
          <w:r>
            <w:rPr>
              <w:rFonts w:cs="Times New Roman"/>
              <w:lang w:val="en-US"/>
            </w:rPr>
            <w:t>P. Drucker, 2014; Engel, 2014)</w:t>
          </w:r>
          <w:r>
            <w:rPr>
              <w:lang w:val="en-US"/>
            </w:rPr>
          </w:r>
          <w:r>
            <w:fldChar w:fldCharType="end"/>
          </w:r>
          <w:bookmarkEnd w:id="91"/>
          <w:bookmarkEnd w:id="92"/>
          <w:r>
            <w:rPr>
              <w:lang w:val="en-US"/>
            </w:rPr>
            <w:t xml:space="preserve">. Already in 1934, Schumpeter explained innovation as a principal driver for long-term economic growth and defines that innovation includes new products, new methods of production, new sources of supply, exploitation of new markets and new ways to organize businesses, as a process that in general needs change </w:t>
          </w:r>
          <w:r>
            <w:fldChar w:fldCharType="begin"/>
          </w:r>
          <w:r>
            <w:instrText>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w:instrText>
          </w:r>
          <w:r>
            <w:fldChar w:fldCharType="separate"/>
          </w:r>
          <w:bookmarkStart w:id="93" w:name="__Fieldmark__1056_783673585"/>
          <w:r>
            <w:rPr>
              <w:lang w:val="en-US"/>
            </w:rPr>
          </w:r>
          <w:r>
            <w:rPr>
              <w:rFonts w:cs="Times New Roman"/>
              <w:lang w:val="en-US"/>
            </w:rPr>
            <w:t>(</w:t>
          </w:r>
          <w:bookmarkStart w:id="94" w:name="__Fieldmark__1428_427358540"/>
          <w:r>
            <w:rPr>
              <w:rFonts w:cs="Times New Roman"/>
              <w:lang w:val="en-US"/>
            </w:rPr>
            <w:t>Schumpeter, 1934)</w:t>
          </w:r>
          <w:r>
            <w:rPr>
              <w:lang w:val="en-US"/>
            </w:rPr>
          </w:r>
          <w:r>
            <w:fldChar w:fldCharType="end"/>
          </w:r>
          <w:bookmarkEnd w:id="93"/>
          <w:bookmarkEnd w:id="94"/>
          <w:r>
            <w:rPr>
              <w:lang w:val="en-US"/>
            </w:rPr>
            <w:t xml:space="preserve">. </w:t>
          </w:r>
        </w:p>
        <w:p>
          <w:pPr>
            <w:pStyle w:val="Normal"/>
            <w:spacing w:lineRule="auto" w:line="360"/>
            <w:rPr>
              <w:lang w:val="en-US"/>
            </w:rPr>
          </w:pPr>
          <w:commentRangeStart w:id="6"/>
          <w:r>
            <w:rPr>
              <w:lang w:val="en-US"/>
            </w:rPr>
            <w:t xml:space="preserve">There is a fundamental shift in how companies generate new ideas and bring them to market  as they are becoming more open to their environment and innovation can move inside out of the boundaries of the firm </w:t>
          </w:r>
          <w:r>
            <w:fldChar w:fldCharType="begin"/>
          </w:r>
          <w:r>
            <w:instrText>ADDIN ZOTERO_ITEM CSL_CITATION {"citationID":"e9sjakm69","properties":{"formattedCitation":"(Chesbrough,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w:instrText>
          </w:r>
          <w:r>
            <w:fldChar w:fldCharType="separate"/>
          </w:r>
          <w:bookmarkStart w:id="95" w:name="__Fieldmark__1066_783673585"/>
          <w:r>
            <w:rPr>
              <w:lang w:val="en-US"/>
            </w:rPr>
          </w:r>
          <w:r>
            <w:rPr>
              <w:rFonts w:cs="Times New Roman"/>
              <w:lang w:val="en-US"/>
            </w:rPr>
            <w:t>(</w:t>
          </w:r>
          <w:bookmarkStart w:id="96" w:name="__Fieldmark__1440_427358540"/>
          <w:r>
            <w:rPr>
              <w:rFonts w:cs="Times New Roman"/>
              <w:lang w:val="en-US"/>
            </w:rPr>
            <w:t>Chesbrough, 2003)</w:t>
          </w:r>
          <w:r>
            <w:rPr>
              <w:lang w:val="en-US"/>
            </w:rPr>
          </w:r>
          <w:r>
            <w:fldChar w:fldCharType="end"/>
          </w:r>
          <w:bookmarkEnd w:id="95"/>
          <w:bookmarkEnd w:id="96"/>
          <w:r>
            <w:rPr>
              <w:lang w:val="en-US"/>
            </w:rPr>
            <w:t xml:space="preserve">. The open innovation model depends on the knowledge and the belief that ideas must be used with an alacrity not to be wasted </w:t>
          </w:r>
          <w:r>
            <w:fldChar w:fldCharType="begin"/>
          </w:r>
          <w:r>
            <w:instrText>ADDIN ZOTERO_ITEM CSL_CITATION {"citationID":"2jr62iija6","properties":{"formattedCitation":"(Chesbrough,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w:instrText>
          </w:r>
          <w:r>
            <w:fldChar w:fldCharType="separate"/>
          </w:r>
          <w:bookmarkStart w:id="97" w:name="__Fieldmark__1073_783673585"/>
          <w:r>
            <w:rPr>
              <w:lang w:val="en-US"/>
            </w:rPr>
          </w:r>
          <w:r>
            <w:rPr>
              <w:rFonts w:cs="Times New Roman"/>
              <w:lang w:val="en-US"/>
            </w:rPr>
            <w:t>(</w:t>
          </w:r>
          <w:bookmarkStart w:id="98" w:name="__Fieldmark__1450_427358540"/>
          <w:r>
            <w:rPr>
              <w:rFonts w:cs="Times New Roman"/>
              <w:lang w:val="en-US"/>
            </w:rPr>
            <w:t>Chesbrough, 2003)</w:t>
          </w:r>
          <w:r>
            <w:rPr>
              <w:lang w:val="en-US"/>
            </w:rPr>
          </w:r>
          <w:r>
            <w:fldChar w:fldCharType="end"/>
          </w:r>
          <w:bookmarkEnd w:id="97"/>
          <w:bookmarkEnd w:id="98"/>
          <w:r>
            <w:rPr>
              <w:lang w:val="en-US"/>
            </w:rPr>
            <w:t xml:space="preserve">. </w:t>
          </w:r>
          <w:commentRangeEnd w:id="6"/>
          <w:r>
            <w:commentReference w:id="6"/>
          </w:r>
          <w:r>
            <w:rPr>
              <w:lang w:val="en-US"/>
            </w:rPr>
          </w:r>
        </w:p>
        <w:p>
          <w:pPr>
            <w:pStyle w:val="Normal"/>
            <w:spacing w:lineRule="auto" w:line="360"/>
            <w:rPr/>
          </w:pPr>
          <w:r>
            <w:rPr>
              <w:lang w:val="en-US"/>
            </w:rPr>
            <w:t>Despite the fact, that is connected to the invention and an invention needs innovation to occur, the invention is the process of creating something new that never existed before</w:t>
          </w:r>
          <w:r>
            <w:fldChar w:fldCharType="begin"/>
          </w:r>
          <w:r>
            <w:instrText>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w:instrText>
          </w:r>
          <w:r>
            <w:fldChar w:fldCharType="separate"/>
          </w:r>
          <w:bookmarkStart w:id="99" w:name="__Fieldmark__1083_783673585"/>
          <w:r>
            <w:rPr>
              <w:lang w:val="en-US"/>
            </w:rPr>
          </w:r>
          <w:r>
            <w:rPr>
              <w:rFonts w:cs="Times New Roman"/>
              <w:szCs w:val="24"/>
              <w:lang w:val="en-US"/>
            </w:rPr>
            <w:t>(</w:t>
          </w:r>
          <w:bookmarkStart w:id="100" w:name="__Fieldmark__1470_427358540"/>
          <w:r>
            <w:rPr>
              <w:rFonts w:cs="Times New Roman"/>
              <w:szCs w:val="24"/>
              <w:lang w:val="en-US"/>
            </w:rPr>
            <w:t>O’Sullivan &amp; Dooley, 2008)</w:t>
          </w:r>
          <w:r>
            <w:rPr>
              <w:lang w:val="en-US"/>
            </w:rPr>
          </w:r>
          <w:r>
            <w:fldChar w:fldCharType="end"/>
          </w:r>
          <w:bookmarkEnd w:id="99"/>
          <w:bookmarkEnd w:id="100"/>
          <w:r>
            <w:rPr>
              <w:lang w:val="en-US"/>
            </w:rPr>
            <w:t xml:space="preserve">. Invention by itself is not an innovation </w:t>
          </w:r>
          <w:r>
            <w:fldChar w:fldCharType="begin"/>
          </w:r>
          <w:r>
            <w:instrText>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w:instrText>
          </w:r>
          <w:r>
            <w:fldChar w:fldCharType="separate"/>
          </w:r>
          <w:bookmarkStart w:id="101" w:name="__Fieldmark__1090_783673585"/>
          <w:r>
            <w:rPr>
              <w:lang w:val="en-US"/>
            </w:rPr>
          </w:r>
          <w:r>
            <w:rPr>
              <w:rFonts w:cs="Times New Roman"/>
              <w:lang w:val="en-US"/>
            </w:rPr>
            <w:t>(</w:t>
          </w:r>
          <w:bookmarkStart w:id="102" w:name="__Fieldmark__1476_427358540"/>
          <w:r>
            <w:rPr>
              <w:rFonts w:cs="Times New Roman"/>
              <w:lang w:val="en-US"/>
            </w:rPr>
            <w:t>Freeman &amp; Engel, 2007)</w:t>
          </w:r>
          <w:r>
            <w:rPr>
              <w:lang w:val="en-US"/>
            </w:rPr>
          </w:r>
          <w:r>
            <w:fldChar w:fldCharType="end"/>
          </w:r>
          <w:bookmarkEnd w:id="101"/>
          <w:bookmarkEnd w:id="102"/>
          <w:r>
            <w:rPr>
              <w:lang w:val="en-US"/>
            </w:rPr>
            <w:t xml:space="preserve"> and innovations need not necessarily be any inventions at all</w:t>
          </w:r>
          <w:r>
            <w:fldChar w:fldCharType="begin"/>
          </w:r>
          <w:r>
            <w:instrText>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w:instrText>
          </w:r>
          <w:r>
            <w:fldChar w:fldCharType="separate"/>
          </w:r>
          <w:bookmarkStart w:id="103" w:name="__Fieldmark__1097_783673585"/>
          <w:r>
            <w:rPr>
              <w:lang w:val="en-US"/>
            </w:rPr>
          </w:r>
          <w:r>
            <w:rPr>
              <w:rFonts w:cs="Times New Roman"/>
              <w:lang w:val="en-US"/>
            </w:rPr>
            <w:t>(</w:t>
          </w:r>
          <w:bookmarkStart w:id="104" w:name="__Fieldmark__1482_427358540"/>
          <w:r>
            <w:rPr>
              <w:rFonts w:cs="Times New Roman"/>
              <w:lang w:val="en-US"/>
            </w:rPr>
            <w:t>Schumpeter, 1934)</w:t>
          </w:r>
          <w:r>
            <w:rPr>
              <w:lang w:val="en-US"/>
            </w:rPr>
          </w:r>
          <w:r>
            <w:fldChar w:fldCharType="end"/>
          </w:r>
          <w:bookmarkEnd w:id="103"/>
          <w:bookmarkEnd w:id="104"/>
          <w:r>
            <w:rPr>
              <w:lang w:val="en-US"/>
            </w:rPr>
            <w:t>. There are many other factors that derived from innovation and others that foster it. Not only the connection with economic development and growth</w:t>
          </w:r>
          <w:r>
            <w:fldChar w:fldCharType="begin"/>
          </w:r>
          <w:r>
            <w:instrText>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w:instrText>
          </w:r>
          <w:r>
            <w:fldChar w:fldCharType="separate"/>
          </w:r>
          <w:bookmarkStart w:id="105" w:name="__Fieldmark__1104_783673585"/>
          <w:r>
            <w:rPr>
              <w:lang w:val="en-US"/>
            </w:rPr>
          </w:r>
          <w:r>
            <w:rPr>
              <w:rFonts w:cs="Times New Roman"/>
              <w:lang w:val="en-US"/>
            </w:rPr>
            <w:t>(</w:t>
          </w:r>
          <w:bookmarkStart w:id="106" w:name="__Fieldmark__1487_427358540"/>
          <w:r>
            <w:rPr>
              <w:rFonts w:cs="Times New Roman"/>
              <w:lang w:val="en-US"/>
            </w:rPr>
            <w:t>P. F. Drucker &amp; others, 1988)</w:t>
          </w:r>
          <w:r>
            <w:rPr>
              <w:lang w:val="en-US"/>
            </w:rPr>
          </w:r>
          <w:r>
            <w:fldChar w:fldCharType="end"/>
          </w:r>
          <w:bookmarkEnd w:id="105"/>
          <w:bookmarkEnd w:id="106"/>
          <w:r>
            <w:rPr>
              <w:lang w:val="en-US"/>
            </w:rPr>
            <w:t xml:space="preserve"> but also with concepts such as creativity</w:t>
          </w:r>
          <w:r>
            <w:fldChar w:fldCharType="begin"/>
          </w:r>
          <w:r>
            <w:instrText>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w:instrText>
          </w:r>
          <w:r>
            <w:fldChar w:fldCharType="separate"/>
          </w:r>
          <w:bookmarkStart w:id="107" w:name="__Fieldmark__1111_783673585"/>
          <w:r>
            <w:rPr>
              <w:lang w:val="en-US"/>
            </w:rPr>
          </w:r>
          <w:r>
            <w:rPr>
              <w:rFonts w:cs="Times New Roman"/>
              <w:lang w:val="en-US"/>
            </w:rPr>
            <w:t>(</w:t>
          </w:r>
          <w:bookmarkStart w:id="108" w:name="__Fieldmark__1493_427358540"/>
          <w:r>
            <w:rPr>
              <w:rFonts w:cs="Times New Roman"/>
              <w:lang w:val="en-US"/>
            </w:rPr>
            <w:t>Heunks, 1998)</w:t>
          </w:r>
          <w:r>
            <w:rPr>
              <w:lang w:val="en-US"/>
            </w:rPr>
          </w:r>
          <w:r>
            <w:fldChar w:fldCharType="end"/>
          </w:r>
          <w:bookmarkEnd w:id="107"/>
          <w:bookmarkEnd w:id="108"/>
          <w:r>
            <w:rPr>
              <w:lang w:val="en-US"/>
            </w:rPr>
            <w:t xml:space="preserve"> , design as decision-making process by which information (an idea) is transformed into an outcome, be it tangible (product) or intangible (service)</w:t>
          </w:r>
          <w:r>
            <w:fldChar w:fldCharType="begin"/>
          </w:r>
          <w:r>
            <w:instrText>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w:instrText>
          </w:r>
          <w:r>
            <w:fldChar w:fldCharType="separate"/>
          </w:r>
          <w:bookmarkStart w:id="109" w:name="__Fieldmark__1118_783673585"/>
          <w:r>
            <w:rPr>
              <w:lang w:val="en-US"/>
            </w:rPr>
          </w:r>
          <w:r>
            <w:rPr>
              <w:rFonts w:cs="Times New Roman"/>
              <w:lang w:val="en-US"/>
            </w:rPr>
            <w:t>(</w:t>
          </w:r>
          <w:bookmarkStart w:id="110" w:name="__Fieldmark__1499_427358540"/>
          <w:r>
            <w:rPr>
              <w:rFonts w:cs="Times New Roman"/>
              <w:lang w:val="en-US"/>
            </w:rPr>
            <w:t>Stark, 2011, p. 17)</w:t>
          </w:r>
          <w:r>
            <w:rPr>
              <w:lang w:val="en-US"/>
            </w:rPr>
          </w:r>
          <w:r>
            <w:fldChar w:fldCharType="end"/>
          </w:r>
          <w:bookmarkEnd w:id="109"/>
          <w:bookmarkEnd w:id="110"/>
          <w:r>
            <w:rPr>
              <w:lang w:val="en-US"/>
            </w:rPr>
            <w:t xml:space="preserve">. </w:t>
          </w:r>
        </w:p>
        <w:p>
          <w:pPr>
            <w:pStyle w:val="Normal"/>
            <w:spacing w:lineRule="auto" w:line="360"/>
            <w:rPr>
              <w:lang w:val="en-US"/>
            </w:rPr>
          </w:pPr>
          <w:commentRangeStart w:id="7"/>
          <w:r>
            <w:rPr>
              <w:lang w:val="en-US"/>
            </w:rPr>
            <w:t>Geographical clustering does not automatically lead to improved performance</w:t>
          </w:r>
          <w:r>
            <w:fldChar w:fldCharType="begin"/>
          </w:r>
          <w:r>
            <w:instrText>ADDIN ZOTERO_ITEM CSL_CITATION {"citationID":"fqk6mn4jl","properties":{"formattedCitation":"(Tracey,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w:instrText>
          </w:r>
          <w:r>
            <w:fldChar w:fldCharType="separate"/>
          </w:r>
          <w:bookmarkStart w:id="111" w:name="__Fieldmark__1128_783673585"/>
          <w:r>
            <w:rPr>
              <w:lang w:val="en-US"/>
            </w:rPr>
          </w:r>
          <w:r>
            <w:rPr>
              <w:rFonts w:cs="Times New Roman"/>
              <w:lang w:val="en-US"/>
            </w:rPr>
            <w:t>(</w:t>
          </w:r>
          <w:bookmarkStart w:id="112" w:name="__Fieldmark__1507_427358540"/>
          <w:r>
            <w:rPr>
              <w:rFonts w:cs="Times New Roman"/>
              <w:lang w:val="en-US"/>
            </w:rPr>
            <w:t>Tracey, Heide, &amp; Bell, 2014)</w:t>
          </w:r>
          <w:r>
            <w:rPr>
              <w:lang w:val="en-US"/>
            </w:rPr>
          </w:r>
          <w:r>
            <w:fldChar w:fldCharType="end"/>
          </w:r>
          <w:bookmarkEnd w:id="111"/>
          <w:bookmarkEnd w:id="112"/>
          <w:r>
            <w:rPr>
              <w:lang w:val="en-US"/>
            </w:rPr>
            <w:t xml:space="preserve"> but the open innovation environment </w:t>
          </w:r>
          <w:r>
            <w:fldChar w:fldCharType="begin"/>
          </w:r>
          <w:r>
            <w:instrText>ADDIN ZOTERO_ITEM CSL_CITATION {"citationID":"2at8s32pe5","properties":{"formattedCitation":"(Chesbrough,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w:instrText>
          </w:r>
          <w:r>
            <w:fldChar w:fldCharType="separate"/>
          </w:r>
          <w:bookmarkStart w:id="113" w:name="__Fieldmark__1135_783673585"/>
          <w:r>
            <w:rPr>
              <w:lang w:val="en-US"/>
            </w:rPr>
          </w:r>
          <w:r>
            <w:rPr>
              <w:rFonts w:cs="Times New Roman"/>
              <w:lang w:val="en-US"/>
            </w:rPr>
            <w:t>(</w:t>
          </w:r>
          <w:bookmarkStart w:id="114" w:name="__Fieldmark__1512_427358540"/>
          <w:r>
            <w:rPr>
              <w:rFonts w:cs="Times New Roman"/>
              <w:lang w:val="en-US"/>
            </w:rPr>
            <w:t>Chesbrough, 2003)</w:t>
          </w:r>
          <w:r>
            <w:rPr>
              <w:lang w:val="en-US"/>
            </w:rPr>
          </w:r>
          <w:r>
            <w:fldChar w:fldCharType="end"/>
          </w:r>
          <w:bookmarkEnd w:id="113"/>
          <w:bookmarkEnd w:id="114"/>
          <w:r>
            <w:rPr>
              <w:lang w:val="en-US"/>
            </w:rPr>
            <w:t xml:space="preserve"> and the ‘Connect and develop’ principle </w:t>
          </w:r>
          <w:r>
            <w:fldChar w:fldCharType="begin"/>
          </w:r>
          <w:r>
            <w:instrText>ADDIN ZOTERO_ITEM CSL_CITATION {"citationID":"1au06tosri","properties":{"formattedCitation":"(Julia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w:instrText>
          </w:r>
          <w:r>
            <w:fldChar w:fldCharType="separate"/>
          </w:r>
          <w:bookmarkStart w:id="115" w:name="__Fieldmark__1142_783673585"/>
          <w:r>
            <w:rPr>
              <w:lang w:val="en-US"/>
            </w:rPr>
          </w:r>
          <w:r>
            <w:rPr>
              <w:rFonts w:cs="Times New Roman"/>
              <w:lang w:val="en-US"/>
            </w:rPr>
            <w:t>(</w:t>
          </w:r>
          <w:bookmarkStart w:id="116" w:name="__Fieldmark__1519_427358540"/>
          <w:r>
            <w:rPr>
              <w:rFonts w:cs="Times New Roman"/>
              <w:lang w:val="en-US"/>
            </w:rPr>
            <w:t>Julia Connell, Anton Kriz, &amp; Michael Thorpe, 2014)</w:t>
          </w:r>
          <w:r>
            <w:rPr>
              <w:lang w:val="en-US"/>
            </w:rPr>
          </w:r>
          <w:r>
            <w:fldChar w:fldCharType="end"/>
          </w:r>
          <w:bookmarkEnd w:id="115"/>
          <w:bookmarkEnd w:id="116"/>
          <w:r>
            <w:rPr>
              <w:lang w:val="en-US"/>
            </w:rPr>
            <w:t xml:space="preserve"> reinforces cluster advantages. Cluster participation offers many potential advantages in innovation and upgrading compared to an isolated location as firms in clusters can rapidly perceive new buyer needs, new technological, operating, or delivery possibilities</w:t>
          </w:r>
          <w:r>
            <w:fldChar w:fldCharType="begin"/>
          </w:r>
          <w:r>
            <w:instrText>ADDIN ZOTERO_ITEM CSL_CITATION {"citationID":"kgj91u1cc","properties":{"formattedCitation":"(Michael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w:instrText>
          </w:r>
          <w:r>
            <w:fldChar w:fldCharType="separate"/>
          </w:r>
          <w:bookmarkStart w:id="117" w:name="__Fieldmark__1149_783673585"/>
          <w:r>
            <w:rPr>
              <w:lang w:val="en-US"/>
            </w:rPr>
          </w:r>
          <w:r>
            <w:rPr>
              <w:rFonts w:cs="Times New Roman"/>
              <w:lang w:val="en-US"/>
            </w:rPr>
            <w:t>(</w:t>
          </w:r>
          <w:bookmarkStart w:id="118" w:name="__Fieldmark__1525_427358540"/>
          <w:r>
            <w:rPr>
              <w:rFonts w:cs="Times New Roman"/>
              <w:lang w:val="en-US"/>
            </w:rPr>
            <w:t>Michael E. Porter, 2000)</w:t>
          </w:r>
          <w:r>
            <w:rPr>
              <w:lang w:val="en-US"/>
            </w:rPr>
          </w:r>
          <w:r>
            <w:fldChar w:fldCharType="end"/>
          </w:r>
          <w:bookmarkEnd w:id="117"/>
          <w:bookmarkEnd w:id="118"/>
          <w:r>
            <w:rPr>
              <w:lang w:val="en-US"/>
            </w:rPr>
            <w:t xml:space="preserve">.  </w:t>
          </w:r>
          <w:commentRangeEnd w:id="7"/>
          <w:r>
            <w:commentReference w:id="7"/>
          </w:r>
          <w:r>
            <w:rPr>
              <w:lang w:val="en-US"/>
            </w:rPr>
          </w:r>
        </w:p>
        <w:p>
          <w:pPr>
            <w:pStyle w:val="Normal"/>
            <w:spacing w:lineRule="auto" w:line="360"/>
            <w:rPr>
              <w:lang w:val="en-US"/>
            </w:rPr>
          </w:pPr>
          <w:commentRangeStart w:id="8"/>
          <w:r>
            <w:rPr>
              <w:lang w:val="en-US"/>
            </w:rPr>
            <w:t>The analysis of clusters is closely related to the analysis of innovation systems. The concept of the innovation system stresses that the flow of technology and information among people, enterprises and institutions is key to an innovative process. It contains the interaction between the actors who are needed in order to turn an idea into a process, product or service on the market. There are Different types of Innovation Systems regarding to the extent that the scope of the policy is adopted as national, regional and sectoral systems exist.</w:t>
          </w:r>
          <w:commentRangeEnd w:id="8"/>
          <w:r>
            <w:commentReference w:id="8"/>
          </w:r>
          <w:r>
            <w:rPr>
              <w:lang w:val="en-US"/>
            </w:rPr>
          </w:r>
        </w:p>
        <w:p>
          <w:pPr>
            <w:pStyle w:val="Normal"/>
            <w:rPr>
              <w:b/>
              <w:b/>
              <w:lang w:val="en-US"/>
            </w:rPr>
          </w:pPr>
          <w:r>
            <w:rPr>
              <w:b/>
              <w:lang w:val="en-US"/>
            </w:rPr>
            <w:t>2.2.2 Innovation Systems</w:t>
          </w:r>
        </w:p>
        <w:p>
          <w:pPr>
            <w:pStyle w:val="Normal"/>
            <w:spacing w:lineRule="auto" w:line="360"/>
            <w:rPr/>
          </w:pPr>
          <w:r>
            <w:rPr>
              <w:lang w:val="en-US"/>
            </w:rPr>
            <w:t>Systems of innovation (SI) are all the important economic, social, political, organizational, and other factors that influence the development, diffusion, and use of innovations</w:t>
          </w:r>
          <w:r>
            <w:fldChar w:fldCharType="begin"/>
          </w:r>
          <w:r>
            <w:instrText>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w:instrText>
          </w:r>
          <w:r>
            <w:fldChar w:fldCharType="separate"/>
          </w:r>
          <w:bookmarkStart w:id="119" w:name="__Fieldmark__1164_783673585"/>
          <w:r>
            <w:rPr>
              <w:lang w:val="en-US"/>
            </w:rPr>
          </w:r>
          <w:r>
            <w:rPr>
              <w:rFonts w:cs="Times New Roman"/>
              <w:lang w:val="en-US"/>
            </w:rPr>
            <w:t>(</w:t>
          </w:r>
          <w:bookmarkStart w:id="120" w:name="__Fieldmark__1542_427358540"/>
          <w:r>
            <w:rPr>
              <w:rFonts w:cs="Times New Roman"/>
              <w:lang w:val="en-US"/>
            </w:rPr>
            <w:t>Edquist, 1997, p. 14)</w:t>
          </w:r>
          <w:r>
            <w:rPr>
              <w:lang w:val="en-US"/>
            </w:rPr>
          </w:r>
          <w:r>
            <w:fldChar w:fldCharType="end"/>
          </w:r>
          <w:bookmarkEnd w:id="119"/>
          <w:bookmarkEnd w:id="120"/>
          <w:r>
            <w:rPr>
              <w:lang w:val="en-US"/>
            </w:rPr>
            <w:t xml:space="preserve"> . The geographical boundaries of an innovation system can vary from national, sectoral and regional approaches but national, regional and sectoral systems of innovation can be regarded as three variants of a generic SI approach </w:t>
          </w:r>
          <w:r>
            <w:fldChar w:fldCharType="begin"/>
          </w:r>
          <w:r>
            <w:instrText>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w:instrText>
          </w:r>
          <w:r>
            <w:fldChar w:fldCharType="separate"/>
          </w:r>
          <w:bookmarkStart w:id="121" w:name="__Fieldmark__1171_783673585"/>
          <w:r>
            <w:rPr>
              <w:lang w:val="en-US"/>
            </w:rPr>
          </w:r>
          <w:r>
            <w:rPr>
              <w:rFonts w:cs="Times New Roman"/>
              <w:lang w:val="en-US"/>
            </w:rPr>
            <w:t>(</w:t>
          </w:r>
          <w:bookmarkStart w:id="122" w:name="__Fieldmark__1551_427358540"/>
          <w:r>
            <w:rPr>
              <w:rFonts w:cs="Times New Roman"/>
              <w:lang w:val="en-US"/>
            </w:rPr>
            <w:t>Edquist, 2001)</w:t>
          </w:r>
          <w:r>
            <w:rPr>
              <w:lang w:val="en-US"/>
            </w:rPr>
          </w:r>
          <w:r>
            <w:fldChar w:fldCharType="end"/>
          </w:r>
          <w:bookmarkEnd w:id="121"/>
          <w:bookmarkEnd w:id="122"/>
          <w:r>
            <w:rPr>
              <w:lang w:val="en-US"/>
            </w:rPr>
            <w:t xml:space="preserve">. One of the most important characteristics of SI is that innovations are based on learning processes and interactions between organizations as companies generally do not innovate in isolation </w:t>
          </w:r>
          <w:r>
            <w:fldChar w:fldCharType="begin"/>
          </w:r>
          <w:r>
            <w:instrText>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w:instrText>
          </w:r>
          <w:r>
            <w:fldChar w:fldCharType="separate"/>
          </w:r>
          <w:bookmarkStart w:id="123" w:name="__Fieldmark__1178_783673585"/>
          <w:r>
            <w:rPr>
              <w:lang w:val="en-US"/>
            </w:rPr>
          </w:r>
          <w:r>
            <w:rPr>
              <w:rFonts w:cs="Times New Roman"/>
              <w:lang w:val="en-US"/>
            </w:rPr>
            <w:t>(</w:t>
          </w:r>
          <w:bookmarkStart w:id="124" w:name="__Fieldmark__1560_427358540"/>
          <w:r>
            <w:rPr>
              <w:rFonts w:cs="Times New Roman"/>
              <w:lang w:val="en-US"/>
            </w:rPr>
            <w:t>Edquist, 1997)</w:t>
          </w:r>
          <w:r>
            <w:rPr>
              <w:lang w:val="en-US"/>
            </w:rPr>
          </w:r>
          <w:r>
            <w:fldChar w:fldCharType="end"/>
          </w:r>
          <w:bookmarkEnd w:id="123"/>
          <w:bookmarkEnd w:id="124"/>
          <w:r>
            <w:rPr>
              <w:lang w:val="en-US"/>
            </w:rPr>
            <w:t xml:space="preserve">. The main components in SIs are organizations, companies, universities, venture capital organizations and public innovation policy agencies and institutions as patent laws and norms influencing the relations between universities and firms </w:t>
          </w:r>
          <w:r>
            <w:fldChar w:fldCharType="begin"/>
          </w:r>
          <w:r>
            <w:instrText>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w:instrText>
          </w:r>
          <w:r>
            <w:fldChar w:fldCharType="separate"/>
          </w:r>
          <w:bookmarkStart w:id="125" w:name="__Fieldmark__1185_783673585"/>
          <w:r>
            <w:rPr>
              <w:lang w:val="en-US"/>
            </w:rPr>
          </w:r>
          <w:r>
            <w:rPr>
              <w:rFonts w:cs="Times New Roman"/>
              <w:lang w:val="en-US"/>
            </w:rPr>
            <w:t>(</w:t>
          </w:r>
          <w:bookmarkStart w:id="126" w:name="__Fieldmark__1570_427358540"/>
          <w:r>
            <w:rPr>
              <w:rFonts w:cs="Times New Roman"/>
              <w:lang w:val="en-US"/>
            </w:rPr>
            <w:t>M. J. Enright, 2001)</w:t>
          </w:r>
          <w:r>
            <w:rPr>
              <w:lang w:val="en-US"/>
            </w:rPr>
          </w:r>
          <w:r>
            <w:fldChar w:fldCharType="end"/>
          </w:r>
          <w:bookmarkEnd w:id="125"/>
          <w:bookmarkEnd w:id="126"/>
          <w:r>
            <w:rPr>
              <w:lang w:val="en-US"/>
            </w:rPr>
            <w:t>.</w:t>
          </w:r>
        </w:p>
        <w:p>
          <w:pPr>
            <w:pStyle w:val="Normal"/>
            <w:spacing w:lineRule="auto" w:line="360"/>
            <w:rPr>
              <w:lang w:val="en-US"/>
            </w:rPr>
          </w:pPr>
          <w:r>
            <w:rPr>
              <w:lang w:val="en-US"/>
            </w:rPr>
            <w:t xml:space="preserve">The National Innovation System (NIS) approach generally focuses on institutional characteristics of innovation systems on a national scale and favors those at the expense of other scales </w:t>
          </w:r>
          <w:r>
            <w:fldChar w:fldCharType="begin"/>
          </w:r>
          <w:r>
            <w:instrText>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w:instrText>
          </w:r>
          <w:r>
            <w:fldChar w:fldCharType="separate"/>
          </w:r>
          <w:bookmarkStart w:id="127" w:name="__Fieldmark__1194_783673585"/>
          <w:r>
            <w:rPr>
              <w:lang w:val="en-US"/>
            </w:rPr>
          </w:r>
          <w:r>
            <w:rPr>
              <w:rFonts w:cs="Times New Roman"/>
              <w:lang w:val="en-US"/>
            </w:rPr>
            <w:t>(</w:t>
          </w:r>
          <w:bookmarkStart w:id="128" w:name="__Fieldmark__1584_427358540"/>
          <w:r>
            <w:rPr>
              <w:rFonts w:cs="Times New Roman"/>
              <w:lang w:val="en-US"/>
            </w:rPr>
            <w:t>Oinas &amp; Malecki, 2002)</w:t>
          </w:r>
          <w:r>
            <w:rPr>
              <w:lang w:val="en-US"/>
            </w:rPr>
          </w:r>
          <w:r>
            <w:fldChar w:fldCharType="end"/>
          </w:r>
          <w:bookmarkEnd w:id="127"/>
          <w:bookmarkEnd w:id="128"/>
          <w:r>
            <w:rPr>
              <w:lang w:val="en-US"/>
            </w:rPr>
            <w:t xml:space="preserve">. </w:t>
          </w:r>
          <w:commentRangeStart w:id="9"/>
          <w:r>
            <w:rPr>
              <w:lang w:val="en-US"/>
            </w:rPr>
            <w:t xml:space="preserve">The involvement of the public sector is recognized both directly with universities and government laboratories but also indirectly by creating incentive structures, education and training systems, and promoting exports through monetary, and trade policy packages. </w:t>
          </w:r>
          <w:commentRangeEnd w:id="9"/>
          <w:r>
            <w:commentReference w:id="9"/>
          </w:r>
          <w:r>
            <w:rPr>
              <w:lang w:val="en-US"/>
            </w:rPr>
          </w:r>
        </w:p>
        <w:p>
          <w:pPr>
            <w:pStyle w:val="Normal"/>
            <w:spacing w:lineRule="auto" w:line="360"/>
            <w:rPr/>
          </w:pPr>
          <w:r>
            <w:rPr>
              <w:lang w:val="en-US"/>
            </w:rPr>
            <w:t xml:space="preserve">Edquist (2001) points out that within a country there are huge differences regarding its economic structure, institutional set-ups, R&amp;D bases and innovation performance. The concept of Regional Innovation Systems (RIS) follows the broader phenomenon of ‘National innovation Systems’ (NIS) introduced by Lundvall (1992), which contains a broad range of analysis fields as a collective system with different actors and entities involved. Cooke et al., (1997) applied the former work of </w:t>
          </w:r>
          <w:r>
            <w:fldChar w:fldCharType="begin"/>
          </w:r>
          <w:r>
            <w:instrText>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w:instrText>
          </w:r>
          <w:r>
            <w:fldChar w:fldCharType="separate"/>
          </w:r>
          <w:bookmarkStart w:id="129" w:name="__Fieldmark__1206_783673585"/>
          <w:r>
            <w:rPr>
              <w:lang w:val="en-US"/>
            </w:rPr>
          </w:r>
          <w:r>
            <w:rPr>
              <w:rFonts w:cs="Times New Roman"/>
              <w:lang w:val="en-US"/>
            </w:rPr>
            <w:t>L</w:t>
          </w:r>
          <w:bookmarkStart w:id="130" w:name="__Fieldmark__1599_427358540"/>
          <w:r>
            <w:rPr>
              <w:rFonts w:cs="Times New Roman"/>
              <w:lang w:val="en-US"/>
            </w:rPr>
            <w:t>undvall, (1992</w:t>
          </w:r>
          <w:r>
            <w:rPr>
              <w:lang w:val="en-US"/>
            </w:rPr>
          </w:r>
          <w:r>
            <w:fldChar w:fldCharType="end"/>
          </w:r>
          <w:bookmarkEnd w:id="129"/>
          <w:bookmarkEnd w:id="130"/>
          <w:r>
            <w:rPr>
              <w:lang w:val="en-US"/>
            </w:rPr>
            <w:t xml:space="preserve">)  on ‘National Innovation Systems’ to the regional scale and developed the concept of ‘Regional Innovation System (RIS)’ shifting the analytical focus on the subnational or regional level </w:t>
          </w:r>
          <w:r>
            <w:fldChar w:fldCharType="begin"/>
          </w:r>
          <w:r>
            <w:instrText>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w:instrText>
          </w:r>
          <w:r>
            <w:fldChar w:fldCharType="separate"/>
          </w:r>
          <w:bookmarkStart w:id="131" w:name="__Fieldmark__1213_783673585"/>
          <w:r>
            <w:rPr>
              <w:lang w:val="en-US"/>
            </w:rPr>
          </w:r>
          <w:r>
            <w:rPr>
              <w:rFonts w:cs="Times New Roman"/>
              <w:lang w:val="en-US"/>
            </w:rPr>
            <w:t>(</w:t>
          </w:r>
          <w:bookmarkStart w:id="132" w:name="__Fieldmark__1610_427358540"/>
          <w:r>
            <w:rPr>
              <w:rFonts w:cs="Times New Roman"/>
              <w:lang w:val="en-US"/>
            </w:rPr>
            <w:t>Cooke, Gomez Uranga, &amp; Etxebarria, 1997)</w:t>
          </w:r>
          <w:r>
            <w:rPr>
              <w:lang w:val="en-US"/>
            </w:rPr>
          </w:r>
          <w:r>
            <w:fldChar w:fldCharType="end"/>
          </w:r>
          <w:bookmarkEnd w:id="131"/>
          <w:bookmarkEnd w:id="132"/>
          <w:r>
            <w:rPr>
              <w:lang w:val="en-US"/>
            </w:rPr>
            <w:t xml:space="preserve">. In this context, Doloreux and Parto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fldChar w:fldCharType="begin"/>
          </w:r>
          <w:r>
            <w:instrText>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w:instrText>
          </w:r>
          <w:r>
            <w:fldChar w:fldCharType="separate"/>
          </w:r>
          <w:bookmarkStart w:id="133" w:name="__Fieldmark__1220_783673585"/>
          <w:r>
            <w:rPr>
              <w:lang w:val="en-US"/>
            </w:rPr>
          </w:r>
          <w:r>
            <w:rPr>
              <w:rFonts w:cs="Times New Roman"/>
              <w:lang w:val="en-US"/>
            </w:rPr>
            <w:t>(</w:t>
          </w:r>
          <w:bookmarkStart w:id="134" w:name="__Fieldmark__1615_427358540"/>
          <w:r>
            <w:rPr>
              <w:rFonts w:cs="Times New Roman"/>
              <w:lang w:val="en-US"/>
            </w:rPr>
            <w:t>Doloreux &amp; Parto, 2005, p. 135)</w:t>
          </w:r>
          <w:r>
            <w:rPr>
              <w:lang w:val="en-US"/>
            </w:rPr>
          </w:r>
          <w:r>
            <w:fldChar w:fldCharType="end"/>
          </w:r>
          <w:bookmarkEnd w:id="133"/>
          <w:bookmarkEnd w:id="134"/>
          <w:r>
            <w:rPr>
              <w:lang w:val="en-US"/>
            </w:rPr>
            <w:t>.</w:t>
          </w:r>
        </w:p>
        <w:p>
          <w:pPr>
            <w:pStyle w:val="Normal"/>
            <w:spacing w:lineRule="auto" w:line="360"/>
            <w:rPr/>
          </w:pPr>
          <w:r>
            <w:rPr>
              <w:lang w:val="en-US"/>
            </w:rPr>
            <w:t xml:space="preserve">Regional Innovation Systems (RIS) is typically described as the interaction of different actors set to generate, use and spread knowledge, which in turn would lead to innovation and growth </w:t>
          </w:r>
          <w:r>
            <w:fldChar w:fldCharType="begin"/>
          </w:r>
          <w:r>
            <w:instrText>ADDIN ZOTERO_ITEM CSL_CITATION {"citationID":"4gkje4nm0","properties":{"formattedCitation":"(Doloreux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w:instrText>
          </w:r>
          <w:r>
            <w:fldChar w:fldCharType="separate"/>
          </w:r>
          <w:bookmarkStart w:id="135" w:name="__Fieldmark__1229_783673585"/>
          <w:r>
            <w:rPr>
              <w:lang w:val="en-US"/>
            </w:rPr>
          </w:r>
          <w:r>
            <w:rPr>
              <w:rFonts w:cs="Times New Roman"/>
              <w:lang w:val="en-US"/>
            </w:rPr>
            <w:t>(</w:t>
          </w:r>
          <w:bookmarkStart w:id="136" w:name="__Fieldmark__1622_427358540"/>
          <w:r>
            <w:rPr>
              <w:rFonts w:cs="Times New Roman"/>
              <w:lang w:val="en-US"/>
            </w:rPr>
            <w:t>Doloreux &amp; Parto, 2005)</w:t>
          </w:r>
          <w:r>
            <w:rPr>
              <w:lang w:val="en-US"/>
            </w:rPr>
          </w:r>
          <w:r>
            <w:fldChar w:fldCharType="end"/>
          </w:r>
          <w:bookmarkEnd w:id="135"/>
          <w:bookmarkEnd w:id="136"/>
          <w:r>
            <w:rPr>
              <w:lang w:val="en-US"/>
            </w:rPr>
            <w:t xml:space="preserve">.  RIS balance the focus between economic and social interactions between both public and private agents </w:t>
          </w:r>
          <w:r>
            <w:fldChar w:fldCharType="begin"/>
          </w:r>
          <w:r>
            <w:instrText>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区域创新系统：理论、实践以及政策，区域研究。 对区域创新系统的关注在过去的 30 年内得到显著提高，这部分归因于理论分析的进步，也由于创新是竞争优势的源头，同时也基于新政策强调区域不公平以及区域差异的需求。本文考察了对区域创新系统方法进行分析的要素以及特征。文章通过对区域创新系统范式的评价以及综合分析为理论、实践以及政策领域做出相应的贡献。研究概述并评价了目前理论及实践研究中主要的分支，讨论了他们在区域创新系统研究中的下一步发展方向。文章围绕三个理论核心展开。首先考虑系统本身的性质。其次考虑产业区、集群以及区域创新系统的边界，认知前沿、知识转换以及学习过程的作用。第三是知识与学习在集群及区域创新系统尤其是劳动力市场职能中的核心作用。上述三类跨界的主题各自或者整合地提供了新的理论、实践以及政策视角，同时也指出未来研究中需要注意的问题。 区域创新系统 产业区 集群 知识与学习 劳动力市场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théoriques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áreas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w:instrText>
          </w:r>
          <w:r>
            <w:fldChar w:fldCharType="separate"/>
          </w:r>
          <w:bookmarkStart w:id="137" w:name="__Fieldmark__1236_783673585"/>
          <w:r>
            <w:rPr>
              <w:lang w:val="en-US"/>
            </w:rPr>
          </w:r>
          <w:r>
            <w:rPr>
              <w:rFonts w:cs="Times New Roman"/>
              <w:lang w:val="en-US"/>
            </w:rPr>
            <w:t>(</w:t>
          </w:r>
          <w:bookmarkStart w:id="138" w:name="__Fieldmark__1629_427358540"/>
          <w:r>
            <w:rPr>
              <w:rFonts w:cs="Times New Roman"/>
              <w:lang w:val="en-US"/>
            </w:rPr>
            <w:t>Asheim et al., 2011)</w:t>
          </w:r>
          <w:r>
            <w:rPr>
              <w:lang w:val="en-US"/>
            </w:rPr>
          </w:r>
          <w:r>
            <w:fldChar w:fldCharType="end"/>
          </w:r>
          <w:bookmarkEnd w:id="137"/>
          <w:bookmarkEnd w:id="138"/>
          <w:r>
            <w:rPr>
              <w:lang w:val="en-US"/>
            </w:rPr>
            <w:t xml:space="preserve">. The role of geographic proximity in diffusing knowledge and creating informal personal networks highlights the role of innovation systems due to regional differences in industrial specializations and institutions </w:t>
          </w:r>
          <w:r>
            <w:fldChar w:fldCharType="begin"/>
          </w:r>
          <w:r>
            <w:instrText>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w:instrText>
          </w:r>
          <w:r>
            <w:fldChar w:fldCharType="separate"/>
          </w:r>
          <w:bookmarkStart w:id="139" w:name="__Fieldmark__1243_783673585"/>
          <w:r>
            <w:rPr>
              <w:lang w:val="en-US"/>
            </w:rPr>
          </w:r>
          <w:r>
            <w:rPr>
              <w:rFonts w:cs="Times New Roman"/>
              <w:szCs w:val="24"/>
              <w:lang w:val="en-US"/>
            </w:rPr>
            <w:t>(</w:t>
          </w:r>
          <w:bookmarkStart w:id="140" w:name="__Fieldmark__1635_427358540"/>
          <w:r>
            <w:rPr>
              <w:rFonts w:cs="Times New Roman"/>
              <w:szCs w:val="24"/>
              <w:lang w:val="en-US"/>
            </w:rPr>
            <w:t>Tödtling &amp; Trippl, 2005)</w:t>
          </w:r>
          <w:r>
            <w:rPr>
              <w:lang w:val="en-US"/>
            </w:rPr>
          </w:r>
          <w:r>
            <w:fldChar w:fldCharType="end"/>
          </w:r>
          <w:bookmarkEnd w:id="139"/>
          <w:bookmarkEnd w:id="140"/>
          <w:r>
            <w:rPr>
              <w:lang w:val="en-US"/>
            </w:rPr>
            <w:t xml:space="preserve">. There are usually several clusters and many industries in an RIS that play a larger role in the context of innovation formulating relevant organizations, rules and behavioral characteristics as an interactive process that involves many actors </w:t>
          </w:r>
          <w:r>
            <w:fldChar w:fldCharType="begin"/>
          </w:r>
          <w:r>
            <w:instrText>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w:instrText>
          </w:r>
          <w:r>
            <w:fldChar w:fldCharType="separate"/>
          </w:r>
          <w:bookmarkStart w:id="141" w:name="__Fieldmark__1250_783673585"/>
          <w:r>
            <w:rPr>
              <w:lang w:val="en-US"/>
            </w:rPr>
          </w:r>
          <w:r>
            <w:rPr>
              <w:rFonts w:cs="Times New Roman"/>
              <w:szCs w:val="24"/>
              <w:lang w:val="en-US"/>
            </w:rPr>
            <w:t>(</w:t>
          </w:r>
          <w:bookmarkStart w:id="142" w:name="__Fieldmark__1643_427358540"/>
          <w:r>
            <w:rPr>
              <w:rFonts w:cs="Times New Roman"/>
              <w:szCs w:val="24"/>
              <w:lang w:val="en-US"/>
            </w:rPr>
            <w:t>Tödtling &amp; Trippl, 2005)</w:t>
          </w:r>
          <w:r>
            <w:rPr>
              <w:lang w:val="en-US"/>
            </w:rPr>
          </w:r>
          <w:r>
            <w:fldChar w:fldCharType="end"/>
          </w:r>
          <w:bookmarkEnd w:id="141"/>
          <w:bookmarkEnd w:id="142"/>
          <w:r>
            <w:rPr>
              <w:lang w:val="en-US"/>
            </w:rPr>
            <w:t>.</w:t>
          </w:r>
        </w:p>
        <w:p>
          <w:pPr>
            <w:pStyle w:val="Normal"/>
            <w:spacing w:lineRule="auto" w:line="360"/>
            <w:rPr/>
          </w:pPr>
          <w:r>
            <w:rPr>
              <w:lang w:val="en-US"/>
            </w:rPr>
            <w:t xml:space="preserve">Regional innovation system concept  has evolved into a widely used analytical framework the development of innovation policies around a strong foundation </w:t>
          </w:r>
          <w:r>
            <w:fldChar w:fldCharType="begin"/>
          </w:r>
          <w:r>
            <w:instrText>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w:instrText>
          </w:r>
          <w:r>
            <w:fldChar w:fldCharType="separate"/>
          </w:r>
          <w:bookmarkStart w:id="143" w:name="__Fieldmark__1259_783673585"/>
          <w:r>
            <w:rPr>
              <w:lang w:val="en-US"/>
            </w:rPr>
          </w:r>
          <w:r>
            <w:rPr>
              <w:rFonts w:cs="Times New Roman"/>
              <w:lang w:val="en-US"/>
            </w:rPr>
            <w:t>(</w:t>
          </w:r>
          <w:bookmarkStart w:id="144" w:name="__Fieldmark__1656_427358540"/>
          <w:r>
            <w:rPr>
              <w:rFonts w:cs="Times New Roman"/>
              <w:lang w:val="en-US"/>
            </w:rPr>
            <w:t>Doloreux &amp; Parto, 2005)</w:t>
          </w:r>
          <w:r>
            <w:rPr>
              <w:lang w:val="en-US"/>
            </w:rPr>
          </w:r>
          <w:r>
            <w:fldChar w:fldCharType="end"/>
          </w:r>
          <w:bookmarkEnd w:id="143"/>
          <w:bookmarkEnd w:id="144"/>
          <w:r>
            <w:rPr>
              <w:lang w:val="en-US"/>
            </w:rPr>
            <w:t>. In a parallel notion the Triple Helix model of university–industry–government relations</w:t>
          </w:r>
          <w:r>
            <w:fldChar w:fldCharType="begin"/>
          </w:r>
          <w:r>
            <w:instrText>ADDIN ZOTERO_ITEM CSL_CITATION {"citationID":"15sgten7on","properties":{"formattedCitation":"(Leydesdorff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w:instrText>
          </w:r>
          <w:r>
            <w:fldChar w:fldCharType="separate"/>
          </w:r>
          <w:bookmarkStart w:id="145" w:name="__Fieldmark__1266_783673585"/>
          <w:r>
            <w:rPr>
              <w:lang w:val="en-US"/>
            </w:rPr>
          </w:r>
          <w:r>
            <w:rPr>
              <w:rFonts w:cs="Times New Roman"/>
              <w:lang w:val="en-US"/>
            </w:rPr>
            <w:t>(</w:t>
          </w:r>
          <w:bookmarkStart w:id="146" w:name="__Fieldmark__1661_427358540"/>
          <w:r>
            <w:rPr>
              <w:rFonts w:cs="Times New Roman"/>
              <w:lang w:val="en-US"/>
            </w:rPr>
            <w:t>Leydesdorff &amp; Etzkowitz, 1996)</w:t>
          </w:r>
          <w:r>
            <w:rPr>
              <w:lang w:val="en-US"/>
            </w:rPr>
          </w:r>
          <w:r>
            <w:fldChar w:fldCharType="end"/>
          </w:r>
          <w:bookmarkEnd w:id="145"/>
          <w:bookmarkEnd w:id="146"/>
          <w:r>
            <w:rPr>
              <w:lang w:val="en-US"/>
            </w:rPr>
            <w:t xml:space="preserve"> was introduced to explain the interactions of actors and its social contexts in regard to innovation systems with a target to bring out the depth and complexity of the innovation process as  circular interaction system based on the knowledge-based economy </w:t>
          </w:r>
          <w:r>
            <w:fldChar w:fldCharType="begin"/>
          </w:r>
          <w:r>
            <w:instrText>ADDIN ZOTERO_ITEM CSL_CITATION {"citationID":"1sbkpuj9gr","properties":{"formattedCitation":"(Leydesdorff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w:instrText>
          </w:r>
          <w:r>
            <w:fldChar w:fldCharType="separate"/>
          </w:r>
          <w:bookmarkStart w:id="147" w:name="__Fieldmark__1273_783673585"/>
          <w:r>
            <w:rPr>
              <w:lang w:val="en-US"/>
            </w:rPr>
          </w:r>
          <w:r>
            <w:rPr>
              <w:rFonts w:cs="Times New Roman"/>
              <w:lang w:val="en-US"/>
            </w:rPr>
            <w:t>(</w:t>
          </w:r>
          <w:bookmarkStart w:id="148" w:name="__Fieldmark__1666_427358540"/>
          <w:r>
            <w:rPr>
              <w:rFonts w:cs="Times New Roman"/>
              <w:lang w:val="en-US"/>
            </w:rPr>
            <w:t>Leydesdorff &amp; Zawdie, 2010)</w:t>
          </w:r>
          <w:r>
            <w:rPr>
              <w:lang w:val="en-US"/>
            </w:rPr>
          </w:r>
          <w:r>
            <w:fldChar w:fldCharType="end"/>
          </w:r>
          <w:bookmarkEnd w:id="147"/>
          <w:bookmarkEnd w:id="148"/>
          <w:r>
            <w:rPr>
              <w:lang w:val="en-US"/>
            </w:rPr>
            <w:t xml:space="preserve">. Triple Helix provides a model of the structure and dynamics underlying the ways that innovation systems functioning at various levels while NIS and RIS are institutional programs focused on wealth creation at the national or regional level </w:t>
          </w:r>
          <w:r>
            <w:fldChar w:fldCharType="begin"/>
          </w:r>
          <w:r>
            <w:instrText>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w:instrText>
          </w:r>
          <w:r>
            <w:fldChar w:fldCharType="separate"/>
          </w:r>
          <w:bookmarkStart w:id="149" w:name="__Fieldmark__1280_783673585"/>
          <w:r>
            <w:rPr>
              <w:lang w:val="en-US"/>
            </w:rPr>
          </w:r>
          <w:r>
            <w:rPr>
              <w:rFonts w:cs="Times New Roman"/>
              <w:lang w:val="en-US"/>
            </w:rPr>
            <w:t>(</w:t>
          </w:r>
          <w:bookmarkStart w:id="150" w:name="__Fieldmark__1672_427358540"/>
          <w:r>
            <w:rPr>
              <w:rFonts w:cs="Times New Roman"/>
              <w:lang w:val="en-US"/>
            </w:rPr>
            <w:t>Leydesdorff &amp; Zawdie, 2010)</w:t>
          </w:r>
          <w:r>
            <w:rPr>
              <w:lang w:val="en-US"/>
            </w:rPr>
          </w:r>
          <w:r>
            <w:fldChar w:fldCharType="end"/>
          </w:r>
          <w:bookmarkEnd w:id="149"/>
          <w:bookmarkEnd w:id="150"/>
          <w:r>
            <w:rPr>
              <w:lang w:val="en-US"/>
            </w:rPr>
            <w:t>.</w:t>
          </w:r>
        </w:p>
        <w:p>
          <w:pPr>
            <w:pStyle w:val="Normal"/>
            <w:spacing w:lineRule="auto" w:line="360"/>
            <w:rPr>
              <w:lang w:val="en-US"/>
            </w:rPr>
          </w:pPr>
          <w:commentRangeStart w:id="10"/>
          <w:r>
            <w:rPr>
              <w:lang w:val="en-US"/>
            </w:rPr>
            <w:t>Clusters and regional innovation systems are closely related but with fundamentally different ideas.</w:t>
          </w:r>
          <w:r>
            <w:fldChar w:fldCharType="begin"/>
          </w:r>
          <w:r>
            <w:instrText>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w:instrText>
          </w:r>
          <w:r>
            <w:fldChar w:fldCharType="separate"/>
          </w:r>
          <w:bookmarkStart w:id="151" w:name="__Fieldmark__1290_783673585"/>
          <w:r>
            <w:rPr>
              <w:lang w:val="en-US"/>
            </w:rPr>
          </w:r>
          <w:r>
            <w:rPr>
              <w:rFonts w:cs="Times New Roman"/>
              <w:lang w:val="en-US"/>
            </w:rPr>
            <w:t>(</w:t>
          </w:r>
          <w:bookmarkStart w:id="152" w:name="__Fieldmark__1680_427358540"/>
          <w:r>
            <w:rPr>
              <w:rFonts w:cs="Times New Roman"/>
              <w:lang w:val="en-US"/>
            </w:rPr>
            <w:t>Doloreux &amp; Parto, 2005)</w:t>
          </w:r>
          <w:r>
            <w:rPr>
              <w:lang w:val="en-US"/>
            </w:rPr>
          </w:r>
          <w:r>
            <w:fldChar w:fldCharType="end"/>
          </w:r>
          <w:bookmarkEnd w:id="151"/>
          <w:bookmarkEnd w:id="152"/>
          <w:r>
            <w:rPr>
              <w:lang w:val="en-US"/>
            </w:rPr>
            <w:t xml:space="preserve"> The cluster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fldChar w:fldCharType="begin"/>
          </w:r>
          <w:r>
            <w:instrText>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153" w:name="__Fieldmark__1297_783673585"/>
          <w:r>
            <w:rPr>
              <w:lang w:val="en-US"/>
            </w:rPr>
          </w:r>
          <w:r>
            <w:rPr>
              <w:rFonts w:cs="Times New Roman"/>
              <w:szCs w:val="24"/>
              <w:lang w:val="en-US"/>
            </w:rPr>
            <w:t>(</w:t>
          </w:r>
          <w:bookmarkStart w:id="154" w:name="__Fieldmark__1688_427358540"/>
          <w:r>
            <w:rPr>
              <w:rFonts w:cs="Times New Roman"/>
              <w:szCs w:val="24"/>
              <w:lang w:val="en-US"/>
            </w:rPr>
            <w:t>Andersson, Serger, Sörvik, &amp; Hansson, 2004)</w:t>
          </w:r>
          <w:r>
            <w:rPr>
              <w:lang w:val="en-US"/>
            </w:rPr>
          </w:r>
          <w:r>
            <w:fldChar w:fldCharType="end"/>
          </w:r>
          <w:bookmarkEnd w:id="153"/>
          <w:bookmarkEnd w:id="154"/>
          <w:r>
            <w:rPr>
              <w:lang w:val="en-US"/>
            </w:rPr>
            <w:t xml:space="preserve">. </w:t>
          </w:r>
          <w:commentRangeEnd w:id="10"/>
          <w:r>
            <w:commentReference w:id="10"/>
          </w:r>
          <w:r>
            <w:rPr>
              <w:lang w:val="en-US"/>
            </w:rPr>
          </w:r>
        </w:p>
        <w:p>
          <w:pPr>
            <w:pStyle w:val="Heading1"/>
            <w:rPr>
              <w:rFonts w:eastAsia="Times New Roman"/>
              <w:lang w:val="en-US"/>
            </w:rPr>
          </w:pPr>
          <w:bookmarkStart w:id="155" w:name="_Toc459977485"/>
          <w:bookmarkStart w:id="156" w:name="__RefHeading___Toc5756_427358540"/>
          <w:bookmarkEnd w:id="155"/>
          <w:bookmarkEnd w:id="156"/>
          <w:r>
            <w:rPr>
              <w:rFonts w:eastAsia="Times New Roman"/>
              <w:lang w:val="en-US"/>
            </w:rPr>
            <w:t>2.3 The Triple Helix Model</w:t>
          </w:r>
        </w:p>
        <w:p>
          <w:pPr>
            <w:pStyle w:val="Normal"/>
            <w:spacing w:lineRule="auto" w:line="360"/>
            <w:rPr/>
          </w:pPr>
          <w:r>
            <w:rPr>
              <w:rFonts w:eastAsia="Calibri" w:cs="Times New Roman"/>
              <w:lang w:val="en-US"/>
            </w:rPr>
            <w:t>The triple Helix model highlights the interconnectedness and collaboration between public agencies, universities and the industry when it comes to innovation</w:t>
          </w:r>
          <w:r>
            <w:fldChar w:fldCharType="begin"/>
          </w:r>
          <w:r>
            <w:instrText>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157" w:name="__Fieldmark__1314_783673585"/>
          <w:r>
            <w:rPr>
              <w:rFonts w:eastAsia="Calibri" w:cs="Times New Roman"/>
              <w:lang w:val="en-US"/>
            </w:rPr>
            <w:t>(</w:t>
          </w:r>
          <w:bookmarkStart w:id="158" w:name="__Fieldmark__1702_427358540"/>
          <w:r>
            <w:rPr>
              <w:rFonts w:eastAsia="Calibri" w:cs="Times New Roman"/>
              <w:lang w:val="en-US"/>
            </w:rPr>
            <w:t>Etzkowitz &amp; Leydesdorff, 2000)</w:t>
          </w:r>
          <w:r>
            <w:rPr>
              <w:rFonts w:eastAsia="Calibri" w:cs="Times New Roman"/>
              <w:lang w:val="en-US"/>
            </w:rPr>
          </w:r>
          <w:r>
            <w:fldChar w:fldCharType="end"/>
          </w:r>
          <w:bookmarkEnd w:id="157"/>
          <w:bookmarkEnd w:id="158"/>
          <w:r>
            <w:rPr>
              <w:rFonts w:eastAsia="Calibri" w:cs="Times New Roman"/>
              <w:lang w:val="en-US"/>
            </w:rPr>
            <w:t xml:space="preserve">. The configuration of the model is a way to create competitiveness of regions by the formulation of synergies and cooperation between the different entities of the Helix </w:t>
          </w:r>
          <w:r>
            <w:fldChar w:fldCharType="begin"/>
          </w:r>
          <w:r>
            <w:instrText>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159" w:name="__Fieldmark__1321_783673585"/>
          <w:r>
            <w:rPr>
              <w:rFonts w:eastAsia="Calibri" w:cs="Times New Roman"/>
              <w:lang w:val="en-US"/>
            </w:rPr>
            <w:t>(</w:t>
          </w:r>
          <w:bookmarkStart w:id="160" w:name="__Fieldmark__1708_427358540"/>
          <w:r>
            <w:rPr>
              <w:rFonts w:eastAsia="Calibri" w:cs="Times New Roman"/>
              <w:lang w:val="en-US"/>
            </w:rPr>
            <w:t>Etzkowitz &amp; Leydesdorff, 2000)</w:t>
          </w:r>
          <w:r>
            <w:rPr>
              <w:rFonts w:eastAsia="Calibri" w:cs="Times New Roman"/>
              <w:lang w:val="en-US"/>
            </w:rPr>
          </w:r>
          <w:r>
            <w:fldChar w:fldCharType="end"/>
          </w:r>
          <w:bookmarkEnd w:id="159"/>
          <w:bookmarkEnd w:id="160"/>
          <w:r>
            <w:rPr>
              <w:rFonts w:eastAsia="Calibri" w:cs="Times New Roman"/>
              <w:lang w:val="en-US"/>
            </w:rPr>
            <w:t>. Universities and research centers are involved in projects with the private sector with a target to deliver technology, knowledge and to innovate. New businesses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p>
        <w:p>
          <w:pPr>
            <w:pStyle w:val="Normal"/>
            <w:spacing w:lineRule="auto" w:line="360"/>
            <w:rPr/>
          </w:pPr>
          <w:r>
            <w:rPr>
              <w:rFonts w:eastAsia="Calibri" w:cs="Times New Roman"/>
              <w:lang w:val="en-US"/>
            </w:rPr>
            <w:t>There are three distinct different figures of Triple Helix, which each gives a complete different resolution between the relationships between academia, state and industry as it shown in the figure but the goal for all is to generate alternative strategies for economic growth and social transformation</w:t>
          </w:r>
          <w:r>
            <w:fldChar w:fldCharType="begin"/>
          </w:r>
          <w:r>
            <w:instrText>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161" w:name="__Fieldmark__1330_783673585"/>
          <w:r>
            <w:rPr>
              <w:rFonts w:eastAsia="Calibri" w:cs="Times New Roman"/>
              <w:lang w:val="en-US"/>
            </w:rPr>
            <w:t>(</w:t>
          </w:r>
          <w:bookmarkStart w:id="162" w:name="__Fieldmark__1720_427358540"/>
          <w:r>
            <w:rPr>
              <w:rFonts w:eastAsia="Calibri" w:cs="Times New Roman"/>
              <w:lang w:val="en-US"/>
            </w:rPr>
            <w:t>Etzkowitz &amp; Leydesdorff, 2000)</w:t>
          </w:r>
          <w:r>
            <w:rPr>
              <w:rFonts w:eastAsia="Calibri" w:cs="Times New Roman"/>
              <w:lang w:val="en-US"/>
            </w:rPr>
          </w:r>
          <w:r>
            <w:fldChar w:fldCharType="end"/>
          </w:r>
          <w:bookmarkEnd w:id="161"/>
          <w:bookmarkEnd w:id="162"/>
          <w:r>
            <w:rPr>
              <w:rFonts w:eastAsia="Calibri" w:cs="Times New Roman"/>
              <w:lang w:val="en-US"/>
            </w:rPr>
            <w:t xml:space="preserve">. </w:t>
          </w:r>
        </w:p>
        <w:p>
          <w:pPr>
            <w:pStyle w:val="Normal"/>
            <w:keepNext/>
            <w:spacing w:lineRule="auto" w:line="360"/>
            <w:rPr/>
          </w:pPr>
          <w:r>
            <w:rPr/>
            <w:drawing>
              <wp:inline distT="0" distB="0" distL="0" distR="0">
                <wp:extent cx="5279390" cy="1969135"/>
                <wp:effectExtent l="0" t="0" r="0" b="0"/>
                <wp:docPr id="4" name="Εικόνα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2" descr=""/>
                        <pic:cNvPicPr>
                          <a:picLocks noChangeAspect="1" noChangeArrowheads="1"/>
                        </pic:cNvPicPr>
                      </pic:nvPicPr>
                      <pic:blipFill>
                        <a:blip r:embed="rId9"/>
                        <a:stretch>
                          <a:fillRect/>
                        </a:stretch>
                      </pic:blipFill>
                      <pic:spPr bwMode="auto">
                        <a:xfrm>
                          <a:off x="0" y="0"/>
                          <a:ext cx="5279390" cy="1969135"/>
                        </a:xfrm>
                        <a:prstGeom prst="rect">
                          <a:avLst/>
                        </a:prstGeom>
                      </pic:spPr>
                    </pic:pic>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3</w:t>
          </w:r>
          <w:r>
            <w:fldChar w:fldCharType="end"/>
          </w:r>
          <w:r>
            <w:rPr>
              <w:lang w:val="en-US"/>
            </w:rPr>
            <w:t xml:space="preserve"> The Triple Helix Models</w:t>
          </w:r>
        </w:p>
        <w:p>
          <w:pPr>
            <w:pStyle w:val="Normal"/>
            <w:spacing w:lineRule="auto" w:line="360"/>
            <w:rPr/>
          </w:pPr>
          <w:r>
            <w:rPr>
              <w:rFonts w:eastAsia="Calibri" w:cs="Times New Roman"/>
              <w:lang w:val="en-US"/>
            </w:rPr>
            <w:t>The first dimension (see figure 1) focuses on the authority of the state as being the dominant force which dictates and encompasses both the industry and the academia</w:t>
          </w:r>
          <w:r>
            <w:fldChar w:fldCharType="begin"/>
          </w:r>
          <w:r>
            <w:instrText>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w:instrText>
          </w:r>
          <w:r>
            <w:fldChar w:fldCharType="separate"/>
          </w:r>
          <w:bookmarkStart w:id="163" w:name="__Fieldmark__1345_783673585"/>
          <w:r>
            <w:rPr>
              <w:rFonts w:eastAsia="Calibri" w:cs="Times New Roman"/>
              <w:lang w:val="en-US"/>
            </w:rPr>
            <w:t>(</w:t>
          </w:r>
          <w:bookmarkStart w:id="164" w:name="__Fieldmark__1733_427358540"/>
          <w:r>
            <w:rPr>
              <w:rFonts w:eastAsia="Calibri" w:cs="Times New Roman"/>
              <w:lang w:val="en-US"/>
            </w:rPr>
            <w:t>Etzkowitz, 2002)</w:t>
          </w:r>
          <w:r>
            <w:rPr>
              <w:rFonts w:eastAsia="Calibri" w:cs="Times New Roman"/>
              <w:lang w:val="en-US"/>
            </w:rPr>
          </w:r>
          <w:r>
            <w:fldChar w:fldCharType="end"/>
          </w:r>
          <w:bookmarkEnd w:id="163"/>
          <w:bookmarkEnd w:id="164"/>
          <w:r>
            <w:rPr>
              <w:rFonts w:eastAsia="Calibri" w:cs="Times New Roman"/>
              <w:lang w:val="en-US"/>
            </w:rPr>
            <w:t xml:space="preserve">. In the specific triple helix configuration there is limited space for “bottom-up initiatives” and thus, innovation is discouraged as the state keep its own national industry separate from the outside world and the university conduct research that is not intended to create growth </w:t>
          </w:r>
          <w:r>
            <w:fldChar w:fldCharType="begin"/>
          </w:r>
          <w:r>
            <w:instrText>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w:instrText>
          </w:r>
          <w:r>
            <w:fldChar w:fldCharType="separate"/>
          </w:r>
          <w:bookmarkStart w:id="165" w:name="__Fieldmark__1352_783673585"/>
          <w:r>
            <w:rPr>
              <w:rFonts w:eastAsia="Calibri" w:cs="Times New Roman"/>
              <w:lang w:val="en-US"/>
            </w:rPr>
            <w:t>(</w:t>
          </w:r>
          <w:bookmarkStart w:id="166" w:name="__Fieldmark__1742_427358540"/>
          <w:r>
            <w:rPr>
              <w:rFonts w:eastAsia="Calibri" w:cs="Times New Roman"/>
              <w:lang w:val="en-US"/>
            </w:rPr>
            <w:t>Etzkowitz, 2002)</w:t>
          </w:r>
          <w:r>
            <w:rPr>
              <w:rFonts w:eastAsia="Calibri" w:cs="Times New Roman"/>
              <w:lang w:val="en-US"/>
            </w:rPr>
          </w:r>
          <w:r>
            <w:fldChar w:fldCharType="end"/>
          </w:r>
          <w:bookmarkEnd w:id="165"/>
          <w:bookmarkEnd w:id="166"/>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 xml:space="preserve">This version could be found nations such as former Soviet Union and many Eastern European nations, who embraced socialism </w:t>
          </w:r>
          <w:r>
            <w:fldChar w:fldCharType="begin"/>
          </w:r>
          <w:r>
            <w:instrText>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167" w:name="__Fieldmark__1361_783673585"/>
          <w:r>
            <w:rPr>
              <w:rFonts w:eastAsia="Calibri" w:cs="Times New Roman"/>
              <w:lang w:val="en-US"/>
            </w:rPr>
            <w:t>(</w:t>
          </w:r>
          <w:bookmarkStart w:id="168" w:name="__Fieldmark__1749_427358540"/>
          <w:r>
            <w:rPr>
              <w:rFonts w:eastAsia="Calibri" w:cs="Times New Roman"/>
              <w:lang w:val="en-US"/>
            </w:rPr>
            <w:t>Etzkowitz &amp; Leydesdorff, 2000)</w:t>
          </w:r>
          <w:r>
            <w:rPr>
              <w:rFonts w:eastAsia="Calibri" w:cs="Times New Roman"/>
              <w:lang w:val="en-US"/>
            </w:rPr>
          </w:r>
          <w:r>
            <w:fldChar w:fldCharType="end"/>
          </w:r>
          <w:bookmarkEnd w:id="167"/>
          <w:bookmarkEnd w:id="168"/>
          <w:r>
            <w:rPr>
              <w:rFonts w:eastAsia="Calibri" w:cs="Times New Roman"/>
              <w:lang w:val="en-US"/>
            </w:rPr>
            <w:t>. In the second dimension (see figure 2)</w:t>
          </w:r>
          <w:r>
            <w:rPr>
              <w:rFonts w:eastAsia="Calibri" w:cs="Times New Roman" w:ascii="Calibri" w:hAnsi="Calibri"/>
              <w:lang w:val="en-US"/>
            </w:rPr>
            <w:t xml:space="preserve"> </w:t>
          </w:r>
          <w:r>
            <w:rPr>
              <w:rFonts w:eastAsia="Calibri" w:cs="Times New Roman"/>
              <w:lang w:val="en-US"/>
            </w:rPr>
            <w:t>the players are separated and do not have any significant relationships with each other. Triple Helix in figure 2 entails a policy of minimum governmental interference that can be used as shock therapy to reduce the role of the state in the first model</w:t>
          </w:r>
          <w:r>
            <w:fldChar w:fldCharType="begin"/>
          </w:r>
          <w:r>
            <w:instrText>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169" w:name="__Fieldmark__1370_783673585"/>
          <w:r>
            <w:rPr>
              <w:rFonts w:eastAsia="Calibri" w:cs="Times New Roman"/>
              <w:lang w:val="en-US"/>
            </w:rPr>
            <w:t>(</w:t>
          </w:r>
          <w:bookmarkStart w:id="170" w:name="__Fieldmark__1756_427358540"/>
          <w:r>
            <w:rPr>
              <w:rFonts w:eastAsia="Calibri" w:cs="Times New Roman"/>
              <w:lang w:val="en-US"/>
            </w:rPr>
            <w:t>Etzkowitz &amp; Leydesdorff, 2000)</w:t>
          </w:r>
          <w:r>
            <w:rPr>
              <w:rFonts w:eastAsia="Calibri" w:cs="Times New Roman"/>
              <w:lang w:val="en-US"/>
            </w:rPr>
          </w:r>
          <w:r>
            <w:fldChar w:fldCharType="end"/>
          </w:r>
          <w:bookmarkEnd w:id="169"/>
          <w:bookmarkEnd w:id="170"/>
          <w:r>
            <w:rPr>
              <w:rFonts w:eastAsia="Calibri" w:cs="Times New Roman"/>
              <w:lang w:val="en-US"/>
            </w:rPr>
            <w:t xml:space="preserve">. </w:t>
          </w:r>
        </w:p>
        <w:p>
          <w:pPr>
            <w:pStyle w:val="Normal"/>
            <w:spacing w:lineRule="auto" w:line="360"/>
            <w:rPr/>
          </w:pPr>
          <w:r>
            <w:rPr>
              <w:rFonts w:eastAsia="Calibri" w:cs="Times New Roman"/>
              <w:lang w:val="en-US"/>
            </w:rPr>
            <w:t xml:space="preserve">Most countries and region are trying to form the configuration of the Triple Helix in figure3 in which academia state and industry are mutually contributing to competitiveness from separate spheres into a more flexible overlapping system where the institutional spheres collaborate and cooperate with each other </w:t>
          </w:r>
          <w:r>
            <w:fldChar w:fldCharType="begin"/>
          </w:r>
          <w:r>
            <w:instrText>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w:instrText>
          </w:r>
          <w:r>
            <w:fldChar w:fldCharType="separate"/>
          </w:r>
          <w:bookmarkStart w:id="171" w:name="__Fieldmark__1379_783673585"/>
          <w:r>
            <w:rPr>
              <w:rFonts w:eastAsia="Calibri" w:cs="Times New Roman"/>
              <w:lang w:val="en-US"/>
            </w:rPr>
            <w:t>(</w:t>
          </w:r>
          <w:bookmarkStart w:id="172" w:name="__Fieldmark__1765_427358540"/>
          <w:r>
            <w:rPr>
              <w:rFonts w:eastAsia="Calibri" w:cs="Times New Roman"/>
              <w:lang w:val="en-US"/>
            </w:rPr>
            <w:t>Etzkowitz, 2002)</w:t>
          </w:r>
          <w:r>
            <w:rPr>
              <w:rFonts w:eastAsia="Calibri" w:cs="Times New Roman"/>
              <w:lang w:val="en-US"/>
            </w:rPr>
          </w:r>
          <w:r>
            <w:fldChar w:fldCharType="end"/>
          </w:r>
          <w:bookmarkEnd w:id="171"/>
          <w:bookmarkEnd w:id="172"/>
          <w:r>
            <w:rPr>
              <w:rFonts w:eastAsia="Calibri" w:cs="Times New Roman"/>
              <w:lang w:val="en-US"/>
            </w:rPr>
            <w:t>. The objective is to capture an environment with innovativeness, consisting of university spin-offs, trilateral initiatives for knowledge-based economic development, and strategic alliances between the Triple Helix actors (Etzkowitz &amp; Leydesdorff 2000).</w:t>
          </w:r>
          <w:r>
            <w:rPr>
              <w:rFonts w:eastAsia="Calibri" w:cs="Times New Roman" w:ascii="Calibri" w:hAnsi="Calibri"/>
              <w:lang w:val="en-US"/>
            </w:rPr>
            <w:t xml:space="preserve"> </w:t>
          </w:r>
          <w:r>
            <w:rPr>
              <w:rFonts w:eastAsia="Calibri" w:cs="Times New Roman"/>
              <w:lang w:val="en-US"/>
            </w:rPr>
            <w:t>This can bring new organizations into the scene as knowledge from all three spheres are connected at the interfaces and sometimes can function to aid and assist each other.</w:t>
          </w:r>
        </w:p>
        <w:p>
          <w:pPr>
            <w:pStyle w:val="Normal"/>
            <w:spacing w:lineRule="auto" w:line="360"/>
            <w:rPr/>
          </w:pPr>
          <w:r>
            <w:rPr>
              <w:rFonts w:eastAsia="Calibri" w:cs="Times New Roman"/>
              <w:lang w:val="en-US"/>
            </w:rPr>
            <w:t xml:space="preserve">In this notion, the "triple helix" is a spiral model of innovation that captures multiple reciprocal relationships at different points in the process of knowledge capitalization in the triad of government-university-industry relationships </w:t>
          </w:r>
          <w:r>
            <w:fldChar w:fldCharType="begin"/>
          </w:r>
          <w:r>
            <w:instrText>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w:instrText>
          </w:r>
          <w:r>
            <w:fldChar w:fldCharType="separate"/>
          </w:r>
          <w:bookmarkStart w:id="173" w:name="__Fieldmark__1390_783673585"/>
          <w:r>
            <w:rPr>
              <w:rFonts w:eastAsia="Calibri" w:cs="Times New Roman"/>
              <w:lang w:val="en-US"/>
            </w:rPr>
            <w:t>(</w:t>
          </w:r>
          <w:bookmarkStart w:id="174" w:name="__Fieldmark__1776_427358540"/>
          <w:r>
            <w:rPr>
              <w:rFonts w:eastAsia="Calibri" w:cs="Times New Roman"/>
              <w:lang w:val="en-US"/>
            </w:rPr>
            <w:t>Etzkowitz, 2002)</w:t>
          </w:r>
          <w:r>
            <w:rPr>
              <w:rFonts w:eastAsia="Calibri" w:cs="Times New Roman"/>
              <w:lang w:val="en-US"/>
            </w:rPr>
          </w:r>
          <w:r>
            <w:fldChar w:fldCharType="end"/>
          </w:r>
          <w:bookmarkEnd w:id="173"/>
          <w:bookmarkEnd w:id="174"/>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 xml:space="preserve">The Triple helix model is used for both macroeconomic (nation) and also-economic (region) research with the future national developments to be the outcomes of changes in the regional contingencies and their relevant environments </w:t>
          </w:r>
          <w:r>
            <w:fldChar w:fldCharType="begin"/>
          </w:r>
          <w:r>
            <w:instrText>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w:instrText>
          </w:r>
          <w:r>
            <w:fldChar w:fldCharType="separate"/>
          </w:r>
          <w:bookmarkStart w:id="175" w:name="__Fieldmark__1399_783673585"/>
          <w:r>
            <w:rPr>
              <w:rFonts w:eastAsia="Calibri" w:cs="Times New Roman"/>
              <w:lang w:val="en-US"/>
            </w:rPr>
            <w:t>(</w:t>
          </w:r>
          <w:bookmarkStart w:id="176" w:name="__Fieldmark__1789_427358540"/>
          <w:r>
            <w:rPr>
              <w:rFonts w:eastAsia="Calibri" w:cs="Times New Roman"/>
              <w:lang w:val="en-US"/>
            </w:rPr>
            <w:t>Leydesdorff &amp; Etzkowitz, 1998)</w:t>
          </w:r>
          <w:r>
            <w:rPr>
              <w:rFonts w:eastAsia="Calibri" w:cs="Times New Roman"/>
              <w:lang w:val="en-US"/>
            </w:rPr>
          </w:r>
          <w:r>
            <w:fldChar w:fldCharType="end"/>
          </w:r>
          <w:bookmarkEnd w:id="175"/>
          <w:bookmarkEnd w:id="176"/>
          <w:r>
            <w:rPr>
              <w:rFonts w:eastAsia="Calibri" w:cs="Times New Roman"/>
              <w:lang w:val="en-US"/>
            </w:rPr>
            <w:t xml:space="preserve">. </w:t>
          </w:r>
        </w:p>
        <w:p>
          <w:pPr>
            <w:pStyle w:val="Normal"/>
            <w:spacing w:lineRule="auto" w:line="360"/>
            <w:rPr/>
          </w:pPr>
          <w:r>
            <w:rPr>
              <w:rFonts w:eastAsia="Calibri" w:cs="Times New Roman"/>
              <w:lang w:val="en-US"/>
            </w:rPr>
            <w:t>The Triple Helix thesis states that the university can play an enhanced role in innovation in increasingly knowledge-based societies</w:t>
          </w:r>
          <w:r>
            <w:rPr>
              <w:rFonts w:eastAsia="Calibri" w:cs="Times New Roman" w:ascii="Calibri" w:hAnsi="Calibri"/>
              <w:lang w:val="en-US"/>
            </w:rPr>
            <w:t xml:space="preserve"> </w:t>
          </w:r>
          <w:r>
            <w:rPr>
              <w:rFonts w:eastAsia="Calibri" w:cs="Times New Roman"/>
              <w:lang w:val="en-US"/>
            </w:rPr>
            <w:t xml:space="preserve">been transformed from a teaching institution into one which combines teaching with research  </w:t>
          </w:r>
          <w:r>
            <w:fldChar w:fldCharType="begin"/>
          </w:r>
          <w:r>
            <w:instrText>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177" w:name="__Fieldmark__1410_783673585"/>
          <w:r>
            <w:rPr>
              <w:rFonts w:eastAsia="Calibri" w:cs="Times New Roman"/>
              <w:lang w:val="en-US"/>
            </w:rPr>
            <w:t>(</w:t>
          </w:r>
          <w:bookmarkStart w:id="178" w:name="__Fieldmark__1798_427358540"/>
          <w:r>
            <w:rPr>
              <w:rFonts w:eastAsia="Calibri" w:cs="Times New Roman"/>
              <w:lang w:val="en-US"/>
            </w:rPr>
            <w:t>Etzkowitz &amp; Leydesdorff, 2000)</w:t>
          </w:r>
          <w:r>
            <w:rPr>
              <w:rFonts w:eastAsia="Calibri" w:cs="Times New Roman"/>
              <w:lang w:val="en-US"/>
            </w:rPr>
          </w:r>
          <w:r>
            <w:fldChar w:fldCharType="end"/>
          </w:r>
          <w:bookmarkEnd w:id="177"/>
          <w:bookmarkEnd w:id="178"/>
          <w:r>
            <w:rPr>
              <w:rFonts w:eastAsia="Calibri" w:cs="Times New Roman"/>
              <w:lang w:val="en-US"/>
            </w:rPr>
            <w:t xml:space="preserve">. The focus is still on the network of communications and expectations that reshape the institutional arrangements among universities, industries, and governmental agencies. The Triple Helix denotes not only the relationship of university, industry, and government but also internal transformation within each of these spheres (Etzkowitz &amp; Leydesdorff, 2000). </w:t>
          </w:r>
        </w:p>
        <w:p>
          <w:pPr>
            <w:pStyle w:val="Heading1"/>
            <w:rPr>
              <w:rFonts w:eastAsia="Calibri"/>
              <w:lang w:val="en-US"/>
            </w:rPr>
          </w:pPr>
          <w:bookmarkStart w:id="179" w:name="_Toc459977486"/>
          <w:bookmarkStart w:id="180" w:name="__RefHeading___Toc5758_427358540"/>
          <w:bookmarkEnd w:id="179"/>
          <w:bookmarkEnd w:id="180"/>
          <w:r>
            <w:rPr>
              <w:rFonts w:eastAsia="Calibri"/>
              <w:lang w:val="en-US"/>
            </w:rPr>
            <w:t>2.3.1 The role of the University</w:t>
          </w:r>
        </w:p>
        <w:p>
          <w:pPr>
            <w:pStyle w:val="Normal"/>
            <w:spacing w:lineRule="auto" w:line="360"/>
            <w:rPr/>
          </w:pPr>
          <w:r>
            <w:rPr>
              <w:rFonts w:eastAsia="Calibri" w:cs="Times New Roman"/>
              <w:lang w:val="en-US"/>
            </w:rPr>
            <w:t xml:space="preserve">The original scope of the universities is teaching the students,  making research to educate and produce knowledge </w:t>
          </w:r>
          <w:r>
            <w:fldChar w:fldCharType="begin"/>
          </w:r>
          <w:r>
            <w:instrText>ADDIN ZOTERO_ITEM CSL_CITATION {"citationID":"1j1qv48hr0","properties":{"formattedCitation":"(Etzkowitz,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w:instrText>
          </w:r>
          <w:r>
            <w:fldChar w:fldCharType="separate"/>
          </w:r>
          <w:bookmarkStart w:id="181" w:name="__Fieldmark__1426_783673585"/>
          <w:r>
            <w:rPr>
              <w:rFonts w:eastAsia="Calibri" w:cs="Times New Roman"/>
              <w:lang w:val="en-US"/>
            </w:rPr>
            <w:t>(</w:t>
          </w:r>
          <w:bookmarkStart w:id="182" w:name="__Fieldmark__1817_427358540"/>
          <w:r>
            <w:rPr>
              <w:rFonts w:eastAsia="Calibri" w:cs="Times New Roman"/>
              <w:lang w:val="en-US"/>
            </w:rPr>
            <w:t>Etzkowitz, 1998)</w:t>
          </w:r>
          <w:r>
            <w:rPr>
              <w:rFonts w:eastAsia="Calibri" w:cs="Times New Roman"/>
              <w:lang w:val="en-US"/>
            </w:rPr>
          </w:r>
          <w:r>
            <w:fldChar w:fldCharType="end"/>
          </w:r>
          <w:bookmarkEnd w:id="181"/>
          <w:bookmarkEnd w:id="182"/>
          <w:r>
            <w:rPr>
              <w:rFonts w:eastAsia="Calibri" w:cs="Times New Roman"/>
              <w:lang w:val="en-US"/>
            </w:rPr>
            <w:t xml:space="preserve">. </w:t>
          </w:r>
          <w:commentRangeStart w:id="11"/>
          <w:r>
            <w:rPr>
              <w:rFonts w:eastAsia="Calibri" w:cs="Times New Roman"/>
              <w:lang w:val="en-US"/>
            </w:rPr>
            <w:t xml:space="preserve">As economies, especially in the advanced nations, are focusing on a knowledge-based notion, universities are included in the economic and social development policies. Academia tends to be directly involved in economic growth activities besides the production of graduate students and research. </w:t>
          </w:r>
          <w:r>
            <w:rPr>
              <w:rFonts w:eastAsia="Calibri" w:cs="Times New Roman"/>
              <w:lang w:val="en-US"/>
            </w:rPr>
          </w:r>
          <w:commentRangeEnd w:id="11"/>
          <w:r>
            <w:commentReference w:id="11"/>
          </w:r>
          <w:r>
            <w:rPr>
              <w:rFonts w:eastAsia="Calibri" w:cs="Times New Roman"/>
              <w:lang w:val="en-US"/>
            </w:rPr>
            <w:t xml:space="preserve">The increased importance of knowledge makes the university as integral to economic growth besides the industry and government of the Triple Helix model  </w:t>
          </w:r>
          <w:r>
            <w:fldChar w:fldCharType="begin"/>
          </w:r>
          <w:r>
            <w:instrText>ADDIN ZOTERO_ITEM CSL_CITATION {"citationID":"24v02n9l1k","properties":{"formattedCitation":"(Etzkowitz,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w:instrText>
          </w:r>
          <w:r>
            <w:fldChar w:fldCharType="separate"/>
          </w:r>
          <w:bookmarkStart w:id="183" w:name="__Fieldmark__1438_783673585"/>
          <w:r>
            <w:rPr>
              <w:rFonts w:eastAsia="Calibri" w:cs="Times New Roman"/>
              <w:lang w:val="en-US"/>
            </w:rPr>
            <w:t>(Etzkowitz, 2003b)</w:t>
          </w:r>
          <w:bookmarkStart w:id="184" w:name="__Fieldmark__1838_427358540"/>
          <w:bookmarkEnd w:id="184"/>
          <w:r>
            <w:rPr>
              <w:rFonts w:eastAsia="Calibri" w:cs="Times New Roman"/>
              <w:lang w:val="en-US"/>
            </w:rPr>
          </w:r>
          <w:r>
            <w:fldChar w:fldCharType="end"/>
          </w:r>
          <w:bookmarkEnd w:id="183"/>
          <w:r>
            <w:rPr>
              <w:rFonts w:eastAsia="Calibri" w:cs="Times New Roman"/>
              <w:lang w:val="en-US"/>
            </w:rPr>
            <w:t xml:space="preserve">. </w:t>
          </w:r>
          <w:commentRangeStart w:id="12"/>
          <w:r>
            <w:rPr>
              <w:rFonts w:eastAsia="Calibri" w:cs="Times New Roman"/>
              <w:lang w:val="en-US"/>
            </w:rPr>
            <w:t>Especially within clusters universities can play a significant role in knowledge creation and knowledge exchange with local businesses</w:t>
          </w:r>
          <w:r>
            <w:rPr>
              <w:rFonts w:eastAsia="Calibri" w:cs="Times New Roman"/>
              <w:lang w:val="en-US"/>
            </w:rPr>
          </w:r>
          <w:commentRangeEnd w:id="12"/>
          <w:r>
            <w:commentReference w:id="12"/>
          </w:r>
          <w:r>
            <w:rPr>
              <w:rFonts w:eastAsia="Calibri" w:cs="Times New Roman"/>
              <w:lang w:val="en-US"/>
            </w:rPr>
            <w:t>.</w:t>
          </w:r>
          <w:r>
            <w:fldChar w:fldCharType="begin"/>
          </w:r>
          <w:r>
            <w:instrText>ADDIN ZOTERO_ITEM CSL_CITATION {"citationID":"8njmtn22s","properties":{"formattedCitation":"(Etzkowitz, 2003a, 2003b)","plainCitation":"(Etzkowitz, 2003a, 2003b)"},"citationItems":[{"id":419,"uris":["http://zotero.org/users/2966342/items/WZI99RGB"],"uri":["http://zotero.org/users/2966342/items/WZI99RGB"],"itemData":{"id":419,"type":"article-journal","title":"Innovation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w:instrText>
          </w:r>
          <w:r>
            <w:fldChar w:fldCharType="separate"/>
          </w:r>
          <w:bookmarkStart w:id="185" w:name="__Fieldmark__1451_783673585"/>
          <w:r>
            <w:rPr>
              <w:rFonts w:eastAsia="Calibri" w:cs="Times New Roman"/>
              <w:lang w:val="en-US"/>
            </w:rPr>
          </w:r>
          <w:bookmarkStart w:id="186" w:name="__Fieldmark__1848_427358540"/>
          <w:bookmarkEnd w:id="186"/>
          <w:r>
            <w:rPr>
              <w:rFonts w:eastAsia="Calibri" w:cs="Times New Roman"/>
              <w:lang w:val="en-US"/>
            </w:rPr>
          </w:r>
          <w:r>
            <w:fldChar w:fldCharType="end"/>
          </w:r>
          <w:bookmarkEnd w:id="185"/>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‘capitalization of knowledge’ is central to a new academic mission, linking universities to users of knowledge more tightly and establishing the university as an economic actor in its own capabilities </w:t>
          </w:r>
          <w:r>
            <w:fldChar w:fldCharType="begin"/>
          </w:r>
          <w:r>
            <w:instrText>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w:instrText>
          </w:r>
          <w:r>
            <w:fldChar w:fldCharType="separate"/>
          </w:r>
          <w:bookmarkStart w:id="187" w:name="__Fieldmark__1459_783673585"/>
          <w:r>
            <w:rPr>
              <w:rFonts w:eastAsia="Calibri" w:cs="Times New Roman"/>
              <w:lang w:val="en-US"/>
            </w:rPr>
            <w:t>(</w:t>
          </w:r>
          <w:bookmarkStart w:id="188" w:name="__Fieldmark__1853_427358540"/>
          <w:r>
            <w:rPr>
              <w:rFonts w:eastAsia="Calibri" w:cs="Times New Roman"/>
              <w:lang w:val="en-US"/>
            </w:rPr>
            <w:t>Etzkowitz, 2014)</w:t>
          </w:r>
          <w:r>
            <w:rPr>
              <w:rFonts w:eastAsia="Calibri" w:cs="Times New Roman"/>
              <w:lang w:val="en-US"/>
            </w:rPr>
          </w:r>
          <w:r>
            <w:fldChar w:fldCharType="end"/>
          </w:r>
          <w:bookmarkEnd w:id="187"/>
          <w:bookmarkEnd w:id="188"/>
          <w:r>
            <w:rPr>
              <w:rFonts w:eastAsia="Calibri" w:cs="Times New Roman"/>
              <w:lang w:val="en-US"/>
            </w:rPr>
            <w:t xml:space="preserve">. Academic involvement in technology transfer, new business formation, and regional development signifies the transition from a research to an entrepreneurial university </w:t>
          </w:r>
          <w:r>
            <w:fldChar w:fldCharType="begin"/>
          </w:r>
          <w:r>
            <w:instrText>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w:instrText>
          </w:r>
          <w:r>
            <w:fldChar w:fldCharType="separate"/>
          </w:r>
          <w:bookmarkStart w:id="189" w:name="__Fieldmark__1466_783673585"/>
          <w:r>
            <w:rPr>
              <w:rFonts w:eastAsia="Calibri" w:cs="Times New Roman"/>
              <w:lang w:val="en-US"/>
            </w:rPr>
            <w:t>(</w:t>
          </w:r>
          <w:bookmarkStart w:id="190" w:name="__Fieldmark__1863_427358540"/>
          <w:r>
            <w:rPr>
              <w:rFonts w:eastAsia="Calibri" w:cs="Times New Roman"/>
              <w:lang w:val="en-US"/>
            </w:rPr>
            <w:t>Etzkowitz, 2014)</w:t>
          </w:r>
          <w:r>
            <w:rPr>
              <w:rFonts w:eastAsia="Calibri" w:cs="Times New Roman"/>
              <w:lang w:val="en-US"/>
            </w:rPr>
          </w:r>
          <w:r>
            <w:fldChar w:fldCharType="end"/>
          </w:r>
          <w:bookmarkEnd w:id="189"/>
          <w:bookmarkEnd w:id="190"/>
          <w:r>
            <w:rPr>
              <w:rFonts w:eastAsia="Calibri" w:cs="Times New Roman"/>
              <w:lang w:val="en-US"/>
            </w:rPr>
            <w:t xml:space="preserve">. </w:t>
          </w:r>
          <w:commentRangeStart w:id="13"/>
          <w:r>
            <w:rPr>
              <w:rFonts w:eastAsia="Calibri" w:cs="Times New Roman"/>
              <w:lang w:val="en-US"/>
            </w:rPr>
            <w:t>These developments point at universities to acquire a potential dynamic of regional economic development in order to connect knowledge creation in outputs through product commercialization.</w:t>
          </w:r>
          <w:commentRangeEnd w:id="13"/>
          <w:r>
            <w:commentReference w:id="13"/>
          </w:r>
          <w:r>
            <w:rPr>
              <w:rFonts w:eastAsia="Calibri" w:cs="Times New Roman"/>
              <w:lang w:val="en-US"/>
            </w:rPr>
          </w:r>
        </w:p>
        <w:p>
          <w:pPr>
            <w:pStyle w:val="Normal"/>
            <w:spacing w:lineRule="auto" w:line="360"/>
            <w:rPr/>
          </w:pPr>
          <w:r>
            <w:rPr>
              <w:rFonts w:eastAsia="Calibri" w:cs="Times New Roman"/>
              <w:lang w:val="en-US"/>
            </w:rPr>
            <w:t xml:space="preserve">The first mission of universities was teaching, followed by research, and then economic and social development as a third mission </w:t>
          </w:r>
          <w:r>
            <w:fldChar w:fldCharType="begin"/>
          </w:r>
          <w:r>
            <w:instrText>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w:instrText>
          </w:r>
          <w:r>
            <w:fldChar w:fldCharType="separate"/>
          </w:r>
          <w:bookmarkStart w:id="191" w:name="__Fieldmark__1478_783673585"/>
          <w:r>
            <w:rPr>
              <w:rFonts w:eastAsia="Calibri" w:cs="Times New Roman"/>
              <w:lang w:val="en-US"/>
            </w:rPr>
            <w:t>(</w:t>
          </w:r>
          <w:bookmarkStart w:id="192" w:name="__Fieldmark__1878_427358540"/>
          <w:r>
            <w:rPr>
              <w:rFonts w:eastAsia="Calibri" w:cs="Times New Roman"/>
              <w:lang w:val="en-US"/>
            </w:rPr>
            <w:t>Etzkowitz, 1998, 2003a)</w:t>
          </w:r>
          <w:r>
            <w:rPr>
              <w:rFonts w:eastAsia="Calibri" w:cs="Times New Roman"/>
              <w:lang w:val="en-US"/>
            </w:rPr>
          </w:r>
          <w:r>
            <w:fldChar w:fldCharType="end"/>
          </w:r>
          <w:bookmarkEnd w:id="191"/>
          <w:bookmarkEnd w:id="192"/>
          <w:r>
            <w:rPr>
              <w:rFonts w:eastAsia="Calibri" w:cs="Times New Roman"/>
              <w:lang w:val="en-US"/>
            </w:rPr>
            <w:t>. With growing social pressure to go beyond traditional missions and contribute to regional development, universities took on an integral role working closely with government and industry in economic and social development</w:t>
          </w:r>
          <w:r>
            <w:fldChar w:fldCharType="begin"/>
          </w:r>
          <w:r>
            <w:instrText>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w:instrText>
          </w:r>
          <w:r>
            <w:fldChar w:fldCharType="separate"/>
          </w:r>
          <w:bookmarkStart w:id="193" w:name="__Fieldmark__1485_783673585"/>
          <w:r>
            <w:rPr>
              <w:rFonts w:eastAsia="Calibri" w:cs="Times New Roman"/>
              <w:lang w:val="en-US"/>
            </w:rPr>
            <w:t>(</w:t>
          </w:r>
          <w:bookmarkStart w:id="194" w:name="__Fieldmark__1884_427358540"/>
          <w:r>
            <w:rPr>
              <w:rFonts w:eastAsia="Calibri" w:cs="Times New Roman"/>
              <w:lang w:val="en-US"/>
            </w:rPr>
            <w:t>Etzkowitz, 1998)</w:t>
          </w:r>
          <w:r>
            <w:rPr>
              <w:rFonts w:eastAsia="Calibri" w:cs="Times New Roman"/>
              <w:lang w:val="en-US"/>
            </w:rPr>
          </w:r>
          <w:r>
            <w:fldChar w:fldCharType="end"/>
          </w:r>
          <w:bookmarkEnd w:id="193"/>
          <w:bookmarkEnd w:id="194"/>
          <w:r>
            <w:rPr>
              <w:rFonts w:eastAsia="Calibri" w:cs="Times New Roman"/>
              <w:lang w:val="en-US"/>
            </w:rPr>
            <w:t xml:space="preserve">. Even less research-intensive regions are aware that science, applied to local resources, is the basis of much of their future potential for economic and social development </w:t>
          </w:r>
          <w:r>
            <w:fldChar w:fldCharType="begin"/>
          </w:r>
          <w:r>
            <w:instrText>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195" w:name="__Fieldmark__1492_783673585"/>
          <w:r>
            <w:rPr>
              <w:rFonts w:eastAsia="Calibri" w:cs="Times New Roman"/>
              <w:lang w:val="en-US"/>
            </w:rPr>
            <w:t>(</w:t>
          </w:r>
          <w:bookmarkStart w:id="196" w:name="__Fieldmark__1891_427358540"/>
          <w:r>
            <w:rPr>
              <w:rFonts w:eastAsia="Calibri" w:cs="Times New Roman"/>
              <w:lang w:val="en-US"/>
            </w:rPr>
            <w:t>Etzkowitz &amp; Leydesdorff, 2000)</w:t>
          </w:r>
          <w:r>
            <w:rPr>
              <w:rFonts w:eastAsia="Calibri" w:cs="Times New Roman"/>
              <w:lang w:val="en-US"/>
            </w:rPr>
          </w:r>
          <w:r>
            <w:fldChar w:fldCharType="end"/>
          </w:r>
          <w:bookmarkEnd w:id="195"/>
          <w:bookmarkEnd w:id="196"/>
          <w:r>
            <w:rPr>
              <w:rFonts w:eastAsia="Calibri" w:cs="Times New Roman"/>
              <w:lang w:val="en-US"/>
            </w:rPr>
            <w:t>.</w:t>
          </w:r>
        </w:p>
        <w:p>
          <w:pPr>
            <w:pStyle w:val="Normal"/>
            <w:spacing w:lineRule="auto" w:line="360"/>
            <w:rPr/>
          </w:pPr>
          <w:r>
            <w:rPr>
              <w:rFonts w:eastAsia="Calibri" w:cs="Times New Roman"/>
              <w:lang w:val="en-US"/>
            </w:rPr>
            <w:t xml:space="preserve">The university’s unique comparative advantage is that it combines continuity with change, organizational and research memory with new persons and new ideas, through the passage of student generations  as students represent a dynamic flow-through of ‘‘human capital’’ in academic research groups that ensures the primacy of the university as a source of innovation (Etzkowitz &amp; Leydesdorff, 2000) . As knowledge becoming an important component of innovation universities are expected to take on an entrepreneurial role focusing on economic development having an equal role with the other part of the Helix, the industry, and the state </w:t>
          </w:r>
          <w:r>
            <w:fldChar w:fldCharType="begin"/>
          </w:r>
          <w:r>
            <w:instrText>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w:instrText>
          </w:r>
          <w:r>
            <w:fldChar w:fldCharType="separate"/>
          </w:r>
          <w:bookmarkStart w:id="197" w:name="__Fieldmark__1501_783673585"/>
          <w:r>
            <w:rPr>
              <w:rFonts w:eastAsia="Calibri" w:cs="Times New Roman"/>
              <w:lang w:val="en-US"/>
            </w:rPr>
            <w:t>(</w:t>
          </w:r>
          <w:bookmarkStart w:id="198" w:name="__Fieldmark__1909_427358540"/>
          <w:r>
            <w:rPr>
              <w:rFonts w:eastAsia="Calibri" w:cs="Times New Roman"/>
              <w:lang w:val="en-US"/>
            </w:rPr>
            <w:t>Etzkowitz, 2007)</w:t>
          </w:r>
          <w:r>
            <w:rPr>
              <w:rFonts w:eastAsia="Calibri" w:cs="Times New Roman"/>
              <w:lang w:val="en-US"/>
            </w:rPr>
          </w:r>
          <w:r>
            <w:fldChar w:fldCharType="end"/>
          </w:r>
          <w:bookmarkEnd w:id="197"/>
          <w:bookmarkEnd w:id="198"/>
          <w:r>
            <w:rPr>
              <w:rFonts w:eastAsia="Calibri" w:cs="Times New Roman"/>
              <w:lang w:val="en-US"/>
            </w:rPr>
            <w:t xml:space="preserve">. University outcomes include the creation of technology parks, spinoffs firms , patents and licenses, consulting, contract research, joint research, publications, and producing skilled graduates </w:t>
          </w:r>
          <w:r>
            <w:fldChar w:fldCharType="begin"/>
          </w:r>
          <w:r>
            <w:instrText>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w:instrText>
          </w:r>
          <w:r>
            <w:fldChar w:fldCharType="separate"/>
          </w:r>
          <w:bookmarkStart w:id="199" w:name="__Fieldmark__1508_783673585"/>
          <w:r>
            <w:rPr>
              <w:rFonts w:eastAsia="Calibri" w:cs="Times New Roman"/>
              <w:lang w:val="en-US"/>
            </w:rPr>
          </w:r>
          <w:r>
            <w:rPr>
              <w:rFonts w:eastAsia="Calibri" w:cs="Times New Roman"/>
              <w:szCs w:val="24"/>
              <w:lang w:val="en-US"/>
            </w:rPr>
            <w:t>(</w:t>
          </w:r>
          <w:bookmarkStart w:id="200" w:name="__Fieldmark__1917_427358540"/>
          <w:r>
            <w:rPr>
              <w:rFonts w:eastAsia="Calibri" w:cs="Times New Roman"/>
              <w:szCs w:val="24"/>
              <w:lang w:val="en-US"/>
            </w:rPr>
            <w:t>Philpott, Dooley, O’Reilly, &amp; Lupton, 2011)</w:t>
          </w:r>
          <w:r>
            <w:rPr>
              <w:rFonts w:eastAsia="Calibri" w:cs="Times New Roman"/>
              <w:lang w:val="en-US"/>
            </w:rPr>
          </w:r>
          <w:r>
            <w:fldChar w:fldCharType="end"/>
          </w:r>
          <w:bookmarkEnd w:id="199"/>
          <w:bookmarkEnd w:id="200"/>
          <w:r>
            <w:rPr>
              <w:rFonts w:eastAsia="Calibri" w:cs="Times New Roman"/>
              <w:lang w:val="en-US"/>
            </w:rPr>
            <w:t xml:space="preserve"> and an array of research contribution. </w:t>
          </w:r>
        </w:p>
        <w:p>
          <w:pPr>
            <w:pStyle w:val="Heading1"/>
            <w:rPr>
              <w:rFonts w:eastAsia="Calibri"/>
              <w:lang w:val="en-US"/>
            </w:rPr>
          </w:pPr>
          <w:bookmarkStart w:id="201" w:name="_Toc459977487"/>
          <w:bookmarkStart w:id="202" w:name="__RefHeading___Toc5760_427358540"/>
          <w:bookmarkEnd w:id="201"/>
          <w:bookmarkEnd w:id="202"/>
          <w:r>
            <w:rPr>
              <w:rFonts w:eastAsia="Calibri"/>
              <w:lang w:val="en-US"/>
            </w:rPr>
            <w:t>2.3.2 The role of the government</w:t>
          </w:r>
        </w:p>
        <w:p>
          <w:pPr>
            <w:pStyle w:val="Normal"/>
            <w:spacing w:lineRule="auto" w:line="360"/>
            <w:rPr/>
          </w:pPr>
          <w:r>
            <w:rPr>
              <w:rFonts w:eastAsia="Calibri" w:cs="Times New Roman"/>
              <w:lang w:val="en-US"/>
            </w:rPr>
            <w:t xml:space="preserve">The role of the government in cluster formation and development is crucial </w:t>
          </w:r>
          <w:r>
            <w:fldChar w:fldCharType="begin"/>
          </w:r>
          <w:r>
            <w:instrText>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w:instrText>
          </w:r>
          <w:r>
            <w:fldChar w:fldCharType="separate"/>
          </w:r>
          <w:bookmarkStart w:id="203" w:name="__Fieldmark__1524_783673585"/>
          <w:r>
            <w:rPr>
              <w:rFonts w:eastAsia="Calibri" w:cs="Times New Roman"/>
              <w:lang w:val="en-US"/>
            </w:rPr>
            <w:t>(</w:t>
          </w:r>
          <w:bookmarkStart w:id="204" w:name="__Fieldmark__1929_427358540"/>
          <w:r>
            <w:rPr>
              <w:rFonts w:eastAsia="Calibri" w:cs="Times New Roman"/>
              <w:lang w:val="en-US"/>
            </w:rPr>
            <w:t>Michael E. Porter, 2000)</w:t>
          </w:r>
          <w:r>
            <w:rPr>
              <w:rFonts w:eastAsia="Calibri" w:cs="Times New Roman"/>
              <w:lang w:val="en-US"/>
            </w:rPr>
          </w:r>
          <w:r>
            <w:fldChar w:fldCharType="end"/>
          </w:r>
          <w:bookmarkEnd w:id="203"/>
          <w:bookmarkEnd w:id="204"/>
          <w:r>
            <w:rPr>
              <w:rFonts w:eastAsia="Calibri" w:cs="Times New Roman"/>
              <w:lang w:val="en-US"/>
            </w:rPr>
            <w:t xml:space="preserve">.  The state has a constant present in the cluster being main actor providing financial incentives to attract new investors or can define structures or agencies to manage cluster initiatives or regional development (Sölvell et al., 2003). Moreover, the government has to reorganize its structure to deal with new forms of collaboration, networking and resource allocation that emerged from the Triple Helix interaction </w:t>
          </w:r>
          <w:r>
            <w:fldChar w:fldCharType="begin"/>
          </w:r>
          <w:r>
            <w:instrText>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w:instrText>
          </w:r>
          <w:r>
            <w:fldChar w:fldCharType="separate"/>
          </w:r>
          <w:bookmarkStart w:id="205" w:name="__Fieldmark__1531_783673585"/>
          <w:r>
            <w:rPr>
              <w:rFonts w:eastAsia="Calibri" w:cs="Times New Roman"/>
              <w:lang w:val="en-US"/>
            </w:rPr>
            <w:t>(</w:t>
          </w:r>
          <w:bookmarkStart w:id="206" w:name="__Fieldmark__1941_427358540"/>
          <w:r>
            <w:rPr>
              <w:rFonts w:eastAsia="Calibri" w:cs="Times New Roman"/>
              <w:lang w:val="en-US"/>
            </w:rPr>
            <w:t>Ranga &amp; Etzkowitz, 2013)</w:t>
          </w:r>
          <w:r>
            <w:rPr>
              <w:rFonts w:eastAsia="Calibri" w:cs="Times New Roman"/>
              <w:lang w:val="en-US"/>
            </w:rPr>
          </w:r>
          <w:r>
            <w:fldChar w:fldCharType="end"/>
          </w:r>
          <w:bookmarkEnd w:id="205"/>
          <w:bookmarkEnd w:id="206"/>
          <w:r>
            <w:rPr>
              <w:rFonts w:eastAsia="Calibri" w:cs="Times New Roman"/>
              <w:lang w:val="en-US"/>
            </w:rPr>
            <w:t>. The role of the government becomes much more fluid and dynamic according to the needs of knowledge institutions and firms that can lead to new hybrid organizations or organizational structures that encompass all three Helix spheres (Etzkowitz, 2003a).</w:t>
          </w:r>
        </w:p>
        <w:p>
          <w:pPr>
            <w:pStyle w:val="Normal"/>
            <w:spacing w:lineRule="auto" w:line="360"/>
            <w:rPr>
              <w:rFonts w:ascii="Times New Roman" w:hAnsi="Times New Roman" w:eastAsia="Calibri" w:cs="Times New Roman"/>
              <w:lang w:val="en-US"/>
            </w:rPr>
          </w:pPr>
          <w:r>
            <w:rPr>
              <w:rFonts w:eastAsia="Calibri" w:cs="Times New Roman"/>
              <w:lang w:val="en-US"/>
            </w:rPr>
            <w:t>The public sector has a prominent role in the diamond model as it influences all the factors involved. Once a cluster begins to form government at all levels play a role in reinforcing it through investments to create specialized factors such as university specialized institutes , training centers, data banks and specialized infrastructure (Michael E. Porter, 1990).According to Porter (1990), government’s proper role is as a pusher and challenger to transmit and amplify the forces of the ‘diamond’ but also one of an essential roles is signaling the important priorities and challenges in an industry.</w:t>
          </w:r>
        </w:p>
        <w:p>
          <w:pPr>
            <w:pStyle w:val="Normal"/>
            <w:spacing w:lineRule="auto" w:line="360"/>
            <w:rPr>
              <w:rFonts w:ascii="Times New Roman" w:hAnsi="Times New Roman" w:eastAsia="Calibri" w:cs="Times New Roman"/>
              <w:lang w:val="en-US"/>
            </w:rPr>
          </w:pPr>
          <w:r>
            <w:rPr>
              <w:rFonts w:eastAsia="Calibri" w:cs="Times New Roman"/>
              <w:lang w:val="en-US"/>
            </w:rPr>
            <w:t>In his later work Porter (2000) summarizes the main roles that a government should play in an economy and states: Its most basic role is to achieve macroeconomic and political stability. The second role of government is to improve general microeconomic capacity through improving the quality and efficiency of general-purpose inputs to business and the institutions that provide them identified in diamond theory such as an educated workforce, an appropriate physical infrastructure, and accurate and timely economic information. The third role of government is to establish the overall microeconomic rules and incentives governing competition that will encourage productivity growth. The fourth role of government is to develop and implement a positive, distinctive, long-term economic action program or change process that mobilizes government, business, institutions, and citizens. (p.26)</w:t>
          </w:r>
        </w:p>
        <w:p>
          <w:pPr>
            <w:pStyle w:val="Normal"/>
            <w:spacing w:lineRule="auto" w:line="360"/>
            <w:rPr/>
          </w:pPr>
          <w:r>
            <w:rPr>
              <w:rFonts w:eastAsia="Calibri" w:cs="Times New Roman"/>
              <w:lang w:val="en-US"/>
            </w:rPr>
            <w:t xml:space="preserve">The government in its fifth role has to 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 to provide a prosperous business environment that supports concentrations of related firms and industries. All clusters have the potential to contribute to the economic growth of a location and governments should reinforce and build on existing and emerging clusters than trying to create entirely new ones (M E Porter, 1998; Michael E. Porter, 2000). In this way, a nation’s policy should explore internal industrial advantages to constructing competitiveness through local sources of uniqueness </w:t>
          </w:r>
          <w:r>
            <w:fldChar w:fldCharType="begin"/>
          </w:r>
          <w:r>
            <w:instrText>ADDIN ZOTERO_ITEM CSL_CITATION {"citationID":"rfdlgpncg","properties":{"formattedCitation":"(Michael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w:instrText>
          </w:r>
          <w:r>
            <w:fldChar w:fldCharType="separate"/>
          </w:r>
          <w:bookmarkStart w:id="207" w:name="__Fieldmark__1542_783673585"/>
          <w:r>
            <w:rPr>
              <w:rFonts w:eastAsia="Calibri" w:cs="Times New Roman"/>
              <w:lang w:val="en-US"/>
            </w:rPr>
            <w:t>(</w:t>
          </w:r>
          <w:bookmarkStart w:id="208" w:name="__Fieldmark__1987_427358540"/>
          <w:r>
            <w:rPr>
              <w:rFonts w:eastAsia="Calibri" w:cs="Times New Roman"/>
              <w:lang w:val="en-US"/>
            </w:rPr>
            <w:t>Michael E. Porter, 2000)</w:t>
          </w:r>
          <w:r>
            <w:rPr>
              <w:rFonts w:eastAsia="Calibri" w:cs="Times New Roman"/>
              <w:lang w:val="en-US"/>
            </w:rPr>
          </w:r>
          <w:r>
            <w:fldChar w:fldCharType="end"/>
          </w:r>
          <w:bookmarkEnd w:id="207"/>
          <w:bookmarkEnd w:id="208"/>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Clusters provide a vehicle to bring companies, government, and local institutions together in a constructive dialogue about upgrading, offering a new mechanism for business-government collaboration (Michael E. Porter, 2000). Governments should aim to encourage entrepreneurship and start-up activity to spur job creation and economic growth. State, metropolitan region, and local governments have an important influence on the general business environment in a location and at the cluster level, these influences often are dominant as clusters should represent an important component of state and local economic policy (Michael E. Porter, 2000).</w:t>
          </w:r>
        </w:p>
        <w:p>
          <w:pPr>
            <w:pStyle w:val="Heading1"/>
            <w:rPr>
              <w:lang w:val="en-US"/>
            </w:rPr>
          </w:pPr>
          <w:bookmarkStart w:id="209" w:name="__RefHeading___Toc5762_427358540"/>
          <w:bookmarkStart w:id="210" w:name="_Toc459977488"/>
          <w:bookmarkEnd w:id="209"/>
          <w:bookmarkEnd w:id="210"/>
          <w:r>
            <w:rPr>
              <w:lang w:val="en-US"/>
            </w:rPr>
            <w:t>2.4 Geographical clusters</w:t>
          </w:r>
        </w:p>
        <w:p>
          <w:pPr>
            <w:pStyle w:val="Normal"/>
            <w:spacing w:lineRule="auto" w:line="360"/>
            <w:rPr/>
          </w:pPr>
          <w:r>
            <w:rPr>
              <w:lang w:val="en-US"/>
            </w:rPr>
            <w:t>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for skilled labor which can cause continued growth of trades over a long period through the specialization of different firms in different stages of production</w:t>
          </w:r>
          <w:r>
            <w:fldChar w:fldCharType="begin"/>
          </w:r>
          <w:r>
            <w:instrText>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w:instrText>
          </w:r>
          <w:r>
            <w:fldChar w:fldCharType="separate"/>
          </w:r>
          <w:bookmarkStart w:id="211" w:name="__Fieldmark__1559_783673585"/>
          <w:r>
            <w:rPr>
              <w:lang w:val="en-US"/>
            </w:rPr>
          </w:r>
          <w:r>
            <w:rPr>
              <w:rFonts w:cs="Times New Roman"/>
              <w:lang w:val="en-US"/>
            </w:rPr>
            <w:t>(</w:t>
          </w:r>
          <w:bookmarkStart w:id="212" w:name="__Fieldmark__2012_427358540"/>
          <w:r>
            <w:rPr>
              <w:rFonts w:cs="Times New Roman"/>
              <w:lang w:val="en-US"/>
            </w:rPr>
            <w:t>Marshall, 2009)</w:t>
          </w:r>
          <w:r>
            <w:rPr>
              <w:lang w:val="en-US"/>
            </w:rPr>
          </w:r>
          <w:r>
            <w:fldChar w:fldCharType="end"/>
          </w:r>
          <w:bookmarkEnd w:id="211"/>
          <w:bookmarkEnd w:id="212"/>
          <w:r>
            <w:rPr>
              <w:lang w:val="en-US"/>
            </w:rPr>
            <w:t xml:space="preserve">. The link between location and economic efficiency shows that industrial cluster formations can benefit the participants’ activities from positive externalities </w:t>
          </w:r>
          <w:r>
            <w:fldChar w:fldCharType="begin"/>
          </w:r>
          <w:r>
            <w:instrText>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w:instrText>
          </w:r>
          <w:r>
            <w:fldChar w:fldCharType="separate"/>
          </w:r>
          <w:bookmarkStart w:id="213" w:name="__Fieldmark__1566_783673585"/>
          <w:r>
            <w:rPr>
              <w:lang w:val="en-US"/>
            </w:rPr>
          </w:r>
          <w:r>
            <w:rPr>
              <w:rFonts w:cs="Times New Roman"/>
              <w:lang w:val="en-US"/>
            </w:rPr>
            <w:t>(</w:t>
          </w:r>
          <w:bookmarkStart w:id="214" w:name="__Fieldmark__2019_427358540"/>
          <w:r>
            <w:rPr>
              <w:rFonts w:cs="Times New Roman"/>
              <w:lang w:val="en-US"/>
            </w:rPr>
            <w:t>Michael E. Porter, 2007)</w:t>
          </w:r>
          <w:r>
            <w:rPr>
              <w:lang w:val="en-US"/>
            </w:rPr>
          </w:r>
          <w:r>
            <w:fldChar w:fldCharType="end"/>
          </w:r>
          <w:bookmarkEnd w:id="213"/>
          <w:bookmarkEnd w:id="214"/>
          <w:r>
            <w:rPr>
              <w:lang w:val="en-US"/>
            </w:rPr>
            <w:t>.</w:t>
          </w:r>
        </w:p>
        <w:p>
          <w:pPr>
            <w:pStyle w:val="Normal"/>
            <w:spacing w:lineRule="auto" w:line="360"/>
            <w:rPr/>
          </w:pPr>
          <w:r>
            <w:rPr>
              <w:lang w:val="en-US"/>
            </w:rPr>
            <w:t xml:space="preserve">The clustering phenomenon has attracted increased attention during the 1990s and 2000s </w:t>
          </w:r>
          <w:r>
            <w:fldChar w:fldCharType="begin"/>
          </w:r>
          <w:r>
            <w:instrText>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w:instrText>
          </w:r>
          <w:r>
            <w:fldChar w:fldCharType="separate"/>
          </w:r>
          <w:bookmarkStart w:id="215" w:name="__Fieldmark__1575_783673585"/>
          <w:r>
            <w:rPr>
              <w:lang w:val="en-US"/>
            </w:rPr>
          </w:r>
          <w:r>
            <w:rPr>
              <w:rFonts w:cs="Times New Roman"/>
              <w:lang w:val="en-US"/>
            </w:rPr>
            <w:t>(</w:t>
          </w:r>
          <w:bookmarkStart w:id="216" w:name="__Fieldmark__2029_427358540"/>
          <w:r>
            <w:rPr>
              <w:rFonts w:cs="Times New Roman"/>
              <w:lang w:val="en-US"/>
            </w:rPr>
            <w:t>P. Maskell &amp; Kebir, 2005)</w:t>
          </w:r>
          <w:r>
            <w:rPr>
              <w:lang w:val="en-US"/>
            </w:rPr>
          </w:r>
          <w:r>
            <w:fldChar w:fldCharType="end"/>
          </w:r>
          <w:bookmarkEnd w:id="215"/>
          <w:bookmarkEnd w:id="216"/>
          <w:r>
            <w:rPr>
              <w:lang w:val="en-US"/>
            </w:rPr>
            <w:t>. When Porter (1990) introduced the “diamond model” to explain why particular industries become competitive in particular locations his approach that looked at geographically localized or clustered firms. According to Porter (1998), clusters represent a new way of thinking about a location in a time that companies can source all the needed resources often with a click of the mouse and defines: “Clusters are geographic concentrations of interconnected companies and institutions in a particular field. Clusters encompass an array of linked industries and other entities important to competition”</w:t>
          </w:r>
          <w:r>
            <w:fldChar w:fldCharType="begin"/>
          </w:r>
          <w:r>
            <w:instrText>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w:instrText>
          </w:r>
          <w:r>
            <w:fldChar w:fldCharType="separate"/>
          </w:r>
          <w:bookmarkStart w:id="217" w:name="__Fieldmark__1582_783673585"/>
          <w:r>
            <w:rPr>
              <w:lang w:val="en-US"/>
            </w:rPr>
          </w:r>
          <w:r>
            <w:rPr>
              <w:rFonts w:cs="Times New Roman"/>
              <w:lang w:val="en-US"/>
            </w:rPr>
            <w:t>(</w:t>
          </w:r>
          <w:bookmarkStart w:id="218" w:name="__Fieldmark__2047_427358540"/>
          <w:r>
            <w:rPr>
              <w:rFonts w:cs="Times New Roman"/>
              <w:lang w:val="en-US"/>
            </w:rPr>
            <w:t>M E Porter, 1998, p. 78)</w:t>
          </w:r>
          <w:r>
            <w:rPr>
              <w:lang w:val="en-US"/>
            </w:rPr>
          </w:r>
          <w:r>
            <w:fldChar w:fldCharType="end"/>
          </w:r>
          <w:bookmarkEnd w:id="217"/>
          <w:bookmarkEnd w:id="218"/>
          <w:r>
            <w:rPr>
              <w:lang w:val="en-US"/>
            </w:rPr>
            <w:t>.</w:t>
          </w:r>
        </w:p>
        <w:p>
          <w:pPr>
            <w:pStyle w:val="Normal"/>
            <w:spacing w:lineRule="auto" w:line="360"/>
            <w:rPr/>
          </w:pPr>
          <w:r>
            <w:rPr>
              <w:lang w:val="en-US"/>
            </w:rPr>
            <w:t xml:space="preserve">Porter (1990) claims that in order to understand competition and competitive advantage in the world of globalization, one need a good understanding of a cluster. More importantly, enduring competitive advantages in a global economy lie increasingly in local things such as knowledge, relationships and motivation that distant rivals cannot match </w:t>
          </w:r>
          <w:r>
            <w:fldChar w:fldCharType="begin"/>
          </w:r>
          <w:r>
            <w:instrText>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19" w:name="__Fieldmark__1591_783673585"/>
          <w:r>
            <w:rPr>
              <w:lang w:val="en-US"/>
            </w:rPr>
          </w:r>
          <w:r>
            <w:rPr>
              <w:rFonts w:cs="Times New Roman"/>
              <w:lang w:val="en-US"/>
            </w:rPr>
            <w:t>(</w:t>
          </w:r>
          <w:bookmarkStart w:id="220" w:name="__Fieldmark__2056_427358540"/>
          <w:r>
            <w:rPr>
              <w:rFonts w:cs="Times New Roman"/>
              <w:lang w:val="en-US"/>
            </w:rPr>
            <w:t>M E Porter, 1998)</w:t>
          </w:r>
          <w:r>
            <w:rPr>
              <w:lang w:val="en-US"/>
            </w:rPr>
          </w:r>
          <w:r>
            <w:fldChar w:fldCharType="end"/>
          </w:r>
          <w:bookmarkEnd w:id="219"/>
          <w:bookmarkEnd w:id="220"/>
          <w:r>
            <w:rPr>
              <w:lang w:val="en-US"/>
            </w:rPr>
            <w:t xml:space="preserve">. Many treatments of agglomeration industries rely on cost minimization due to proximity to inputs or proximity to markets </w:t>
          </w:r>
          <w:r>
            <w:fldChar w:fldCharType="begin"/>
          </w:r>
          <w:r>
            <w:instrText>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w:instrText>
          </w:r>
          <w:r>
            <w:fldChar w:fldCharType="separate"/>
          </w:r>
          <w:bookmarkStart w:id="221" w:name="__Fieldmark__1598_783673585"/>
          <w:r>
            <w:rPr>
              <w:lang w:val="en-US"/>
            </w:rPr>
          </w:r>
          <w:r>
            <w:rPr>
              <w:rFonts w:cs="Times New Roman"/>
              <w:lang w:val="en-US"/>
            </w:rPr>
            <w:t>(</w:t>
          </w:r>
          <w:bookmarkStart w:id="222" w:name="__Fieldmark__2065_427358540"/>
          <w:r>
            <w:rPr>
              <w:rFonts w:cs="Times New Roman"/>
              <w:lang w:val="en-US"/>
            </w:rPr>
            <w:t>Michael E. Porter, 2000)</w:t>
          </w:r>
          <w:r>
            <w:rPr>
              <w:lang w:val="en-US"/>
            </w:rPr>
          </w:r>
          <w:r>
            <w:fldChar w:fldCharType="end"/>
          </w:r>
          <w:bookmarkEnd w:id="221"/>
          <w:bookmarkEnd w:id="222"/>
          <w:r>
            <w:rPr>
              <w:lang w:val="en-US"/>
            </w:rPr>
            <w:t xml:space="preserve">. Technological development, easy access to markets and inputs make clusters a new way of thinking about national, state and local economies in enhancing competitiveness </w:t>
          </w:r>
          <w:r>
            <w:fldChar w:fldCharType="begin"/>
          </w:r>
          <w:r>
            <w:instrText>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23" w:name="__Fieldmark__1605_783673585"/>
          <w:r>
            <w:rPr>
              <w:lang w:val="en-US"/>
            </w:rPr>
          </w:r>
          <w:r>
            <w:rPr>
              <w:rFonts w:cs="Times New Roman"/>
              <w:lang w:val="en-US"/>
            </w:rPr>
            <w:t>(</w:t>
          </w:r>
          <w:bookmarkStart w:id="224" w:name="__Fieldmark__2071_427358540"/>
          <w:r>
            <w:rPr>
              <w:rFonts w:cs="Times New Roman"/>
              <w:lang w:val="en-US"/>
            </w:rPr>
            <w:t>M E Porter, 1998)</w:t>
          </w:r>
          <w:r>
            <w:rPr>
              <w:lang w:val="en-US"/>
            </w:rPr>
          </w:r>
          <w:r>
            <w:fldChar w:fldCharType="end"/>
          </w:r>
          <w:bookmarkEnd w:id="223"/>
          <w:bookmarkEnd w:id="224"/>
          <w:r>
            <w:rPr>
              <w:lang w:val="en-US"/>
            </w:rPr>
            <w:t xml:space="preserve">. Globalization changed the way that companies compete as resources referring to capital, technology, and other inputs can be efficiently sourced in global markets that firms can access immobile inputs via corporate networks </w:t>
          </w:r>
          <w:r>
            <w:fldChar w:fldCharType="begin"/>
          </w:r>
          <w:r>
            <w:instrText>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w:instrText>
          </w:r>
          <w:r>
            <w:fldChar w:fldCharType="separate"/>
          </w:r>
          <w:bookmarkStart w:id="225" w:name="__Fieldmark__1612_783673585"/>
          <w:r>
            <w:rPr>
              <w:lang w:val="en-US"/>
            </w:rPr>
          </w:r>
          <w:r>
            <w:rPr>
              <w:rFonts w:cs="Times New Roman"/>
              <w:lang w:val="en-US"/>
            </w:rPr>
            <w:t>(</w:t>
          </w:r>
          <w:bookmarkStart w:id="226" w:name="__Fieldmark__2082_427358540"/>
          <w:r>
            <w:rPr>
              <w:rFonts w:cs="Times New Roman"/>
              <w:lang w:val="en-US"/>
            </w:rPr>
            <w:t>Michael E. Porter, 2000)</w:t>
          </w:r>
          <w:r>
            <w:rPr>
              <w:lang w:val="en-US"/>
            </w:rPr>
          </w:r>
          <w:r>
            <w:fldChar w:fldCharType="end"/>
          </w:r>
          <w:bookmarkEnd w:id="225"/>
          <w:bookmarkEnd w:id="226"/>
          <w:r>
            <w:rPr>
              <w:lang w:val="en-US"/>
            </w:rPr>
            <w:t xml:space="preserve">. </w:t>
          </w:r>
        </w:p>
        <w:p>
          <w:pPr>
            <w:pStyle w:val="Normal"/>
            <w:spacing w:lineRule="auto" w:line="360"/>
            <w:rPr/>
          </w:pPr>
          <w:r>
            <w:rPr>
              <w:lang w:val="en-US"/>
            </w:rPr>
            <w:t xml:space="preserve">The sophistication of how companies compete in a location is strongly influenced by the quality of the microeconomic business environment </w:t>
          </w:r>
          <w:r>
            <w:fldChar w:fldCharType="begin"/>
          </w:r>
          <w:r>
            <w:instrText>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w:instrText>
          </w:r>
          <w:r>
            <w:fldChar w:fldCharType="separate"/>
          </w:r>
          <w:bookmarkStart w:id="227" w:name="__Fieldmark__1621_783673585"/>
          <w:r>
            <w:rPr>
              <w:lang w:val="en-US"/>
            </w:rPr>
          </w:r>
          <w:r>
            <w:rPr>
              <w:rFonts w:cs="Times New Roman"/>
              <w:lang w:val="en-US"/>
            </w:rPr>
            <w:t>(</w:t>
          </w:r>
          <w:bookmarkStart w:id="228" w:name="__Fieldmark__2091_427358540"/>
          <w:r>
            <w:rPr>
              <w:rFonts w:cs="Times New Roman"/>
              <w:lang w:val="en-US"/>
            </w:rPr>
            <w:t>Michael E. Porter, 2000)</w:t>
          </w:r>
          <w:r>
            <w:rPr>
              <w:lang w:val="en-US"/>
            </w:rPr>
          </w:r>
          <w:r>
            <w:fldChar w:fldCharType="end"/>
          </w:r>
          <w:bookmarkEnd w:id="227"/>
          <w:bookmarkEnd w:id="228"/>
          <w:r>
            <w:rPr>
              <w:lang w:val="en-US"/>
            </w:rPr>
            <w:t xml:space="preserve">. The biota of the cluster affects the productivity of local companies as they are able to employ advanced technology and methods offering unique outputs </w:t>
          </w:r>
          <w:r>
            <w:fldChar w:fldCharType="begin"/>
          </w:r>
          <w:r>
            <w:instrText>ADDIN ZOTERO_ITEM CSL_CITATION {"citationID":"ou273js35","properties":{"formattedCitation":"(M E Porter, 1998; Michael E. Porter, 2000)","plainCitation":"(M E Porter, 1998; Michael E. Porter, 2000)"},"citationItems":[{"id":531,"uris":["http://zotero.org/users/2966342/items/PKDHP6RM"],"uri":["http://zotero.org/users/2966342/items/PKDHP6RM"],"itemData":{"id":531,"type":"article-magazine","title":"Clusters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w:instrText>
          </w:r>
          <w:r>
            <w:fldChar w:fldCharType="separate"/>
          </w:r>
          <w:bookmarkStart w:id="229" w:name="__Fieldmark__1628_783673585"/>
          <w:r>
            <w:rPr>
              <w:lang w:val="en-US"/>
            </w:rPr>
          </w:r>
          <w:r>
            <w:rPr>
              <w:rFonts w:cs="Times New Roman"/>
              <w:lang w:val="en-US"/>
            </w:rPr>
            <w:t>(</w:t>
          </w:r>
          <w:bookmarkStart w:id="230" w:name="__Fieldmark__2097_427358540"/>
          <w:r>
            <w:rPr>
              <w:rFonts w:cs="Times New Roman"/>
              <w:lang w:val="en-US"/>
            </w:rPr>
            <w:t>M E Porter, 1998; Michael E. Porter, 2000)</w:t>
          </w:r>
          <w:r>
            <w:rPr>
              <w:lang w:val="en-US"/>
            </w:rPr>
          </w:r>
          <w:r>
            <w:fldChar w:fldCharType="end"/>
          </w:r>
          <w:bookmarkEnd w:id="229"/>
          <w:bookmarkEnd w:id="230"/>
          <w:r>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fldChar w:fldCharType="begin"/>
          </w:r>
          <w:r>
            <w:instrText>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31" w:name="__Fieldmark__1635_783673585"/>
          <w:r>
            <w:rPr>
              <w:lang w:val="en-US"/>
            </w:rPr>
          </w:r>
          <w:r>
            <w:rPr>
              <w:rFonts w:cs="Times New Roman"/>
              <w:lang w:val="en-US"/>
            </w:rPr>
            <w:t>(</w:t>
          </w:r>
          <w:bookmarkStart w:id="232" w:name="__Fieldmark__2102_427358540"/>
          <w:r>
            <w:rPr>
              <w:rFonts w:cs="Times New Roman"/>
              <w:lang w:val="en-US"/>
            </w:rPr>
            <w:t>M E Porter, 1998)</w:t>
          </w:r>
          <w:r>
            <w:rPr>
              <w:lang w:val="en-US"/>
            </w:rPr>
          </w:r>
          <w:r>
            <w:fldChar w:fldCharType="end"/>
          </w:r>
          <w:bookmarkEnd w:id="231"/>
          <w:bookmarkEnd w:id="232"/>
          <w:r>
            <w:rPr>
              <w:lang w:val="en-US"/>
            </w:rPr>
            <w:t xml:space="preserve">. Fertile ground is cultivated for new business creation using the value channels of existing structures in a productive and innovative business environment </w:t>
          </w:r>
          <w:r>
            <w:fldChar w:fldCharType="begin"/>
          </w:r>
          <w:r>
            <w:instrText>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233" w:name="__Fieldmark__1642_783673585"/>
          <w:r>
            <w:rPr>
              <w:lang w:val="en-US"/>
            </w:rPr>
          </w:r>
          <w:r>
            <w:rPr>
              <w:rFonts w:cs="Times New Roman"/>
              <w:lang w:val="en-US"/>
            </w:rPr>
            <w:t>(</w:t>
          </w:r>
          <w:bookmarkStart w:id="234" w:name="__Fieldmark__2109_427358540"/>
          <w:r>
            <w:rPr>
              <w:rFonts w:cs="Times New Roman"/>
              <w:lang w:val="en-US"/>
            </w:rPr>
            <w:t>Michael E. Porter, 1990)</w:t>
          </w:r>
          <w:r>
            <w:rPr>
              <w:lang w:val="en-US"/>
            </w:rPr>
          </w:r>
          <w:r>
            <w:fldChar w:fldCharType="end"/>
          </w:r>
          <w:bookmarkEnd w:id="233"/>
          <w:bookmarkEnd w:id="234"/>
          <w:r>
            <w:rPr>
              <w:lang w:val="en-US"/>
            </w:rPr>
            <w:t xml:space="preserve">. In such an ecosystem companies, institutions and governments should wonder how should be configured to gain competitive success, economic development and prosperity (M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 </w:t>
          </w:r>
          <w:r>
            <w:fldChar w:fldCharType="begin"/>
          </w:r>
          <w:r>
            <w:instrText>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235" w:name="__Fieldmark__1649_783673585"/>
          <w:r>
            <w:rPr>
              <w:lang w:val="en-US"/>
            </w:rPr>
          </w:r>
          <w:r>
            <w:rPr>
              <w:rFonts w:cs="Times New Roman"/>
              <w:lang w:val="en-US"/>
            </w:rPr>
            <w:t>(</w:t>
          </w:r>
          <w:bookmarkStart w:id="236" w:name="__Fieldmark__2117_427358540"/>
          <w:r>
            <w:rPr>
              <w:rFonts w:cs="Times New Roman"/>
              <w:lang w:val="en-US"/>
            </w:rPr>
            <w:t>Andersson et al., 2004)</w:t>
          </w:r>
          <w:r>
            <w:rPr>
              <w:lang w:val="en-US"/>
            </w:rPr>
          </w:r>
          <w:r>
            <w:fldChar w:fldCharType="end"/>
          </w:r>
          <w:bookmarkEnd w:id="235"/>
          <w:bookmarkEnd w:id="236"/>
          <w:r>
            <w:rPr>
              <w:lang w:val="en-US"/>
            </w:rPr>
            <w:t>.</w:t>
          </w:r>
        </w:p>
        <w:p>
          <w:pPr>
            <w:pStyle w:val="Normal"/>
            <w:spacing w:lineRule="auto" w:line="360"/>
            <w:rPr/>
          </w:pPr>
          <w:r>
            <w:rPr>
              <w:lang w:val="en-US"/>
            </w:rPr>
            <w:t xml:space="preserve">Porter’s definition of industrial or business clusters became the standard concept in the field of economic localization as not only promoted the idea of ‘clusters’ as an analytical concept, but also as a key policy tool </w:t>
          </w:r>
          <w:r>
            <w:fldChar w:fldCharType="begin"/>
          </w:r>
          <w:r>
            <w:instrText>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policy‐makers. Of the many ideas and concepts to have emerged from this new‐found focus, Michael Porter's work on ‘clusters’ has proved by far the most influential. His ‘cluster theory’ has become the standard concept in the field, and policy‐makers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w:instrText>
          </w:r>
          <w:r>
            <w:fldChar w:fldCharType="separate"/>
          </w:r>
          <w:bookmarkStart w:id="237" w:name="__Fieldmark__1658_783673585"/>
          <w:r>
            <w:rPr>
              <w:lang w:val="en-US"/>
            </w:rPr>
          </w:r>
          <w:r>
            <w:rPr>
              <w:rFonts w:cs="Times New Roman"/>
              <w:lang w:val="en-US"/>
            </w:rPr>
            <w:t>(</w:t>
          </w:r>
          <w:bookmarkStart w:id="238" w:name="__Fieldmark__2124_427358540"/>
          <w:r>
            <w:rPr>
              <w:rFonts w:cs="Times New Roman"/>
              <w:lang w:val="en-US"/>
            </w:rPr>
            <w:t>Martin &amp; Sunley, 2003)</w:t>
          </w:r>
          <w:r>
            <w:rPr>
              <w:lang w:val="en-US"/>
            </w:rPr>
          </w:r>
          <w:r>
            <w:fldChar w:fldCharType="end"/>
          </w:r>
          <w:bookmarkEnd w:id="237"/>
          <w:bookmarkEnd w:id="238"/>
          <w:r>
            <w:rPr>
              <w:lang w:val="en-US"/>
            </w:rPr>
            <w:t xml:space="preserve">. Martin &amp; Sunley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pPr>
            <w:pStyle w:val="Normal"/>
            <w:spacing w:lineRule="auto" w:line="360"/>
            <w:rPr>
              <w:lang w:val="en-US"/>
            </w:rPr>
          </w:pPr>
          <w:r>
            <w:rPr>
              <w:lang w:val="en-US"/>
            </w:rPr>
            <w:t xml:space="preserve">Andersson et al. (2004) define a regional or localized cluster as a spatial agglomeration of similar and related economic activities that form a basis of a local milieu that may facilitate knowledge spill-over and stimulate various forms of learning and adaptation. </w:t>
          </w:r>
          <w:commentRangeStart w:id="14"/>
          <w:r>
            <w:rPr>
              <w:lang w:val="en-US"/>
            </w:rPr>
            <w:t>There are many characteristics that can describe the dimension of a regional cluster such as the geographic scope, density, breadth, depth, activity base, and geographic span of sales, strength of competitive position, state of development, nature of technological activities, innovative capacity, and ownership structure</w:t>
          </w:r>
          <w:r>
            <w:fldChar w:fldCharType="begin"/>
          </w:r>
          <w:r>
            <w:instrText>ADDIN ZOTERO_ITEM CSL_CITATION {"citationID":"1tkqifbvnv","properties":{"formattedCitation":"(M.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w:instrText>
          </w:r>
          <w:r>
            <w:fldChar w:fldCharType="separate"/>
          </w:r>
          <w:bookmarkStart w:id="239" w:name="__Fieldmark__1669_783673585"/>
          <w:r>
            <w:rPr>
              <w:lang w:val="en-US"/>
            </w:rPr>
          </w:r>
          <w:r>
            <w:rPr>
              <w:rFonts w:cs="Times New Roman"/>
              <w:lang w:val="en-US"/>
            </w:rPr>
            <w:t>(</w:t>
          </w:r>
          <w:bookmarkStart w:id="240" w:name="__Fieldmark__2134_427358540"/>
          <w:r>
            <w:rPr>
              <w:rFonts w:cs="Times New Roman"/>
              <w:lang w:val="en-US"/>
            </w:rPr>
            <w:t>M. J. Enright, 2001)</w:t>
          </w:r>
          <w:r>
            <w:rPr>
              <w:lang w:val="en-US"/>
            </w:rPr>
          </w:r>
          <w:r>
            <w:fldChar w:fldCharType="end"/>
          </w:r>
          <w:bookmarkEnd w:id="239"/>
          <w:bookmarkEnd w:id="240"/>
          <w:r>
            <w:rPr>
              <w:lang w:val="en-US"/>
            </w:rPr>
            <w:t>. Those elements allow policy-makers and individuals to understand the structure of a cluster mapping the potentials and problems in a way that policies and strategies can be modified in the strategic planning for development.</w:t>
          </w:r>
          <w:commentRangeEnd w:id="14"/>
          <w:r>
            <w:commentReference w:id="14"/>
          </w:r>
          <w:r>
            <w:rPr>
              <w:lang w:val="en-US"/>
            </w:rPr>
          </w:r>
        </w:p>
        <w:p>
          <w:pPr>
            <w:pStyle w:val="Heading1"/>
            <w:rPr>
              <w:lang w:val="en-US"/>
            </w:rPr>
          </w:pPr>
          <w:bookmarkStart w:id="241" w:name="_Toc459977489"/>
          <w:bookmarkStart w:id="242" w:name="__RefHeading___Toc5764_427358540"/>
          <w:bookmarkEnd w:id="241"/>
          <w:bookmarkEnd w:id="242"/>
          <w:r>
            <w:rPr>
              <w:lang w:val="en-US"/>
            </w:rPr>
            <w:t>2.5 The cluster actors</w:t>
          </w:r>
        </w:p>
        <w:p>
          <w:pPr>
            <w:pStyle w:val="Normal"/>
            <w:spacing w:lineRule="auto" w:line="360"/>
            <w:rPr/>
          </w:pPr>
          <w:r>
            <w:rPr>
              <w:rFonts w:eastAsia="Calibri"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fldChar w:fldCharType="begin"/>
          </w:r>
          <w:r>
            <w:instrText>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w:instrText>
          </w:r>
          <w:r>
            <w:fldChar w:fldCharType="separate"/>
          </w:r>
          <w:bookmarkStart w:id="243" w:name="__Fieldmark__1686_783673585"/>
          <w:r>
            <w:rPr>
              <w:rFonts w:eastAsia="Calibri" w:cs="Times New Roman"/>
              <w:lang w:val="en-US"/>
            </w:rPr>
            <w:t>(</w:t>
          </w:r>
          <w:bookmarkStart w:id="244" w:name="__Fieldmark__2152_427358540"/>
          <w:r>
            <w:rPr>
              <w:rFonts w:eastAsia="Calibri" w:cs="Times New Roman"/>
              <w:lang w:val="en-US"/>
            </w:rPr>
            <w:t>Michael E. Porter, 2000, p. 15)</w:t>
          </w:r>
          <w:r>
            <w:rPr>
              <w:rFonts w:eastAsia="Calibri" w:cs="Times New Roman"/>
              <w:lang w:val="en-US"/>
            </w:rPr>
          </w:r>
          <w:r>
            <w:fldChar w:fldCharType="end"/>
          </w:r>
          <w:bookmarkEnd w:id="243"/>
          <w:bookmarkEnd w:id="244"/>
          <w:r>
            <w:rPr>
              <w:rFonts w:eastAsia="Calibri" w:cs="Times New Roman"/>
              <w:lang w:val="en-US"/>
            </w:rPr>
            <w:t>. He states that cluster actors to be more than single industries as they include suppliers of specialized inputs,</w:t>
          </w:r>
          <w:r>
            <w:rPr>
              <w:rFonts w:eastAsia="Calibri" w:cs="Times New Roman" w:ascii="Calibri" w:hAnsi="Calibri"/>
              <w:lang w:val="en-US"/>
            </w:rPr>
            <w:t xml:space="preserve"> </w:t>
          </w:r>
          <w:r>
            <w:rPr>
              <w:rFonts w:eastAsia="Calibri" w:cs="Times New Roman"/>
              <w:lang w:val="en-US"/>
            </w:rPr>
            <w:t>channels or customers and manufacturers of complementary products or companies related to skills. Many clusters include governmental and other institutions (e.g., universities, think tanks, vocational training providers, standards-setting agencies, trade associations)</w:t>
          </w:r>
          <w:r>
            <w:rPr>
              <w:rFonts w:eastAsia="Calibri" w:cs="Times New Roman" w:ascii="Calibri" w:hAnsi="Calibri"/>
              <w:lang w:val="en-US"/>
            </w:rPr>
            <w:t xml:space="preserve"> </w:t>
          </w:r>
          <w:r>
            <w:rPr>
              <w:rFonts w:eastAsia="Calibri" w:cs="Times New Roman"/>
              <w:lang w:val="en-US"/>
            </w:rPr>
            <w:t xml:space="preserve">trade associations and other collective bodies but also foreign firms </w:t>
          </w:r>
          <w:r>
            <w:fldChar w:fldCharType="begin"/>
          </w:r>
          <w:r>
            <w:instrText>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45" w:name="__Fieldmark__1697_783673585"/>
          <w:r>
            <w:rPr>
              <w:rFonts w:eastAsia="Calibri" w:cs="Times New Roman"/>
              <w:lang w:val="en-US"/>
            </w:rPr>
            <w:t>(</w:t>
          </w:r>
          <w:bookmarkStart w:id="246" w:name="__Fieldmark__2165_427358540"/>
          <w:r>
            <w:rPr>
              <w:rFonts w:eastAsia="Calibri" w:cs="Times New Roman"/>
              <w:lang w:val="en-US"/>
            </w:rPr>
            <w:t>M E Porter, 1998)</w:t>
          </w:r>
          <w:r>
            <w:rPr>
              <w:rFonts w:eastAsia="Calibri" w:cs="Times New Roman"/>
              <w:lang w:val="en-US"/>
            </w:rPr>
          </w:r>
          <w:r>
            <w:fldChar w:fldCharType="end"/>
          </w:r>
          <w:bookmarkEnd w:id="245"/>
          <w:bookmarkEnd w:id="246"/>
          <w:r>
            <w:rPr>
              <w:rFonts w:eastAsia="Calibri" w:cs="Times New Roman"/>
              <w:lang w:val="en-US"/>
            </w:rPr>
            <w:t xml:space="preserve">. </w:t>
          </w:r>
        </w:p>
        <w:p>
          <w:pPr>
            <w:pStyle w:val="Normal"/>
            <w:spacing w:lineRule="auto" w:line="360"/>
            <w:rPr/>
          </w:pPr>
          <w:r>
            <w:rPr>
              <w:rFonts w:eastAsia="Calibri" w:cs="Times New Roman"/>
              <w:lang w:val="en-US"/>
            </w:rPr>
            <w:t>Sölvell et al. (2003) argue that clusters consist of the following main categories of actors: co-located and linked industries, government, research community,</w:t>
          </w:r>
          <w:r>
            <w:rPr>
              <w:rFonts w:eastAsia="Calibri" w:cs="Times New Roman" w:ascii="Calibri" w:hAnsi="Calibri"/>
              <w:lang w:val="en-US"/>
            </w:rPr>
            <w:t xml:space="preserve"> </w:t>
          </w:r>
          <w:r>
            <w:rPr>
              <w:rFonts w:eastAsia="Calibri" w:cs="Times New Roman"/>
              <w:lang w:val="en-US"/>
            </w:rPr>
            <w:t xml:space="preserve">financial institutions, and institutions of collaboration (IFC) </w:t>
          </w:r>
          <w:r>
            <w:fldChar w:fldCharType="begin"/>
          </w:r>
          <w:r>
            <w:instrText>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w:instrText>
          </w:r>
          <w:r>
            <w:fldChar w:fldCharType="separate"/>
          </w:r>
          <w:bookmarkStart w:id="247" w:name="__Fieldmark__1708_783673585"/>
          <w:r>
            <w:rPr>
              <w:rFonts w:eastAsia="Calibri" w:cs="Times New Roman"/>
              <w:lang w:val="en-US"/>
            </w:rPr>
          </w:r>
          <w:r>
            <w:rPr>
              <w:rFonts w:eastAsia="Calibri" w:cs="Times New Roman"/>
              <w:szCs w:val="24"/>
              <w:lang w:val="en-US"/>
            </w:rPr>
            <w:t>(</w:t>
          </w:r>
          <w:bookmarkStart w:id="248" w:name="__Fieldmark__2175_427358540"/>
          <w:r>
            <w:rPr>
              <w:rFonts w:eastAsia="Calibri" w:cs="Times New Roman"/>
              <w:szCs w:val="24"/>
              <w:lang w:val="en-US"/>
            </w:rPr>
            <w:t>Sölvell, Lindqvist, &amp; Ketels, 2003)</w:t>
          </w:r>
          <w:r>
            <w:rPr>
              <w:rFonts w:eastAsia="Calibri" w:cs="Times New Roman"/>
              <w:lang w:val="en-US"/>
            </w:rPr>
          </w:r>
          <w:r>
            <w:fldChar w:fldCharType="end"/>
          </w:r>
          <w:bookmarkEnd w:id="247"/>
          <w:bookmarkEnd w:id="248"/>
          <w:r>
            <w:rPr>
              <w:rFonts w:eastAsia="Calibri" w:cs="Times New Roman"/>
              <w:lang w:val="en-US"/>
            </w:rPr>
            <w:t>. Andersson et al. (2004) in his analysis provide a similar to Sölvell</w:t>
          </w:r>
          <w:r>
            <w:rPr>
              <w:rFonts w:eastAsia="Calibri" w:cs="Times New Roman" w:ascii="Calibri" w:hAnsi="Calibri"/>
              <w:lang w:val="en-US"/>
            </w:rPr>
            <w:t xml:space="preserve"> </w:t>
          </w:r>
          <w:r>
            <w:rPr>
              <w:rFonts w:eastAsia="Calibri" w:cs="Times New Roman"/>
              <w:lang w:val="en-US"/>
            </w:rPr>
            <w:t xml:space="preserve">et al. (2003) cluster formation as is depicted in Figure 3. </w:t>
          </w:r>
        </w:p>
        <w:p>
          <w:pPr>
            <w:pStyle w:val="Normal"/>
            <w:spacing w:lineRule="auto" w:line="360"/>
            <w:rPr/>
          </w:pPr>
          <w:r>
            <w:rPr>
              <w:rFonts w:eastAsia="Calibri" w:cs="Times New Roman"/>
              <w:lang w:val="en-US"/>
            </w:rPr>
            <w:t>In this cluster configuration, companies are central in the system function as they are directly involved in cluster’s policies and actions.</w:t>
          </w:r>
          <w:r>
            <w:rPr>
              <w:rFonts w:eastAsia="Calibri" w:cs="Times New Roman" w:ascii="Calibri" w:hAnsi="Calibri"/>
              <w:lang w:val="en-US"/>
            </w:rPr>
            <w:t xml:space="preserve"> </w:t>
          </w:r>
          <w:commentRangeStart w:id="15"/>
          <w:r>
            <w:rPr>
              <w:rFonts w:eastAsia="Calibri" w:cs="Times New Roman"/>
              <w:lang w:val="en-US"/>
            </w:rPr>
            <w:t xml:space="preserve">The cluster firms in science-based clusters are based on new technology and knowledge, and to some extent they are spin-offs from universities and research institution </w:t>
          </w:r>
          <w:r>
            <w:fldChar w:fldCharType="begin"/>
          </w:r>
          <w:r>
            <w:instrText>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w:instrText>
          </w:r>
          <w:r>
            <w:fldChar w:fldCharType="separate"/>
          </w:r>
          <w:bookmarkStart w:id="249" w:name="__Fieldmark__1722_783673585"/>
          <w:r>
            <w:rPr>
              <w:rFonts w:eastAsia="Calibri" w:cs="Times New Roman"/>
              <w:lang w:val="en-US"/>
            </w:rPr>
          </w:r>
          <w:r>
            <w:rPr>
              <w:rFonts w:eastAsia="Calibri" w:cs="Times New Roman"/>
              <w:lang w:val="en-US"/>
            </w:rPr>
          </w:r>
          <w:r>
            <w:fldChar w:fldCharType="end"/>
          </w:r>
          <w:bookmarkEnd w:id="249"/>
          <w:r>
            <w:rPr>
              <w:rFonts w:eastAsia="Calibri" w:cs="Times New Roman"/>
              <w:lang w:val="en-US"/>
            </w:rPr>
            <w:t>(Isaksen &amp; Hauge, 2002)</w:t>
          </w:r>
          <w:bookmarkStart w:id="250" w:name="__Fieldmark__2192_427358540"/>
          <w:bookmarkEnd w:id="250"/>
          <w:r>
            <w:rPr>
              <w:rFonts w:eastAsia="Calibri" w:cs="Times New Roman"/>
              <w:lang w:val="en-US"/>
            </w:rPr>
          </w:r>
          <w:commentRangeEnd w:id="15"/>
          <w:r>
            <w:commentReference w:id="15"/>
          </w:r>
          <w:r>
            <w:rPr>
              <w:rFonts w:eastAsia="Calibri" w:cs="Times New Roman"/>
              <w:lang w:val="en-US"/>
            </w:rPr>
            <w:t xml:space="preserve">. </w:t>
          </w:r>
          <w:commentRangeStart w:id="16"/>
          <w:r>
            <w:rPr>
              <w:rFonts w:eastAsia="Calibri" w:cs="Times New Roman"/>
              <w:lang w:val="en-US"/>
            </w:rPr>
            <w:t>They are the ones that translate the system inputs into value by employing labor units and contributing to the economy wealth</w:t>
          </w:r>
          <w:r>
            <w:rPr>
              <w:rFonts w:eastAsia="Calibri" w:cs="Times New Roman"/>
              <w:lang w:val="en-US"/>
            </w:rPr>
          </w:r>
          <w:commentRangeEnd w:id="16"/>
          <w:r>
            <w:commentReference w:id="16"/>
          </w:r>
          <w:r>
            <w:rPr>
              <w:rFonts w:eastAsia="Calibri" w:cs="Times New Roman"/>
              <w:lang w:val="en-US"/>
            </w:rPr>
            <w:t>. Many successful clusters have at least one large company functioning as an anchor company with companies seen as to serve their own interests</w:t>
          </w:r>
          <w:r>
            <w:fldChar w:fldCharType="begin"/>
          </w:r>
          <w:r>
            <w:instrText>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251" w:name="__Fieldmark__1737_783673585"/>
          <w:r>
            <w:rPr>
              <w:rFonts w:eastAsia="Calibri" w:cs="Times New Roman"/>
              <w:lang w:val="en-US"/>
            </w:rPr>
            <w:t>(Andersson et al., 2004)</w:t>
          </w:r>
          <w:bookmarkStart w:id="252" w:name="__Fieldmark__2202_427358540"/>
          <w:bookmarkEnd w:id="252"/>
          <w:r>
            <w:rPr>
              <w:rFonts w:eastAsia="Calibri" w:cs="Times New Roman"/>
              <w:lang w:val="en-US"/>
            </w:rPr>
          </w:r>
          <w:r>
            <w:fldChar w:fldCharType="end"/>
          </w:r>
          <w:bookmarkEnd w:id="251"/>
          <w:r>
            <w:rPr>
              <w:rFonts w:eastAsia="Calibri" w:cs="Times New Roman"/>
              <w:lang w:val="en-US"/>
            </w:rPr>
            <w:t>.</w:t>
          </w:r>
        </w:p>
        <w:p>
          <w:pPr>
            <w:pStyle w:val="Normal"/>
            <w:spacing w:lineRule="auto" w:line="360"/>
            <w:rPr/>
          </w:pPr>
          <w:r>
            <w:rPr>
              <w:rFonts w:eastAsia="Calibri" w:cs="Times New Roman"/>
              <w:lang w:val="en-US"/>
            </w:rPr>
            <w:t>The government is more frequently in control of cluster initiatives than private sector representatives</w:t>
          </w:r>
          <w:r>
            <w:fldChar w:fldCharType="begin"/>
          </w:r>
          <w:r>
            <w:instrText>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w:instrText>
          </w:r>
          <w:r>
            <w:fldChar w:fldCharType="separate"/>
          </w:r>
          <w:bookmarkStart w:id="253" w:name="__Fieldmark__1747_783673585"/>
          <w:r>
            <w:rPr>
              <w:rFonts w:eastAsia="Calibri" w:cs="Times New Roman"/>
              <w:lang w:val="en-US"/>
            </w:rPr>
          </w:r>
          <w:r>
            <w:rPr>
              <w:rFonts w:eastAsia="Calibri" w:cs="Times New Roman"/>
              <w:szCs w:val="24"/>
              <w:lang w:val="en-US"/>
            </w:rPr>
            <w:t>(</w:t>
          </w:r>
          <w:bookmarkStart w:id="254" w:name="__Fieldmark__2209_427358540"/>
          <w:r>
            <w:rPr>
              <w:rFonts w:eastAsia="Calibri" w:cs="Times New Roman"/>
              <w:szCs w:val="24"/>
              <w:lang w:val="en-US"/>
            </w:rPr>
            <w:t>Sölvell et al., 2003)</w:t>
          </w:r>
          <w:r>
            <w:rPr>
              <w:rFonts w:eastAsia="Calibri" w:cs="Times New Roman"/>
              <w:lang w:val="en-US"/>
            </w:rPr>
          </w:r>
          <w:r>
            <w:fldChar w:fldCharType="end"/>
          </w:r>
          <w:bookmarkEnd w:id="253"/>
          <w:bookmarkEnd w:id="254"/>
          <w:r>
            <w:rPr>
              <w:rFonts w:eastAsia="Calibri" w:cs="Times New Roman"/>
              <w:lang w:val="en-US"/>
            </w:rPr>
            <w:t xml:space="preserve"> </w:t>
          </w:r>
          <w:r>
            <w:fldChar w:fldCharType="begin"/>
          </w:r>
          <w:r>
            <w:instrText>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w:instrText>
          </w:r>
          <w:r>
            <w:fldChar w:fldCharType="separate"/>
          </w:r>
          <w:bookmarkStart w:id="255" w:name="__Fieldmark__1754_783673585"/>
          <w:r>
            <w:rPr>
              <w:rFonts w:eastAsia="Calibri" w:cs="Times New Roman"/>
              <w:lang w:val="en-US"/>
            </w:rPr>
          </w:r>
          <w:r>
            <w:rPr>
              <w:rFonts w:eastAsia="Calibri" w:cs="Times New Roman"/>
              <w:szCs w:val="24"/>
              <w:lang w:val="en-US"/>
            </w:rPr>
            <w:t>(</w:t>
          </w:r>
          <w:bookmarkStart w:id="256" w:name="__Fieldmark__2214_427358540"/>
          <w:r>
            <w:rPr>
              <w:rFonts w:eastAsia="Calibri" w:cs="Times New Roman"/>
              <w:szCs w:val="24"/>
              <w:lang w:val="en-US"/>
            </w:rPr>
            <w:t>Sölvell et al., 2003)</w:t>
          </w:r>
          <w:r>
            <w:rPr>
              <w:rFonts w:eastAsia="Calibri" w:cs="Times New Roman"/>
              <w:lang w:val="en-US"/>
            </w:rPr>
          </w:r>
          <w:r>
            <w:fldChar w:fldCharType="end"/>
          </w:r>
          <w:bookmarkEnd w:id="255"/>
          <w:bookmarkEnd w:id="256"/>
          <w:r>
            <w:rPr>
              <w:rFonts w:eastAsia="Calibri" w:cs="Times New Roman"/>
              <w:lang w:val="en-US"/>
            </w:rPr>
            <w:t xml:space="preserve"> as most cluster initiatives are dependent on public funding </w:t>
          </w:r>
          <w:r>
            <w:fldChar w:fldCharType="begin"/>
          </w:r>
          <w:r>
            <w:instrText>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257" w:name="__Fieldmark__1761_783673585"/>
          <w:r>
            <w:rPr>
              <w:rFonts w:eastAsia="Calibri" w:cs="Times New Roman"/>
              <w:lang w:val="en-US"/>
            </w:rPr>
            <w:t>(</w:t>
          </w:r>
          <w:bookmarkStart w:id="258" w:name="__Fieldmark__2219_427358540"/>
          <w:r>
            <w:rPr>
              <w:rFonts w:eastAsia="Calibri" w:cs="Times New Roman"/>
              <w:lang w:val="en-US"/>
            </w:rPr>
            <w:t>Andersson et al., 2004)</w:t>
          </w:r>
          <w:r>
            <w:rPr>
              <w:rFonts w:eastAsia="Calibri" w:cs="Times New Roman"/>
              <w:lang w:val="en-US"/>
            </w:rPr>
          </w:r>
          <w:r>
            <w:fldChar w:fldCharType="end"/>
          </w:r>
          <w:bookmarkEnd w:id="257"/>
          <w:bookmarkEnd w:id="258"/>
          <w:r>
            <w:rPr>
              <w:rFonts w:eastAsia="Calibri" w:cs="Times New Roman"/>
              <w:lang w:val="en-US"/>
            </w:rPr>
            <w:t xml:space="preserve">. </w:t>
          </w:r>
          <w:commentRangeStart w:id="17"/>
          <w:r>
            <w:rPr>
              <w:rFonts w:eastAsia="Calibri" w:cs="Times New Roman"/>
              <w:lang w:val="en-US"/>
            </w:rPr>
            <w:t>Governments have to see the overall image of the social benefits and thus to provide the right foundations and infrastructure for cluster’s developme</w:t>
          </w:r>
          <w:r>
            <w:rPr>
              <w:rFonts w:eastAsia="Calibri" w:cs="Times New Roman"/>
              <w:lang w:val="en-US"/>
            </w:rPr>
          </w:r>
          <w:commentRangeEnd w:id="17"/>
          <w:r>
            <w:commentReference w:id="17"/>
          </w:r>
          <w:r>
            <w:rPr>
              <w:rFonts w:eastAsia="Calibri" w:cs="Times New Roman"/>
              <w:lang w:val="en-US"/>
            </w:rPr>
            <w:t>nt. Policymakers need to support the growth and competitiveness of the related industry with the proper organization as market forces and not government decisions will determine the outcomes</w:t>
          </w:r>
          <w:r>
            <w:fldChar w:fldCharType="begin"/>
          </w:r>
          <w:r>
            <w:instrText>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59" w:name="__Fieldmark__1773_783673585"/>
          <w:r>
            <w:rPr>
              <w:rFonts w:eastAsia="Calibri" w:cs="Times New Roman"/>
              <w:lang w:val="en-US"/>
            </w:rPr>
            <w:t>(M E Porter, 1998)</w:t>
          </w:r>
          <w:bookmarkStart w:id="260" w:name="__Fieldmark__2229_427358540"/>
          <w:bookmarkEnd w:id="260"/>
          <w:r>
            <w:rPr>
              <w:rFonts w:eastAsia="Calibri" w:cs="Times New Roman"/>
              <w:lang w:val="en-US"/>
            </w:rPr>
          </w:r>
          <w:r>
            <w:fldChar w:fldCharType="end"/>
          </w:r>
          <w:bookmarkEnd w:id="259"/>
          <w:r>
            <w:rPr>
              <w:rFonts w:eastAsia="Calibri" w:cs="Times New Roman"/>
              <w:lang w:val="en-US"/>
            </w:rPr>
            <w:t>. Furthermore,</w:t>
          </w:r>
          <w:r>
            <w:rPr>
              <w:rFonts w:eastAsia="Calibri" w:cs="Times New Roman" w:ascii="Calibri" w:hAnsi="Calibri"/>
              <w:lang w:val="en-US"/>
            </w:rPr>
            <w:t xml:space="preserve"> </w:t>
          </w:r>
          <w:r>
            <w:rPr>
              <w:rFonts w:eastAsia="Calibri" w:cs="Times New Roman"/>
              <w:lang w:val="en-US"/>
            </w:rPr>
            <w:t xml:space="preserve">Martin &amp; Sunley (2003) state that it is enormously difficult to point to any examples of deliberate cluster promotion programs that have been successful without public involvement. </w:t>
          </w:r>
        </w:p>
        <w:p>
          <w:pPr>
            <w:pStyle w:val="Normal"/>
            <w:spacing w:lineRule="auto" w:line="360"/>
            <w:rPr>
              <w:rFonts w:ascii="Times New Roman" w:hAnsi="Times New Roman" w:eastAsia="Calibri" w:cs="Times New Roman"/>
              <w:lang w:val="en-US"/>
            </w:rPr>
          </w:pPr>
          <w:r>
            <w:rPr>
              <w:rFonts w:eastAsia="Calibri" w:cs="Times New Roman"/>
              <w:lang w:val="en-US"/>
            </w:rPr>
            <w:t xml:space="preserve">Research community or Academia is generally characterized by in-depth knowledge and analytical competencies referring to universities, public laboratories or research institutes coupled with independence and specialized communication skills (Andersson et al., 2004). Few cluster initiatives are started by universities and even fewer financed by them (Sölvell et al., 2003) </w:t>
          </w:r>
          <w:commentRangeStart w:id="18"/>
          <w:r>
            <w:rPr>
              <w:rFonts w:eastAsia="Calibri" w:cs="Times New Roman"/>
              <w:lang w:val="en-US"/>
            </w:rPr>
            <w:t>but except financing Academia provides a constant flow of high-skilled labor setting the foundations for clusters growth and development.</w:t>
          </w:r>
          <w:commentRangeEnd w:id="18"/>
          <w:r>
            <w:commentReference w:id="18"/>
          </w:r>
          <w:r>
            <w:rPr>
              <w:rFonts w:eastAsia="Calibri" w:cs="Times New Roman"/>
              <w:lang w:val="en-US"/>
            </w:rPr>
          </w:r>
        </w:p>
        <w:p>
          <w:pPr>
            <w:pStyle w:val="Normal"/>
            <w:keepNext/>
            <w:spacing w:lineRule="auto" w:line="360"/>
            <w:rPr/>
          </w:pPr>
          <w:r>
            <w:rPr/>
            <w:drawing>
              <wp:inline distT="0" distB="0" distL="0" distR="0">
                <wp:extent cx="5278120" cy="2413000"/>
                <wp:effectExtent l="0" t="0" r="0" b="0"/>
                <wp:docPr id="5" name="Εικόνα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
                        <pic:cNvPicPr>
                          <a:picLocks noChangeAspect="1" noChangeArrowheads="1"/>
                        </pic:cNvPicPr>
                      </pic:nvPicPr>
                      <pic:blipFill>
                        <a:blip r:embed="rId10"/>
                        <a:stretch>
                          <a:fillRect/>
                        </a:stretch>
                      </pic:blipFill>
                      <pic:spPr bwMode="auto">
                        <a:xfrm>
                          <a:off x="0" y="0"/>
                          <a:ext cx="5278120" cy="2413000"/>
                        </a:xfrm>
                        <a:prstGeom prst="rect">
                          <a:avLst/>
                        </a:prstGeom>
                      </pic:spPr>
                    </pic:pic>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4</w:t>
          </w:r>
          <w:r>
            <w:fldChar w:fldCharType="end"/>
          </w:r>
          <w:r>
            <w:rPr>
              <w:lang w:val="en-US"/>
            </w:rPr>
            <w:t xml:space="preserve"> The cluster actors</w:t>
          </w:r>
        </w:p>
        <w:p>
          <w:pPr>
            <w:pStyle w:val="Normal"/>
            <w:spacing w:lineRule="auto" w:line="360"/>
            <w:rPr/>
          </w:pPr>
          <w:r>
            <w:rPr>
              <w:rFonts w:eastAsia="Calibri"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r>
            <w:fldChar w:fldCharType="begin"/>
          </w:r>
          <w:r>
            <w:instrText>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w:instrText>
          </w:r>
          <w:r>
            <w:fldChar w:fldCharType="separate"/>
          </w:r>
          <w:bookmarkStart w:id="261" w:name="__Fieldmark__1796_783673585"/>
          <w:r>
            <w:rPr>
              <w:rFonts w:eastAsia="Calibri" w:cs="Times New Roman"/>
              <w:lang w:val="en-US"/>
            </w:rPr>
          </w:r>
          <w:r>
            <w:rPr>
              <w:rFonts w:eastAsia="Calibri" w:cs="Times New Roman"/>
              <w:szCs w:val="24"/>
              <w:lang w:val="en-US"/>
            </w:rPr>
            <w:t>(</w:t>
          </w:r>
          <w:bookmarkStart w:id="262" w:name="__Fieldmark__2259_427358540"/>
          <w:r>
            <w:rPr>
              <w:rFonts w:eastAsia="Calibri" w:cs="Times New Roman"/>
              <w:szCs w:val="24"/>
              <w:lang w:val="en-US"/>
            </w:rPr>
            <w:t>Sölvell et al., 2003)</w:t>
          </w:r>
          <w:r>
            <w:rPr>
              <w:rFonts w:eastAsia="Calibri" w:cs="Times New Roman"/>
              <w:lang w:val="en-US"/>
            </w:rPr>
          </w:r>
          <w:r>
            <w:fldChar w:fldCharType="end"/>
          </w:r>
          <w:bookmarkEnd w:id="261"/>
          <w:bookmarkEnd w:id="262"/>
          <w:commentRangeStart w:id="19"/>
          <w:r>
            <w:rPr>
              <w:rFonts w:eastAsia="Calibri" w:cs="Times New Roman"/>
              <w:lang w:val="en-US"/>
            </w:rPr>
            <w:t xml:space="preserve">, financial actors – banks, insurance companies, public pension funds, investment funds, business angels, venture capitalists- hold great competencies to the clustering process. </w:t>
          </w:r>
          <w:r>
            <w:rPr>
              <w:rFonts w:eastAsia="Calibri" w:cs="Times New Roman"/>
              <w:lang w:val="en-US"/>
            </w:rPr>
          </w:r>
          <w:commentRangeEnd w:id="19"/>
          <w:r>
            <w:commentReference w:id="19"/>
          </w:r>
          <w:r>
            <w:rPr>
              <w:rFonts w:eastAsia="Calibri" w:cs="Times New Roman"/>
              <w:lang w:val="en-US"/>
            </w:rPr>
            <w:t>Financial actors are unlikely to take the lead as they are generally unwilling to be exposed to high risk, however,</w:t>
          </w:r>
          <w:r>
            <w:rPr>
              <w:rFonts w:eastAsia="Calibri" w:cs="Times New Roman" w:ascii="Calibri" w:hAnsi="Calibri"/>
              <w:lang w:val="en-US"/>
            </w:rPr>
            <w:t xml:space="preserve"> </w:t>
          </w:r>
          <w:r>
            <w:rPr>
              <w:rFonts w:eastAsia="Calibri" w:cs="Times New Roman"/>
              <w:lang w:val="en-US"/>
            </w:rPr>
            <w:t>their long-term approach coupled with a strong presence in local markets and well-developed networks make them important players in cluster initiatives to make strategically decisive contributions</w:t>
          </w:r>
          <w:r>
            <w:fldChar w:fldCharType="begin"/>
          </w:r>
          <w:r>
            <w:instrText>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263" w:name="__Fieldmark__1809_783673585"/>
          <w:r>
            <w:rPr>
              <w:rFonts w:eastAsia="Calibri" w:cs="Times New Roman"/>
              <w:lang w:val="en-US"/>
            </w:rPr>
            <w:t>(Andersson et al., 2004)</w:t>
          </w:r>
          <w:bookmarkStart w:id="264" w:name="__Fieldmark__2276_427358540"/>
          <w:bookmarkEnd w:id="264"/>
          <w:r>
            <w:rPr>
              <w:rFonts w:eastAsia="Calibri" w:cs="Times New Roman"/>
              <w:lang w:val="en-US"/>
            </w:rPr>
          </w:r>
          <w:r>
            <w:fldChar w:fldCharType="end"/>
          </w:r>
          <w:bookmarkEnd w:id="263"/>
          <w:r>
            <w:rPr>
              <w:rFonts w:eastAsia="Calibri" w:cs="Times New Roman"/>
              <w:lang w:val="en-US"/>
            </w:rPr>
            <w:t>.</w:t>
          </w:r>
        </w:p>
        <w:p>
          <w:pPr>
            <w:pStyle w:val="Normal"/>
            <w:spacing w:lineRule="auto" w:line="360"/>
            <w:rPr/>
          </w:pPr>
          <w:commentRangeStart w:id="20"/>
          <w:r>
            <w:rPr>
              <w:rFonts w:eastAsia="Calibri" w:cs="Times New Roman"/>
              <w:lang w:val="en-US"/>
            </w:rPr>
            <w:t>Institutions for Collaboration (IFCs) known as hybrid or ‘glue’ organizations are formal or informal actors promoting the interest of the cluster</w:t>
          </w:r>
          <w:r>
            <w:rPr>
              <w:rFonts w:eastAsia="Calibri" w:cs="Times New Roman"/>
              <w:lang w:val="en-US"/>
            </w:rPr>
          </w:r>
          <w:commentRangeEnd w:id="20"/>
          <w:r>
            <w:commentReference w:id="20"/>
          </w:r>
          <w:r>
            <w:rPr>
              <w:rFonts w:eastAsia="Calibri" w:cs="Times New Roman"/>
              <w:lang w:val="en-US"/>
            </w:rPr>
            <w:t xml:space="preserve">. Hybrid organizations include incubators (university-industry hybrid), trade associations or chambers of commerce (government-industry hybrid), and government councils e.g. research/science, innovation, etc., comprised of parts of all three government, industry, and academia elements of the Triple Helix structure </w:t>
          </w:r>
          <w:r>
            <w:fldChar w:fldCharType="begin"/>
          </w:r>
          <w:r>
            <w:instrText>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265" w:name="__Fieldmark__1823_783673585"/>
          <w:r>
            <w:rPr>
              <w:rFonts w:eastAsia="Calibri" w:cs="Times New Roman"/>
              <w:lang w:val="en-US"/>
            </w:rPr>
            <w:t>(Andersson et al., 2004)</w:t>
          </w:r>
          <w:bookmarkStart w:id="266" w:name="__Fieldmark__2289_427358540"/>
          <w:bookmarkEnd w:id="266"/>
          <w:r>
            <w:rPr>
              <w:rFonts w:eastAsia="Calibri" w:cs="Times New Roman"/>
              <w:lang w:val="en-US"/>
            </w:rPr>
          </w:r>
          <w:r>
            <w:fldChar w:fldCharType="end"/>
          </w:r>
          <w:bookmarkEnd w:id="265"/>
          <w:r>
            <w:rPr>
              <w:rFonts w:eastAsia="Calibri" w:cs="Times New Roman"/>
              <w:lang w:val="en-US"/>
            </w:rPr>
            <w:t xml:space="preserve">. </w:t>
          </w:r>
        </w:p>
        <w:p>
          <w:pPr>
            <w:pStyle w:val="Heading1"/>
            <w:rPr>
              <w:rFonts w:eastAsia="Calibri"/>
              <w:color w:val="00000A"/>
              <w:sz w:val="22"/>
              <w:szCs w:val="22"/>
              <w:lang w:val="en-US"/>
            </w:rPr>
          </w:pPr>
          <w:bookmarkStart w:id="267" w:name="_Toc459977490"/>
          <w:bookmarkStart w:id="268" w:name="__RefHeading___Toc5766_427358540"/>
          <w:bookmarkEnd w:id="267"/>
          <w:bookmarkEnd w:id="268"/>
          <w:r>
            <w:rPr>
              <w:rFonts w:eastAsia="Calibri"/>
              <w:lang w:val="en-US"/>
            </w:rPr>
            <w:t>2.6 Cluster Characteristics</w:t>
          </w:r>
        </w:p>
        <w:p>
          <w:pPr>
            <w:pStyle w:val="Normal"/>
            <w:spacing w:lineRule="auto" w:line="360"/>
            <w:rPr/>
          </w:pPr>
          <w:commentRangeStart w:id="21"/>
          <w:r>
            <w:rPr>
              <w:rFonts w:eastAsia="Times New Roman" w:cs="Times New Roman"/>
              <w:bCs/>
              <w:color w:val="000000"/>
              <w:lang w:val="en-US"/>
            </w:rPr>
            <w:t xml:space="preserve">The geographic concentration of industries in regional clusters has been explored by a number of authors. </w:t>
          </w:r>
          <w:r>
            <w:rPr>
              <w:rFonts w:eastAsia="Times New Roman" w:cs="Times New Roman"/>
              <w:bCs/>
              <w:color w:val="000000"/>
              <w:lang w:val="en-US"/>
            </w:rPr>
          </w:r>
          <w:commentRangeEnd w:id="21"/>
          <w:r>
            <w:commentReference w:id="21"/>
          </w:r>
          <w:r>
            <w:rPr>
              <w:rFonts w:eastAsia="Times New Roman" w:cs="Times New Roman"/>
              <w:bCs/>
              <w:color w:val="000000"/>
              <w:lang w:val="en-US"/>
            </w:rPr>
            <w:t xml:space="preserve">They are  including the presence of unique natural resources, economies of scale in production, proximity to markets, labor pooling, the presence of local input or equipment, </w:t>
          </w:r>
          <w:commentRangeStart w:id="22"/>
          <w:r>
            <w:rPr>
              <w:rFonts w:eastAsia="Times New Roman" w:cs="Times New Roman"/>
              <w:bCs/>
              <w:color w:val="000000"/>
              <w:lang w:val="en-US"/>
            </w:rPr>
            <w:t>suppliers, shared infrastructure, reduced transaction costs, and other localized externalities</w:t>
          </w:r>
          <w:r>
            <w:rPr>
              <w:rFonts w:eastAsia="Times New Roman" w:cs="Times New Roman"/>
              <w:bCs/>
              <w:color w:val="000000"/>
              <w:lang w:val="en-US"/>
            </w:rPr>
          </w:r>
          <w:commentRangeEnd w:id="22"/>
          <w:r>
            <w:commentReference w:id="22"/>
          </w:r>
          <w:r>
            <w:rPr>
              <w:rFonts w:eastAsia="Times New Roman" w:cs="Times New Roman"/>
              <w:bCs/>
              <w:color w:val="000000"/>
              <w:lang w:val="en-US"/>
            </w:rPr>
            <w:t xml:space="preserve"> </w:t>
          </w:r>
          <w:r>
            <w:fldChar w:fldCharType="begin"/>
          </w:r>
          <w:r>
            <w:instrText>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w:instrText>
          </w:r>
          <w:r>
            <w:fldChar w:fldCharType="separate"/>
          </w:r>
          <w:bookmarkStart w:id="269" w:name="__Fieldmark__1849_783673585"/>
          <w:r>
            <w:rPr>
              <w:rFonts w:eastAsia="Times New Roman" w:cs="Times New Roman"/>
              <w:bCs/>
              <w:color w:val="000000"/>
              <w:lang w:val="en-US"/>
            </w:rPr>
          </w:r>
          <w:r>
            <w:rPr>
              <w:rFonts w:eastAsia="Calibri" w:cs="Times New Roman"/>
              <w:bCs/>
              <w:color w:val="000000"/>
              <w:lang w:val="en-US"/>
            </w:rPr>
            <w:t>(Michael J. Enright, 2003)</w:t>
          </w:r>
          <w:bookmarkStart w:id="270" w:name="__Fieldmark__2311_427358540"/>
          <w:bookmarkEnd w:id="270"/>
          <w:r>
            <w:rPr>
              <w:rFonts w:eastAsia="Times New Roman" w:cs="Times New Roman"/>
              <w:bCs/>
              <w:color w:val="000000"/>
              <w:lang w:val="en-US"/>
            </w:rPr>
          </w:r>
          <w:r>
            <w:fldChar w:fldCharType="end"/>
          </w:r>
          <w:bookmarkEnd w:id="269"/>
          <w:r>
            <w:rPr>
              <w:rFonts w:eastAsia="Times New Roman" w:cs="Times New Roman"/>
              <w:bCs/>
              <w:color w:val="000000"/>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 xml:space="preserve">According to Porter (1998, 2000), </w:t>
          </w:r>
          <w:commentRangeStart w:id="23"/>
          <w:r>
            <w:rPr>
              <w:rFonts w:eastAsia="Calibri" w:cs="Times New Roman"/>
              <w:lang w:val="en-US"/>
            </w:rPr>
            <w:t xml:space="preserve">clusters affect competition </w:t>
          </w:r>
          <w:r>
            <w:rPr>
              <w:rFonts w:eastAsia="Calibri" w:cs="Times New Roman"/>
              <w:lang w:val="en-US"/>
            </w:rPr>
          </w:r>
          <w:commentRangeEnd w:id="23"/>
          <w:r>
            <w:commentReference w:id="23"/>
          </w:r>
          <w:r>
            <w:rPr>
              <w:rFonts w:eastAsia="Calibri"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24"/>
          <w:r>
            <w:rPr>
              <w:rFonts w:eastAsia="Calibri" w:cs="Times New Roman"/>
              <w:lang w:val="en-US"/>
            </w:rPr>
            <w:t>The intensity of productivity, innovation, and new business creation are the main advantages that cluster members can take advantage by participating in the industrial agglomeration.</w:t>
          </w:r>
          <w:commentRangeEnd w:id="24"/>
          <w:r>
            <w:commentReference w:id="24"/>
          </w:r>
          <w:r>
            <w:rPr>
              <w:rFonts w:eastAsia="Calibri" w:cs="Times New Roman"/>
              <w:lang w:val="en-US"/>
            </w:rPr>
          </w:r>
        </w:p>
        <w:p>
          <w:pPr>
            <w:pStyle w:val="Normal"/>
            <w:spacing w:lineRule="auto" w:line="360"/>
            <w:rPr>
              <w:rFonts w:ascii="Times New Roman" w:hAnsi="Times New Roman" w:eastAsia="Calibri" w:cs="Times New Roman"/>
              <w:lang w:val="en-US"/>
            </w:rPr>
          </w:pPr>
          <w:r>
            <w:rPr>
              <w:rFonts w:eastAsia="Calibri" w:cs="Times New Roman"/>
              <w:lang w:val="en-US"/>
            </w:rPr>
            <w:t xml:space="preserve">According to Porter (1998), being part of a cluster allow companies to operate more productively in sourcing inputs, in accessing information and technology but also easier cooperation with institutions. </w:t>
          </w:r>
          <w:commentRangeStart w:id="25"/>
          <w:r>
            <w:rPr>
              <w:rFonts w:eastAsia="Calibri" w:cs="Times New Roman"/>
              <w:lang w:val="en-US"/>
            </w:rPr>
            <w:t>Firms can coordinate with the related industry to measure performance and to motivate improvement from the comparability of the results</w:t>
          </w:r>
          <w:r>
            <w:rPr>
              <w:rFonts w:eastAsia="Calibri" w:cs="Times New Roman"/>
              <w:lang w:val="en-US"/>
            </w:rPr>
          </w:r>
          <w:commentRangeEnd w:id="25"/>
          <w:r>
            <w:commentReference w:id="25"/>
          </w:r>
          <w:r>
            <w:rPr>
              <w:rFonts w:eastAsia="Calibri" w:cs="Times New Roman"/>
              <w:lang w:val="en-US"/>
            </w:rPr>
            <w:t xml:space="preserve">. </w:t>
          </w:r>
          <w:commentRangeStart w:id="26"/>
          <w:r>
            <w:rPr>
              <w:rFonts w:eastAsia="Calibri"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fldChar w:fldCharType="begin"/>
          </w:r>
          <w:r>
            <w:instrText>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71" w:name="__Fieldmark__1876_783673585"/>
          <w:r>
            <w:rPr>
              <w:rFonts w:eastAsia="Calibri" w:cs="Times New Roman"/>
              <w:lang w:val="en-US"/>
            </w:rPr>
            <w:t>(M E Porter, 1998)</w:t>
          </w:r>
          <w:bookmarkStart w:id="272" w:name="__Fieldmark__2343_427358540"/>
          <w:bookmarkEnd w:id="272"/>
          <w:r>
            <w:rPr>
              <w:rFonts w:eastAsia="Calibri" w:cs="Times New Roman"/>
              <w:lang w:val="en-US"/>
            </w:rPr>
          </w:r>
          <w:r>
            <w:fldChar w:fldCharType="end"/>
          </w:r>
          <w:bookmarkEnd w:id="271"/>
          <w:r>
            <w:rPr>
              <w:rFonts w:eastAsia="Calibri" w:cs="Times New Roman"/>
              <w:lang w:val="en-US"/>
            </w:rPr>
            <w:t>.</w:t>
          </w:r>
          <w:commentRangeEnd w:id="26"/>
          <w:r>
            <w:commentReference w:id="26"/>
          </w:r>
          <w:r>
            <w:rPr>
              <w:rFonts w:eastAsia="Calibri" w:cs="Times New Roman"/>
              <w:lang w:val="en-US"/>
            </w:rPr>
          </w:r>
        </w:p>
        <w:p>
          <w:pPr>
            <w:pStyle w:val="Normal"/>
            <w:spacing w:lineRule="auto" w:line="360"/>
            <w:rPr>
              <w:rFonts w:ascii="Times New Roman" w:hAnsi="Times New Roman" w:eastAsia="Calibri" w:cs="Times New Roman"/>
              <w:lang w:val="en-US"/>
            </w:rPr>
          </w:pPr>
          <w:commentRangeStart w:id="27"/>
          <w:r>
            <w:rPr>
              <w:rFonts w:eastAsia="Calibri" w:cs="Times New Roman"/>
              <w:lang w:val="en-US"/>
            </w:rPr>
            <w:t xml:space="preserve">Communication is being facilitated among the actors in the cluster as the close informal relationships provide flexibility as an alternative tool for vertical integration. </w:t>
          </w:r>
          <w:r>
            <w:rPr>
              <w:rFonts w:eastAsia="Calibri" w:cs="Times New Roman"/>
              <w:lang w:val="en-US"/>
            </w:rPr>
          </w:r>
          <w:commentRangeEnd w:id="27"/>
          <w:r>
            <w:commentReference w:id="27"/>
          </w:r>
          <w:r>
            <w:rPr>
              <w:rFonts w:eastAsia="Calibri"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28"/>
          <w:r>
            <w:rPr>
              <w:rFonts w:eastAsia="Calibri" w:cs="Times New Roman"/>
              <w:lang w:val="en-US"/>
            </w:rPr>
            <w:t xml:space="preserve">by one can boost the success of the others in a mutual dependent environment </w:t>
          </w:r>
          <w:r>
            <w:rPr>
              <w:rFonts w:eastAsia="Calibri" w:cs="Times New Roman"/>
              <w:lang w:val="en-US"/>
            </w:rPr>
          </w:r>
          <w:commentRangeEnd w:id="28"/>
          <w:r>
            <w:commentReference w:id="28"/>
          </w:r>
          <w:r>
            <w:rPr>
              <w:rFonts w:eastAsia="Calibri" w:cs="Times New Roman"/>
              <w:lang w:val="en-US"/>
            </w:rPr>
            <w:t xml:space="preserve">(M E Porter, 1998). </w:t>
          </w:r>
        </w:p>
        <w:p>
          <w:pPr>
            <w:pStyle w:val="Normal"/>
            <w:spacing w:lineRule="auto" w:line="360"/>
            <w:rPr>
              <w:rFonts w:ascii="Times New Roman" w:hAnsi="Times New Roman" w:eastAsia="Calibri" w:cs="Times New Roman"/>
              <w:lang w:val="en-US"/>
            </w:rPr>
          </w:pPr>
          <w:r>
            <w:rPr>
              <w:rFonts w:eastAsia="Calibri" w:cs="Times New Roman"/>
              <w:lang w:val="en-US"/>
            </w:rPr>
            <w:t>Other complementarities arise in marketing</w:t>
          </w:r>
          <w:r>
            <w:fldChar w:fldCharType="begin"/>
          </w:r>
          <w:r>
            <w:instrText>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73" w:name="__Fieldmark__1897_783673585"/>
          <w:r>
            <w:rPr>
              <w:rFonts w:eastAsia="Calibri" w:cs="Times New Roman"/>
              <w:lang w:val="en-US"/>
            </w:rPr>
            <w:t>(</w:t>
          </w:r>
          <w:bookmarkStart w:id="274" w:name="__Fieldmark__2361_427358540"/>
          <w:r>
            <w:rPr>
              <w:rFonts w:eastAsia="Calibri" w:cs="Times New Roman"/>
              <w:lang w:val="en-US"/>
            </w:rPr>
            <w:t>M E Porter, 1998)</w:t>
          </w:r>
          <w:r>
            <w:rPr>
              <w:rFonts w:eastAsia="Calibri" w:cs="Times New Roman"/>
              <w:lang w:val="en-US"/>
            </w:rPr>
          </w:r>
          <w:r>
            <w:fldChar w:fldCharType="end"/>
          </w:r>
          <w:bookmarkEnd w:id="273"/>
          <w:bookmarkEnd w:id="274"/>
          <w:r>
            <w:rPr>
              <w:rFonts w:eastAsia="Calibri" w:cs="Times New Roman"/>
              <w:lang w:val="en-US"/>
            </w:rPr>
            <w:t xml:space="preserve"> as the cluster often provide the reputation needed for the buyer to turn their attention to a particular location. </w:t>
          </w:r>
          <w:commentRangeStart w:id="29"/>
          <w:r>
            <w:rPr>
              <w:rFonts w:eastAsia="Calibri" w:cs="Times New Roman"/>
              <w:lang w:val="en-US"/>
            </w:rPr>
            <w:t>In this notion cluster members benefit from a variety of cluster exposition in marketing such as marketing campaigns and magazines, trade fairs and marketing delegations</w:t>
          </w:r>
          <w:r>
            <w:rPr>
              <w:rFonts w:eastAsia="Calibri" w:cs="Times New Roman"/>
              <w:lang w:val="en-US"/>
            </w:rPr>
          </w:r>
          <w:commentRangeEnd w:id="29"/>
          <w:r>
            <w:commentReference w:id="29"/>
          </w:r>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30"/>
          <w:r>
            <w:rPr>
              <w:rFonts w:eastAsia="Calibri" w:cs="Times New Roman"/>
              <w:lang w:val="en-US"/>
            </w:rPr>
            <w:t>Managers have also the information needed to compare performances because local players share the same environment-labor costs, supplier’s costs- to perform.</w:t>
          </w:r>
          <w:r>
            <w:rPr>
              <w:rFonts w:eastAsia="Calibri" w:cs="Times New Roman"/>
              <w:lang w:val="en-US"/>
            </w:rPr>
          </w:r>
          <w:commentRangeEnd w:id="30"/>
          <w:r>
            <w:commentReference w:id="30"/>
          </w:r>
          <w:r>
            <w:rPr>
              <w:rFonts w:eastAsia="Calibri" w:cs="Times New Roman"/>
              <w:lang w:val="en-US"/>
            </w:rPr>
            <w:t xml:space="preserve"> As a result these complementarities can make buying from a cluster more attractive for costumers (M E Porter, 1998) a factor that contributes to cluster productivity. </w:t>
          </w:r>
          <w:commentRangeStart w:id="31"/>
          <w:r>
            <w:rPr>
              <w:rFonts w:eastAsia="Calibri"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31"/>
          <w:r>
            <w:commentReference w:id="31"/>
          </w:r>
          <w:r>
            <w:rPr>
              <w:rFonts w:eastAsia="Calibri" w:cs="Times New Roman"/>
              <w:lang w:val="en-US"/>
            </w:rPr>
          </w:r>
        </w:p>
        <w:p>
          <w:pPr>
            <w:pStyle w:val="Heading1"/>
            <w:rPr>
              <w:rFonts w:eastAsia="Times New Roman"/>
              <w:lang w:val="en-US"/>
            </w:rPr>
          </w:pPr>
          <w:bookmarkStart w:id="275" w:name="_Toc456874858"/>
          <w:bookmarkStart w:id="276" w:name="_Toc457211228"/>
          <w:bookmarkStart w:id="277" w:name="_Toc459977491"/>
          <w:bookmarkStart w:id="278" w:name="__RefHeading___Toc5768_427358540"/>
          <w:bookmarkEnd w:id="275"/>
          <w:bookmarkEnd w:id="276"/>
          <w:bookmarkEnd w:id="277"/>
          <w:bookmarkEnd w:id="278"/>
          <w:r>
            <w:rPr>
              <w:rFonts w:eastAsia="Times New Roman"/>
              <w:lang w:val="en-US"/>
            </w:rPr>
            <w:t>2.6.1Geographical proximity</w:t>
          </w:r>
        </w:p>
        <w:p>
          <w:pPr>
            <w:pStyle w:val="Normal"/>
            <w:spacing w:lineRule="auto" w:line="360"/>
            <w:rPr/>
          </w:pPr>
          <w:commentRangeStart w:id="32"/>
          <w:r>
            <w:rPr>
              <w:rFonts w:eastAsia="Calibri" w:cs="Times New Roman"/>
              <w:lang w:val="en-US"/>
            </w:rPr>
            <w:t>One of the most important and sometimes obvious characteristic of clusters is the geographical proximity of the cluster members as they are always located in a close proximity to each other</w:t>
          </w:r>
          <w:r>
            <w:rPr>
              <w:rFonts w:eastAsia="Calibri" w:cs="Times New Roman"/>
              <w:lang w:val="en-US"/>
            </w:rPr>
          </w:r>
          <w:commentRangeEnd w:id="32"/>
          <w:r>
            <w:commentReference w:id="32"/>
          </w:r>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 xml:space="preserve">Geographical proximity plays a vital role in the continuously upgrading of companies knowledge bases and performance </w:t>
          </w:r>
          <w:r>
            <w:fldChar w:fldCharType="begin"/>
          </w:r>
          <w:r>
            <w:instrText>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w:instrText>
          </w:r>
          <w:r>
            <w:fldChar w:fldCharType="separate"/>
          </w:r>
          <w:bookmarkStart w:id="279" w:name="__Fieldmark__1940_783673585"/>
          <w:r>
            <w:rPr>
              <w:rFonts w:eastAsia="Calibri" w:cs="Times New Roman"/>
              <w:lang w:val="en-US"/>
            </w:rPr>
            <w:t>(Feldman &amp; Florida, 1994)</w:t>
          </w:r>
          <w:bookmarkStart w:id="280" w:name="__Fieldmark__2402_427358540"/>
          <w:bookmarkEnd w:id="280"/>
          <w:r>
            <w:rPr>
              <w:rFonts w:eastAsia="Calibri" w:cs="Times New Roman"/>
              <w:lang w:val="en-US"/>
            </w:rPr>
          </w:r>
          <w:r>
            <w:fldChar w:fldCharType="end"/>
          </w:r>
          <w:bookmarkEnd w:id="279"/>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 xml:space="preserve">Firms in agglomerations can reduce their costs as interfirm transactions and shipments are simplified when the distance between firms is unimportant </w:t>
          </w:r>
          <w:r>
            <w:fldChar w:fldCharType="begin"/>
          </w:r>
          <w:r>
            <w:instrText>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w:instrText>
          </w:r>
          <w:r>
            <w:fldChar w:fldCharType="separate"/>
          </w:r>
          <w:bookmarkStart w:id="281" w:name="__Fieldmark__1950_783673585"/>
          <w:r>
            <w:rPr>
              <w:rFonts w:eastAsia="Calibri" w:cs="Times New Roman"/>
              <w:lang w:val="en-US"/>
            </w:rPr>
            <w:t>(Malmberg &amp; Maskell, 2002)</w:t>
          </w:r>
          <w:bookmarkStart w:id="282" w:name="__Fieldmark__2409_427358540"/>
          <w:bookmarkEnd w:id="282"/>
          <w:r>
            <w:rPr>
              <w:rFonts w:eastAsia="Calibri" w:cs="Times New Roman"/>
              <w:lang w:val="en-US"/>
            </w:rPr>
          </w:r>
          <w:r>
            <w:fldChar w:fldCharType="end"/>
          </w:r>
          <w:bookmarkEnd w:id="281"/>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pPr>
            <w:pStyle w:val="Heading1"/>
            <w:rPr>
              <w:rFonts w:eastAsia="Calibri"/>
              <w:lang w:val="en-US"/>
            </w:rPr>
          </w:pPr>
          <w:bookmarkStart w:id="283" w:name="_Toc456874859"/>
          <w:bookmarkStart w:id="284" w:name="_Toc457211229"/>
          <w:bookmarkStart w:id="285" w:name="_Toc459977492"/>
          <w:bookmarkStart w:id="286" w:name="__RefHeading___Toc5770_427358540"/>
          <w:bookmarkEnd w:id="283"/>
          <w:bookmarkEnd w:id="284"/>
          <w:bookmarkEnd w:id="285"/>
          <w:bookmarkEnd w:id="286"/>
          <w:r>
            <w:rPr>
              <w:rFonts w:eastAsia="Calibri"/>
              <w:lang w:val="en-US"/>
            </w:rPr>
            <w:t>2.6.2 Internal competition and co-operation</w:t>
          </w:r>
        </w:p>
        <w:p>
          <w:pPr>
            <w:pStyle w:val="Normal"/>
            <w:spacing w:lineRule="auto" w:line="360"/>
            <w:rPr>
              <w:rFonts w:ascii="Times New Roman" w:hAnsi="Times New Roman" w:eastAsia="Calibri" w:cs="Times New Roman"/>
              <w:lang w:val="en-US"/>
            </w:rPr>
          </w:pPr>
          <w:r>
            <w:rPr>
              <w:rFonts w:eastAsia="Calibri" w:cs="Times New Roman"/>
              <w:lang w:val="en-US"/>
            </w:rPr>
            <w:t xml:space="preserve">According to Porter (1998), clusters promote both competition and cooperation. </w:t>
          </w:r>
          <w:commentRangeStart w:id="33"/>
          <w:r>
            <w:rPr>
              <w:rFonts w:eastAsia="Calibri" w:cs="Times New Roman"/>
              <w:lang w:val="en-US"/>
            </w:rPr>
            <w:t>Competition makes firms to chase better performance and co-operation to take advantage of economies of scale.</w:t>
          </w:r>
          <w:r>
            <w:rPr>
              <w:rFonts w:eastAsia="Calibri" w:cs="Times New Roman" w:ascii="Calibri" w:hAnsi="Calibri"/>
              <w:lang w:val="en-US"/>
            </w:rPr>
            <w:t xml:space="preserve"> </w:t>
          </w:r>
          <w:r>
            <w:rPr>
              <w:rFonts w:eastAsia="Calibri" w:cs="Times New Roman" w:ascii="Calibri" w:hAnsi="Calibri"/>
              <w:lang w:val="en-US"/>
            </w:rPr>
          </w:r>
          <w:commentRangeEnd w:id="33"/>
          <w:r>
            <w:commentReference w:id="33"/>
          </w:r>
          <w:r>
            <w:rPr>
              <w:rFonts w:eastAsia="Calibri" w:cs="Times New Roman"/>
              <w:lang w:val="en-US"/>
            </w:rPr>
            <w:t xml:space="preserve">Regional clusters appear to entail both greater cooperation and greater competition among direct competitors than geographically dispersed industries </w:t>
          </w:r>
          <w:r>
            <w:fldChar w:fldCharType="begin"/>
          </w:r>
          <w:r>
            <w:instrText>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w:instrText>
          </w:r>
          <w:r>
            <w:fldChar w:fldCharType="separate"/>
          </w:r>
          <w:bookmarkStart w:id="287" w:name="__Fieldmark__1980_783673585"/>
          <w:r>
            <w:rPr>
              <w:rFonts w:eastAsia="Calibri" w:cs="Times New Roman"/>
              <w:lang w:val="en-US"/>
            </w:rPr>
            <w:t>(M. J. Enright, 2001)</w:t>
          </w:r>
          <w:bookmarkStart w:id="288" w:name="__Fieldmark__2431_427358540"/>
          <w:bookmarkEnd w:id="288"/>
          <w:r>
            <w:rPr>
              <w:rFonts w:eastAsia="Calibri" w:cs="Times New Roman"/>
              <w:lang w:val="en-US"/>
            </w:rPr>
          </w:r>
          <w:r>
            <w:fldChar w:fldCharType="end"/>
          </w:r>
          <w:bookmarkEnd w:id="287"/>
          <w:r>
            <w:rPr>
              <w:rFonts w:eastAsia="Calibri" w:cs="Times New Roman"/>
              <w:lang w:val="en-US"/>
            </w:rPr>
            <w:t xml:space="preserve">. </w:t>
          </w:r>
          <w:commentRangeStart w:id="34"/>
          <w:r>
            <w:rPr>
              <w:rFonts w:eastAsia="Calibri" w:cs="Times New Roman"/>
              <w:lang w:val="en-US"/>
            </w:rPr>
            <w:t>Executives desire to look good in the local community feeling pride when they perform better than the local competitors</w:t>
          </w:r>
          <w:r>
            <w:rPr>
              <w:rFonts w:eastAsia="Calibri" w:cs="Times New Roman"/>
              <w:lang w:val="en-US"/>
            </w:rPr>
          </w:r>
          <w:commentRangeEnd w:id="34"/>
          <w:r>
            <w:commentReference w:id="34"/>
          </w:r>
          <w:r>
            <w:rPr>
              <w:rFonts w:eastAsia="Calibri" w:cs="Times New Roman"/>
              <w:lang w:val="en-US"/>
            </w:rPr>
            <w:t xml:space="preserve">. Peer pressure amplifies competitive pressure within a cluster </w:t>
          </w:r>
          <w:r>
            <w:fldChar w:fldCharType="begin"/>
          </w:r>
          <w:r>
            <w:instrText>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89" w:name="__Fieldmark__1993_783673585"/>
          <w:r>
            <w:rPr>
              <w:rFonts w:eastAsia="Calibri" w:cs="Times New Roman"/>
              <w:lang w:val="en-US"/>
            </w:rPr>
            <w:t>(M E Porter, 1998)</w:t>
          </w:r>
          <w:bookmarkStart w:id="290" w:name="__Fieldmark__2441_427358540"/>
          <w:bookmarkEnd w:id="290"/>
          <w:r>
            <w:rPr>
              <w:rFonts w:eastAsia="Calibri" w:cs="Times New Roman"/>
              <w:lang w:val="en-US"/>
            </w:rPr>
          </w:r>
          <w:r>
            <w:fldChar w:fldCharType="end"/>
          </w:r>
          <w:bookmarkEnd w:id="289"/>
          <w:r>
            <w:rPr>
              <w:rFonts w:eastAsia="Calibri" w:cs="Times New Roman"/>
              <w:lang w:val="en-US"/>
            </w:rPr>
            <w:t xml:space="preserve"> </w:t>
          </w:r>
          <w:commentRangeStart w:id="35"/>
          <w:r>
            <w:rPr>
              <w:rFonts w:eastAsia="Calibri" w:cs="Times New Roman"/>
              <w:lang w:val="en-US"/>
            </w:rPr>
            <w:t>as the clustered community leaves space for local informalities in the interpersonal relations of the member that can cause the willingness to outdo one another</w:t>
          </w:r>
          <w:r>
            <w:rPr>
              <w:rFonts w:eastAsia="Calibri" w:cs="Times New Roman"/>
              <w:lang w:val="en-US"/>
            </w:rPr>
          </w:r>
          <w:commentRangeEnd w:id="35"/>
          <w:r>
            <w:commentReference w:id="35"/>
          </w:r>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commentRangeStart w:id="36"/>
          <w:r>
            <w:rPr>
              <w:rFonts w:eastAsia="Calibri" w:cs="Times New Roman"/>
              <w:lang w:val="en-US"/>
            </w:rPr>
            <w:t>Co-operation with direct competitors involves a trade-off between access to greater resources and the potential</w:t>
          </w:r>
          <w:r>
            <w:rPr>
              <w:rFonts w:eastAsia="Calibri" w:cs="Times New Roman" w:ascii="Calibri" w:hAnsi="Calibri"/>
              <w:lang w:val="en-US"/>
            </w:rPr>
            <w:t xml:space="preserve"> </w:t>
          </w:r>
          <w:r>
            <w:rPr>
              <w:rFonts w:eastAsia="Calibri" w:cs="Times New Roman"/>
              <w:lang w:val="en-US"/>
            </w:rPr>
            <w:t>for losses in terms of information or strengthen the position of the competitor</w:t>
          </w:r>
          <w:r>
            <w:rPr>
              <w:rFonts w:eastAsia="Calibri" w:cs="Times New Roman"/>
              <w:lang w:val="en-US"/>
            </w:rPr>
          </w:r>
          <w:commentRangeEnd w:id="36"/>
          <w:r>
            <w:commentReference w:id="36"/>
          </w:r>
          <w:r>
            <w:rPr>
              <w:rFonts w:eastAsia="Calibri" w:cs="Times New Roman"/>
              <w:lang w:val="en-US"/>
            </w:rPr>
            <w:t xml:space="preserve">. </w:t>
          </w:r>
          <w:commentRangeStart w:id="37"/>
          <w:r>
            <w:rPr>
              <w:rFonts w:eastAsia="Calibri" w:cs="Times New Roman"/>
              <w:lang w:val="en-US"/>
            </w:rPr>
            <w:t xml:space="preserve">Companies must participate actively and establish a significant local presence cultivating personal relationships with the environment,  a sense of common interest, and an “insider” status </w:t>
          </w:r>
          <w:r>
            <w:fldChar w:fldCharType="begin"/>
          </w:r>
          <w:r>
            <w:instrText>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91" w:name="__Fieldmark__2015_783673585"/>
          <w:r>
            <w:rPr>
              <w:rFonts w:eastAsia="Calibri" w:cs="Times New Roman"/>
              <w:lang w:val="en-US"/>
            </w:rPr>
            <w:t>(M E Porter, 1998)</w:t>
          </w:r>
          <w:bookmarkStart w:id="292" w:name="__Fieldmark__2460_427358540"/>
          <w:bookmarkEnd w:id="292"/>
          <w:r>
            <w:rPr>
              <w:rFonts w:eastAsia="Calibri" w:cs="Times New Roman"/>
              <w:lang w:val="en-US"/>
            </w:rPr>
          </w:r>
          <w:r>
            <w:fldChar w:fldCharType="end"/>
          </w:r>
          <w:bookmarkEnd w:id="291"/>
          <w:r>
            <w:rPr>
              <w:rFonts w:eastAsia="Calibri" w:cs="Times New Roman"/>
              <w:lang w:val="en-US"/>
            </w:rPr>
            <w:t>.</w:t>
          </w:r>
          <w:commentRangeEnd w:id="37"/>
          <w:r>
            <w:commentReference w:id="37"/>
          </w:r>
          <w:r>
            <w:rPr>
              <w:rFonts w:eastAsia="Calibri" w:cs="Times New Roman"/>
              <w:lang w:val="en-US"/>
            </w:rPr>
          </w:r>
        </w:p>
        <w:p>
          <w:pPr>
            <w:pStyle w:val="Heading1"/>
            <w:rPr>
              <w:rFonts w:eastAsia="Calibri"/>
              <w:lang w:val="en-US"/>
            </w:rPr>
          </w:pPr>
          <w:bookmarkStart w:id="293" w:name="_Toc456874860"/>
          <w:bookmarkStart w:id="294" w:name="__RefHeading___Toc5772_427358540"/>
          <w:bookmarkStart w:id="295" w:name="_Toc457211230"/>
          <w:bookmarkStart w:id="296" w:name="_Toc459977493"/>
          <w:bookmarkEnd w:id="293"/>
          <w:bookmarkEnd w:id="294"/>
          <w:bookmarkEnd w:id="295"/>
          <w:bookmarkEnd w:id="296"/>
          <w:r>
            <w:rPr>
              <w:rFonts w:eastAsia="Calibri"/>
              <w:lang w:val="en-US"/>
            </w:rPr>
            <w:t>2.6.3 capital and trust</w:t>
          </w:r>
        </w:p>
        <w:p>
          <w:pPr>
            <w:pStyle w:val="Normal"/>
            <w:spacing w:lineRule="auto" w:line="360"/>
            <w:rPr>
              <w:rFonts w:ascii="Times New Roman" w:hAnsi="Times New Roman" w:eastAsia="Calibri" w:cs="Times New Roman"/>
              <w:lang w:val="en-US"/>
            </w:rPr>
          </w:pPr>
          <w:r>
            <w:rPr>
              <w:rFonts w:eastAsia="Calibri" w:cs="Times New Roman"/>
              <w:lang w:val="en-US"/>
            </w:rPr>
            <w:t>Andersson et al. (2004) define social capital as the intangible aspects of the social organization or region or cluster that facilitates the collaboration among economic actors. According to</w:t>
          </w:r>
          <w:r>
            <w:rPr>
              <w:rFonts w:eastAsia="Calibri" w:cs="Times New Roman" w:ascii="Calibri" w:hAnsi="Calibri"/>
              <w:lang w:val="en-US"/>
            </w:rPr>
            <w:t xml:space="preserve"> </w:t>
          </w:r>
          <w:r>
            <w:rPr>
              <w:rFonts w:eastAsia="Calibri" w:cs="Times New Roman"/>
              <w:lang w:val="en-US"/>
            </w:rPr>
            <w:t xml:space="preserve">Sölvell et al. (2003), there are three types of capital physical, human and social capital. </w:t>
          </w:r>
          <w:commentRangeStart w:id="38"/>
          <w:commentRangeStart w:id="39"/>
          <w:r>
            <w:rPr>
              <w:rFonts w:eastAsia="Calibri" w:cs="Times New Roman"/>
              <w:lang w:val="en-US"/>
            </w:rPr>
            <w:t xml:space="preserve">Physical and financial capital consists e.g. of machinery, components, and digitized information. </w:t>
          </w:r>
          <w:r>
            <w:rPr>
              <w:rFonts w:eastAsia="Calibri" w:cs="Times New Roman"/>
              <w:lang w:val="en-US"/>
            </w:rPr>
          </w:r>
          <w:commentRangeEnd w:id="39"/>
          <w:r>
            <w:commentReference w:id="39"/>
          </w:r>
          <w:r>
            <w:rPr>
              <w:rFonts w:eastAsia="Calibri" w:cs="Times New Roman"/>
              <w:lang w:val="en-US"/>
            </w:rPr>
            <w:t>Human capital consists of e.g. skilled workers, scientists, and expatriates. Social capital is embedded in local cultures and institutions, consisting of e.g. personal networks and institutions for collaboration</w:t>
          </w:r>
          <w:r>
            <w:rPr>
              <w:rFonts w:eastAsia="Calibri" w:cs="Times New Roman"/>
              <w:lang w:val="en-US"/>
            </w:rPr>
          </w:r>
          <w:commentRangeEnd w:id="38"/>
          <w:r>
            <w:commentReference w:id="38"/>
          </w:r>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 xml:space="preserve">Social glue binds clusters together </w:t>
          </w:r>
          <w:r>
            <w:fldChar w:fldCharType="begin"/>
          </w:r>
          <w:r>
            <w:instrText>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297" w:name="__Fieldmark__2052_783673585"/>
          <w:r>
            <w:rPr>
              <w:rFonts w:eastAsia="Calibri" w:cs="Times New Roman"/>
              <w:lang w:val="en-US"/>
            </w:rPr>
            <w:t>(M E Porter, 1998)</w:t>
          </w:r>
          <w:bookmarkStart w:id="298" w:name="__Fieldmark__2491_427358540"/>
          <w:bookmarkEnd w:id="298"/>
          <w:r>
            <w:rPr>
              <w:rFonts w:eastAsia="Calibri" w:cs="Times New Roman"/>
              <w:lang w:val="en-US"/>
            </w:rPr>
          </w:r>
          <w:r>
            <w:fldChar w:fldCharType="end"/>
          </w:r>
          <w:bookmarkEnd w:id="297"/>
          <w:r>
            <w:rPr>
              <w:rFonts w:eastAsia="Calibri"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fldChar w:fldCharType="begin"/>
          </w:r>
          <w:r>
            <w:instrText>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w:instrText>
          </w:r>
          <w:r>
            <w:fldChar w:fldCharType="separate"/>
          </w:r>
          <w:bookmarkStart w:id="299" w:name="__Fieldmark__2060_783673585"/>
          <w:r>
            <w:rPr>
              <w:rFonts w:eastAsia="Calibri" w:cs="Times New Roman"/>
              <w:lang w:val="en-US"/>
            </w:rPr>
            <w:t>(Annalee Saxenian, 1994)</w:t>
          </w:r>
          <w:bookmarkStart w:id="300" w:name="__Fieldmark__2496_427358540"/>
          <w:bookmarkEnd w:id="300"/>
          <w:r>
            <w:rPr>
              <w:rFonts w:eastAsia="Calibri" w:cs="Times New Roman"/>
              <w:lang w:val="en-US"/>
            </w:rPr>
          </w:r>
          <w:r>
            <w:fldChar w:fldCharType="end"/>
          </w:r>
          <w:bookmarkEnd w:id="299"/>
          <w:r>
            <w:rPr>
              <w:rFonts w:eastAsia="Calibri" w:cs="Times New Roman"/>
              <w:lang w:val="en-US"/>
            </w:rPr>
            <w:t xml:space="preserve">. Firms may dislike each other and refuse to talk but can still, indirectly, contribute to each other’s competitive success in the global market </w:t>
          </w:r>
          <w:r>
            <w:fldChar w:fldCharType="begin"/>
          </w:r>
          <w:r>
            <w:instrText>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w:instrText>
          </w:r>
          <w:r>
            <w:fldChar w:fldCharType="separate"/>
          </w:r>
          <w:bookmarkStart w:id="301" w:name="__Fieldmark__2068_783673585"/>
          <w:r>
            <w:rPr>
              <w:rFonts w:eastAsia="Calibri" w:cs="Times New Roman"/>
              <w:lang w:val="en-US"/>
            </w:rPr>
            <w:t>(Malmberg &amp; Maskell, 2002)</w:t>
          </w:r>
          <w:bookmarkStart w:id="302" w:name="__Fieldmark__2501_427358540"/>
          <w:bookmarkEnd w:id="302"/>
          <w:r>
            <w:rPr>
              <w:rFonts w:eastAsia="Calibri" w:cs="Times New Roman"/>
              <w:lang w:val="en-US"/>
            </w:rPr>
          </w:r>
          <w:r>
            <w:fldChar w:fldCharType="end"/>
          </w:r>
          <w:bookmarkEnd w:id="301"/>
          <w:r>
            <w:rPr>
              <w:rFonts w:eastAsia="Calibri" w:cs="Times New Roman"/>
              <w:lang w:val="en-US"/>
            </w:rPr>
            <w:t>.</w:t>
          </w:r>
          <w:commentRangeStart w:id="40"/>
          <w:r>
            <w:rPr>
              <w:rFonts w:eastAsia="Calibri" w:cs="Times New Roman"/>
              <w:lang w:val="en-US"/>
            </w:rPr>
            <w:t xml:space="preserve"> Thus most relations between companies in an industrial concentration are not ideally formed.</w:t>
          </w:r>
          <w:commentRangeEnd w:id="40"/>
          <w:r>
            <w:commentReference w:id="40"/>
          </w:r>
          <w:r>
            <w:rPr>
              <w:rFonts w:eastAsia="Calibri" w:cs="Times New Roman"/>
              <w:lang w:val="en-US"/>
            </w:rPr>
          </w:r>
        </w:p>
        <w:p>
          <w:pPr>
            <w:pStyle w:val="Normal"/>
            <w:spacing w:lineRule="auto" w:line="360"/>
            <w:rPr/>
          </w:pPr>
          <w:r>
            <w:rPr>
              <w:rFonts w:eastAsia="Calibri"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fldChar w:fldCharType="begin"/>
          </w:r>
          <w:r>
            <w:instrText>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w:instrText>
          </w:r>
          <w:r>
            <w:fldChar w:fldCharType="separate"/>
          </w:r>
          <w:bookmarkStart w:id="303" w:name="__Fieldmark__2081_783673585"/>
          <w:r>
            <w:rPr>
              <w:rFonts w:eastAsia="Calibri" w:cs="Times New Roman"/>
              <w:lang w:val="en-US"/>
            </w:rPr>
            <w:t>(</w:t>
          </w:r>
          <w:bookmarkStart w:id="304" w:name="__Fieldmark__2511_427358540"/>
          <w:r>
            <w:rPr>
              <w:rFonts w:eastAsia="Calibri" w:cs="Times New Roman"/>
              <w:lang w:val="en-US"/>
            </w:rPr>
            <w:t>Cooke &amp; Morgan, 2000)</w:t>
          </w:r>
          <w:r>
            <w:rPr>
              <w:rFonts w:eastAsia="Calibri" w:cs="Times New Roman"/>
              <w:lang w:val="en-US"/>
            </w:rPr>
          </w:r>
          <w:r>
            <w:fldChar w:fldCharType="end"/>
          </w:r>
          <w:bookmarkEnd w:id="303"/>
          <w:bookmarkEnd w:id="304"/>
          <w:r>
            <w:rPr>
              <w:rFonts w:eastAsia="Calibri" w:cs="Times New Roman"/>
              <w:lang w:val="en-US"/>
            </w:rPr>
            <w:t xml:space="preserve">. Trust is one of those rare assets, like loyalty and goodwill, which have a value but no price, as it cannot be bought </w:t>
          </w:r>
          <w:r>
            <w:fldChar w:fldCharType="begin"/>
          </w:r>
          <w:r>
            <w:instrText>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w:instrText>
          </w:r>
          <w:r>
            <w:fldChar w:fldCharType="separate"/>
          </w:r>
          <w:bookmarkStart w:id="305" w:name="__Fieldmark__2088_783673585"/>
          <w:r>
            <w:rPr>
              <w:rFonts w:eastAsia="Calibri" w:cs="Times New Roman"/>
              <w:lang w:val="en-US"/>
            </w:rPr>
            <w:t>(</w:t>
          </w:r>
          <w:bookmarkStart w:id="306" w:name="__Fieldmark__2516_427358540"/>
          <w:r>
            <w:rPr>
              <w:rFonts w:eastAsia="Calibri" w:cs="Times New Roman"/>
              <w:lang w:val="en-US"/>
            </w:rPr>
            <w:t>Cooke &amp; Morgan, 2000)</w:t>
          </w:r>
          <w:r>
            <w:rPr>
              <w:rFonts w:eastAsia="Calibri" w:cs="Times New Roman"/>
              <w:lang w:val="en-US"/>
            </w:rPr>
          </w:r>
          <w:r>
            <w:fldChar w:fldCharType="end"/>
          </w:r>
          <w:bookmarkEnd w:id="305"/>
          <w:bookmarkEnd w:id="306"/>
          <w:r>
            <w:rPr>
              <w:rFonts w:eastAsia="Calibri" w:cs="Times New Roman"/>
              <w:lang w:val="en-US"/>
            </w:rPr>
            <w:t>but it has to be gained by the cluster members to take advantage of opportunities in cooperation and collaboration.</w:t>
          </w:r>
          <w:r>
            <w:rPr>
              <w:rFonts w:eastAsia="Calibri" w:cs="Times New Roman" w:ascii="Calibri" w:hAnsi="Calibri"/>
              <w:lang w:val="en-US"/>
            </w:rPr>
            <w:t xml:space="preserve"> </w:t>
          </w:r>
          <w:r>
            <w:rPr>
              <w:rFonts w:eastAsia="Calibri" w:cs="Times New Roman"/>
              <w:lang w:val="en-US"/>
            </w:rPr>
            <w:t xml:space="preserve">The resulting interaction is thus greatly impacted by the degree of trust that exists between the firms </w:t>
          </w:r>
          <w:r>
            <w:fldChar w:fldCharType="begin"/>
          </w:r>
          <w:r>
            <w:instrText>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307" w:name="__Fieldmark__2097_783673585"/>
          <w:r>
            <w:rPr>
              <w:rFonts w:eastAsia="Calibri" w:cs="Times New Roman"/>
              <w:lang w:val="en-US"/>
            </w:rPr>
            <w:t>(</w:t>
          </w:r>
          <w:bookmarkStart w:id="308" w:name="__Fieldmark__2524_427358540"/>
          <w:r>
            <w:rPr>
              <w:rFonts w:eastAsia="Calibri" w:cs="Times New Roman"/>
              <w:lang w:val="en-US"/>
            </w:rPr>
            <w:t>Bathelt et al., 2004)</w:t>
          </w:r>
          <w:r>
            <w:rPr>
              <w:rFonts w:eastAsia="Calibri" w:cs="Times New Roman"/>
              <w:lang w:val="en-US"/>
            </w:rPr>
          </w:r>
          <w:r>
            <w:fldChar w:fldCharType="end"/>
          </w:r>
          <w:bookmarkEnd w:id="307"/>
          <w:bookmarkEnd w:id="308"/>
          <w:r>
            <w:rPr>
              <w:rFonts w:eastAsia="Calibri" w:cs="Times New Roman"/>
              <w:lang w:val="en-US"/>
            </w:rPr>
            <w:t xml:space="preserve">. </w:t>
          </w:r>
        </w:p>
        <w:p>
          <w:pPr>
            <w:pStyle w:val="Heading1"/>
            <w:rPr>
              <w:rFonts w:eastAsia="Calibri"/>
              <w:lang w:val="en-US"/>
            </w:rPr>
          </w:pPr>
          <w:bookmarkStart w:id="309" w:name="__RefHeading___Toc5774_427358540"/>
          <w:bookmarkStart w:id="310" w:name="_Toc456874861"/>
          <w:bookmarkStart w:id="311" w:name="_Toc459977494"/>
          <w:bookmarkStart w:id="312" w:name="_Toc457211231"/>
          <w:bookmarkEnd w:id="309"/>
          <w:r>
            <w:rPr>
              <w:rFonts w:eastAsia="Calibri"/>
              <w:lang w:val="en-US"/>
            </w:rPr>
            <w:t>2.6.4 Leadership</w:t>
          </w:r>
          <w:bookmarkEnd w:id="310"/>
          <w:bookmarkEnd w:id="312"/>
          <w:r>
            <w:rPr>
              <w:rFonts w:eastAsia="Calibri"/>
              <w:lang w:val="en-US"/>
            </w:rPr>
            <w:t>-Entrepreneurship</w:t>
          </w:r>
          <w:bookmarkEnd w:id="311"/>
          <w:r>
            <w:rPr>
              <w:rFonts w:eastAsia="Calibri"/>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 xml:space="preserve">Individual effort and initiative is central to clustering </w:t>
          </w:r>
          <w:r>
            <w:fldChar w:fldCharType="begin"/>
          </w:r>
          <w:r>
            <w:instrText>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313" w:name="__Fieldmark__2118_783673585"/>
          <w:r>
            <w:rPr>
              <w:rFonts w:eastAsia="Calibri" w:cs="Times New Roman"/>
              <w:lang w:val="en-US"/>
            </w:rPr>
            <w:t>(</w:t>
          </w:r>
          <w:bookmarkStart w:id="314" w:name="__Fieldmark__2542_427358540"/>
          <w:r>
            <w:rPr>
              <w:rFonts w:eastAsia="Calibri" w:cs="Times New Roman"/>
              <w:lang w:val="en-US"/>
            </w:rPr>
            <w:t>Andersson et al., 2004)</w:t>
          </w:r>
          <w:r>
            <w:rPr>
              <w:rFonts w:eastAsia="Calibri" w:cs="Times New Roman"/>
              <w:lang w:val="en-US"/>
            </w:rPr>
          </w:r>
          <w:r>
            <w:fldChar w:fldCharType="end"/>
          </w:r>
          <w:bookmarkEnd w:id="313"/>
          <w:bookmarkEnd w:id="314"/>
          <w:r>
            <w:rPr>
              <w:rFonts w:eastAsia="Calibri" w:cs="Times New Roman"/>
              <w:lang w:val="en-US"/>
            </w:rPr>
            <w:t>. According to Andersson et al. (2004) clusters are often initiated by a cluster entrepreneur, or “clusterpreneur” which will take the role of a broker matching the competencies of firms universities and government agencies on a continuous basis.</w:t>
          </w:r>
          <w:commentRangeStart w:id="41"/>
          <w:r>
            <w:rPr>
              <w:rFonts w:eastAsia="Calibri" w:cs="Times New Roman" w:ascii="Calibri" w:hAnsi="Calibri"/>
              <w:lang w:val="en-US"/>
            </w:rPr>
            <w:t xml:space="preserve"> </w:t>
          </w:r>
          <w:r>
            <w:rPr>
              <w:rFonts w:eastAsia="Calibri" w:cs="Times New Roman"/>
              <w:lang w:val="en-US"/>
            </w:rPr>
            <w:t>A successful clusterpreneur must know how to appreciate options to expand network contacts both within the cluster initiative and externally</w:t>
          </w:r>
          <w:r>
            <w:rPr>
              <w:rFonts w:eastAsia="Calibri" w:cs="Times New Roman"/>
              <w:lang w:val="en-US"/>
            </w:rPr>
          </w:r>
          <w:commentRangeEnd w:id="41"/>
          <w:r>
            <w:commentReference w:id="41"/>
          </w:r>
          <w:r>
            <w:rPr>
              <w:rFonts w:eastAsia="Calibri" w:cs="Times New Roman"/>
              <w:lang w:val="en-US"/>
            </w:rPr>
            <w:t xml:space="preserve">. Clusters are often initiated by a “clusterpreneur”, with leadership later taken over by a hired cluster facilitator </w:t>
          </w:r>
          <w:r>
            <w:fldChar w:fldCharType="begin"/>
          </w:r>
          <w:r>
            <w:instrText>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w:instrText>
          </w:r>
          <w:r>
            <w:fldChar w:fldCharType="separate"/>
          </w:r>
          <w:bookmarkStart w:id="315" w:name="__Fieldmark__2131_783673585"/>
          <w:r>
            <w:rPr>
              <w:rFonts w:eastAsia="Calibri" w:cs="Times New Roman"/>
              <w:lang w:val="en-US"/>
            </w:rPr>
          </w:r>
          <w:r>
            <w:rPr>
              <w:rFonts w:eastAsia="Calibri" w:cs="Times New Roman"/>
              <w:szCs w:val="24"/>
              <w:lang w:val="en-US"/>
            </w:rPr>
            <w:t>(Sölvell et al., 2003)</w:t>
          </w:r>
          <w:bookmarkStart w:id="316" w:name="__Fieldmark__2560_427358540"/>
          <w:bookmarkEnd w:id="316"/>
          <w:r>
            <w:rPr>
              <w:rFonts w:eastAsia="Calibri" w:cs="Times New Roman"/>
              <w:lang w:val="en-US"/>
            </w:rPr>
          </w:r>
          <w:r>
            <w:fldChar w:fldCharType="end"/>
          </w:r>
          <w:bookmarkEnd w:id="315"/>
          <w:r>
            <w:rPr>
              <w:rFonts w:eastAsia="Calibri" w:cs="Times New Roman"/>
              <w:lang w:val="en-US"/>
            </w:rPr>
            <w:t xml:space="preserve">. </w:t>
          </w:r>
          <w:commentRangeStart w:id="42"/>
          <w:r>
            <w:rPr>
              <w:rFonts w:eastAsia="Calibri" w:cs="Times New Roman"/>
              <w:lang w:val="en-US"/>
            </w:rPr>
            <w:t xml:space="preserve">Leaders can be people committed to the local area acquiring acceptance from the cluster structure. Leadership is fostered by the knowledge of the specific cluster characteristics but clusterpreneurs have to round experiences from outside of the cluster. </w:t>
          </w:r>
          <w:commentRangeEnd w:id="42"/>
          <w:r>
            <w:commentReference w:id="42"/>
          </w:r>
          <w:r>
            <w:rPr>
              <w:rFonts w:eastAsia="Calibri" w:cs="Times New Roman"/>
              <w:lang w:val="en-US"/>
            </w:rPr>
          </w:r>
        </w:p>
        <w:p>
          <w:pPr>
            <w:pStyle w:val="Normal"/>
            <w:spacing w:lineRule="auto" w:line="360"/>
            <w:rPr/>
          </w:pPr>
          <w:r>
            <w:rPr>
              <w:rFonts w:eastAsia="Calibri" w:cs="Times New Roman"/>
              <w:lang w:val="en-US"/>
            </w:rPr>
            <w:t>The cluster leadership can differentiate one region from another</w:t>
          </w:r>
          <w:r>
            <w:rPr>
              <w:rFonts w:eastAsia="Calibri" w:cs="Times New Roman" w:ascii="Calibri" w:hAnsi="Calibri"/>
              <w:lang w:val="en-US"/>
            </w:rPr>
            <w:t xml:space="preserve"> </w:t>
          </w:r>
          <w:r>
            <w:rPr>
              <w:rFonts w:eastAsia="Calibri"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fldChar w:fldCharType="begin"/>
          </w:r>
          <w:r>
            <w:instrText>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w:instrText>
          </w:r>
          <w:r>
            <w:fldChar w:fldCharType="separate"/>
          </w:r>
          <w:bookmarkStart w:id="317" w:name="__Fieldmark__2146_783673585"/>
          <w:r>
            <w:rPr>
              <w:rFonts w:eastAsia="Calibri" w:cs="Times New Roman"/>
              <w:lang w:val="en-US"/>
            </w:rPr>
            <w:t>(</w:t>
          </w:r>
          <w:bookmarkStart w:id="318" w:name="__Fieldmark__2575_427358540"/>
          <w:r>
            <w:rPr>
              <w:rFonts w:eastAsia="Calibri" w:cs="Times New Roman"/>
              <w:lang w:val="en-US"/>
            </w:rPr>
            <w:t>Wolfe &amp; Gertler, 2004)</w:t>
          </w:r>
          <w:r>
            <w:rPr>
              <w:rFonts w:eastAsia="Calibri" w:cs="Times New Roman"/>
              <w:lang w:val="en-US"/>
            </w:rPr>
          </w:r>
          <w:r>
            <w:fldChar w:fldCharType="end"/>
          </w:r>
          <w:bookmarkEnd w:id="317"/>
          <w:bookmarkEnd w:id="318"/>
          <w:r>
            <w:rPr>
              <w:rFonts w:eastAsia="Calibri" w:cs="Times New Roman"/>
              <w:lang w:val="en-US"/>
            </w:rPr>
            <w:t xml:space="preserve">. </w:t>
          </w:r>
        </w:p>
        <w:p>
          <w:pPr>
            <w:pStyle w:val="Heading1"/>
            <w:rPr>
              <w:rFonts w:eastAsia="Calibri"/>
              <w:lang w:val="en-US"/>
            </w:rPr>
          </w:pPr>
          <w:bookmarkStart w:id="319" w:name="_Toc457211232"/>
          <w:bookmarkStart w:id="320" w:name="_Toc459977495"/>
          <w:bookmarkStart w:id="321" w:name="_Toc456874862"/>
          <w:bookmarkStart w:id="322" w:name="__RefHeading___Toc5776_427358540"/>
          <w:bookmarkEnd w:id="322"/>
          <w:r>
            <w:rPr>
              <w:rFonts w:eastAsia="Calibri"/>
              <w:lang w:val="en-US"/>
            </w:rPr>
            <w:t>2.6.5 Internal vs. external linkages</w:t>
          </w:r>
          <w:bookmarkEnd w:id="319"/>
          <w:bookmarkEnd w:id="320"/>
          <w:bookmarkEnd w:id="321"/>
          <w:r>
            <w:rPr>
              <w:rFonts w:eastAsia="Calibri"/>
              <w:lang w:val="en-US"/>
            </w:rPr>
            <w:t>-Physical proximity</w:t>
          </w:r>
        </w:p>
        <w:p>
          <w:pPr>
            <w:pStyle w:val="Normal"/>
            <w:spacing w:lineRule="auto" w:line="360"/>
            <w:rPr>
              <w:rFonts w:ascii="Times New Roman" w:hAnsi="Times New Roman" w:eastAsia="Calibri" w:cs="Times New Roman"/>
              <w:lang w:val="en-US"/>
            </w:rPr>
          </w:pPr>
          <w:r>
            <w:rPr>
              <w:rFonts w:eastAsia="Calibri" w:cs="Times New Roman"/>
              <w:lang w:val="en-US"/>
            </w:rPr>
            <w:t>In order to avoid stagnation, the regional clusters not only need favorable local conditions but also free and substantial mobility between the cluster and the world around it (Sölvell et al. 2003).</w:t>
          </w:r>
          <w:r>
            <w:rPr>
              <w:rFonts w:eastAsia="Calibri" w:cs="Times New Roman" w:ascii="Calibri" w:hAnsi="Calibri"/>
              <w:lang w:val="en-US"/>
            </w:rPr>
            <w:t xml:space="preserve"> </w:t>
          </w:r>
          <w:r>
            <w:rPr>
              <w:rFonts w:eastAsia="Calibri" w:cs="Times New Roman"/>
              <w:lang w:val="en-US"/>
            </w:rPr>
            <w:t xml:space="preserve">Complex technologies require the support of sophisticated organizational networks providing the key elements of the overall technology as these elements are situated across a wide array of locations </w:t>
          </w:r>
          <w:r>
            <w:fldChar w:fldCharType="begin"/>
          </w:r>
          <w:r>
            <w:instrText>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w:instrText>
          </w:r>
          <w:r>
            <w:fldChar w:fldCharType="separate"/>
          </w:r>
          <w:bookmarkStart w:id="323" w:name="__Fieldmark__2168_783673585"/>
          <w:r>
            <w:rPr>
              <w:rFonts w:eastAsia="Calibri" w:cs="Times New Roman"/>
              <w:lang w:val="en-US"/>
            </w:rPr>
            <w:t>(</w:t>
          </w:r>
          <w:bookmarkStart w:id="324" w:name="__Fieldmark__2593_427358540"/>
          <w:r>
            <w:rPr>
              <w:rFonts w:eastAsia="Calibri" w:cs="Times New Roman"/>
              <w:lang w:val="en-US"/>
            </w:rPr>
            <w:t>Wolfe &amp; Gertler, 2004)</w:t>
          </w:r>
          <w:r>
            <w:rPr>
              <w:rFonts w:eastAsia="Calibri" w:cs="Times New Roman"/>
              <w:lang w:val="en-US"/>
            </w:rPr>
          </w:r>
          <w:r>
            <w:fldChar w:fldCharType="end"/>
          </w:r>
          <w:bookmarkEnd w:id="323"/>
          <w:bookmarkEnd w:id="324"/>
          <w:r>
            <w:rPr>
              <w:rFonts w:eastAsia="Calibri" w:cs="Times New Roman"/>
              <w:lang w:val="en-US"/>
            </w:rPr>
            <w:t>.</w:t>
          </w:r>
          <w:r>
            <w:rPr>
              <w:rFonts w:eastAsia="Calibri" w:cs="Times New Roman" w:ascii="Calibri" w:hAnsi="Calibri"/>
              <w:lang w:val="en-US"/>
            </w:rPr>
            <w:t xml:space="preserve"> </w:t>
          </w:r>
          <w:commentRangeStart w:id="43"/>
          <w:r>
            <w:rPr>
              <w:rFonts w:eastAsia="Calibri" w:cs="Times New Roman"/>
              <w:lang w:val="en-US"/>
            </w:rPr>
            <w:t>The extent, in which a company is exposed to the search and reach of information, the physical proximity, helps the firm to cooperate and create interpersonal networks with other actors</w:t>
          </w:r>
          <w:r>
            <w:rPr>
              <w:rFonts w:eastAsia="Calibri" w:cs="Times New Roman"/>
              <w:lang w:val="en-US"/>
            </w:rPr>
          </w:r>
          <w:commentRangeEnd w:id="43"/>
          <w:r>
            <w:commentReference w:id="43"/>
          </w:r>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relationship between firms and the competitive environments in which they operate has been a contentious issue in social science </w:t>
          </w:r>
          <w:r>
            <w:fldChar w:fldCharType="begin"/>
          </w:r>
          <w:r>
            <w:instrText>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w:instrText>
          </w:r>
          <w:r>
            <w:fldChar w:fldCharType="separate"/>
          </w:r>
          <w:bookmarkStart w:id="325" w:name="__Fieldmark__2182_783673585"/>
          <w:r>
            <w:rPr>
              <w:rFonts w:eastAsia="Calibri" w:cs="Times New Roman"/>
              <w:lang w:val="en-US"/>
            </w:rPr>
            <w:t>(</w:t>
          </w:r>
          <w:bookmarkStart w:id="326" w:name="__Fieldmark__2606_427358540"/>
          <w:r>
            <w:rPr>
              <w:rFonts w:eastAsia="Calibri" w:cs="Times New Roman"/>
              <w:lang w:val="en-US"/>
            </w:rPr>
            <w:t>Tracey &amp; Clark, 2003)</w:t>
          </w:r>
          <w:r>
            <w:rPr>
              <w:rFonts w:eastAsia="Calibri" w:cs="Times New Roman"/>
              <w:lang w:val="en-US"/>
            </w:rPr>
          </w:r>
          <w:r>
            <w:fldChar w:fldCharType="end"/>
          </w:r>
          <w:bookmarkEnd w:id="325"/>
          <w:bookmarkEnd w:id="326"/>
          <w:r>
            <w:rPr>
              <w:rFonts w:eastAsia="Calibri" w:cs="Times New Roman"/>
              <w:lang w:val="en-US"/>
            </w:rPr>
            <w:t xml:space="preserve">. Networks of interaction are particularly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44"/>
          <w:r>
            <w:rPr>
              <w:rFonts w:eastAsia="Calibri" w:cs="Times New Roman"/>
              <w:lang w:val="en-US"/>
            </w:rPr>
            <w:t>Thus, alliances and partnerships between related firms foster interactive learning in the ecosystem through the sharing of knowledge and information facilitated from the shared values, the trust and the common ways of working.</w:t>
          </w:r>
          <w:commentRangeEnd w:id="44"/>
          <w:r>
            <w:commentReference w:id="44"/>
          </w:r>
          <w:r>
            <w:rPr>
              <w:rFonts w:eastAsia="Calibri" w:cs="Times New Roman"/>
              <w:lang w:val="en-US"/>
            </w:rPr>
          </w:r>
        </w:p>
        <w:p>
          <w:pPr>
            <w:pStyle w:val="Normal"/>
            <w:spacing w:lineRule="auto" w:line="360"/>
            <w:rPr/>
          </w:pPr>
          <w:r>
            <w:rPr>
              <w:rFonts w:eastAsia="Calibri" w:cs="Times New Roman"/>
              <w:lang w:val="en-US"/>
            </w:rPr>
            <w:t>Bathelt et al. (2004) refer to two kinds of knowledge: local buzz and global pipelines. According to them,</w:t>
          </w:r>
          <w:r>
            <w:rPr>
              <w:rFonts w:eastAsia="Calibri" w:cs="Times New Roman" w:ascii="Calibri" w:hAnsi="Calibri"/>
              <w:lang w:val="en-US"/>
            </w:rPr>
            <w:t xml:space="preserve"> </w:t>
          </w:r>
          <w:r>
            <w:rPr>
              <w:rFonts w:eastAsia="Calibri" w:cs="Times New Roman"/>
              <w:lang w:val="en-US"/>
            </w:rPr>
            <w:t>buzz refers to the information and communication ecology created by face-to-face contacts, co-presence and co-location of people and firms within the same industry and place or region</w:t>
          </w:r>
          <w:commentRangeStart w:id="45"/>
          <w:r>
            <w:rPr>
              <w:rFonts w:eastAsia="Calibri" w:cs="Times New Roman"/>
              <w:lang w:val="en-US"/>
            </w:rPr>
            <w:t>. This sort of information and communication is more or less automatically received by those who are located within the region and who participate in the cluster’s various social and economic spheres.</w:t>
          </w:r>
          <w:r>
            <w:rPr>
              <w:rFonts w:eastAsia="Calibri" w:cs="Times New Roman" w:ascii="Calibri" w:hAnsi="Calibri"/>
              <w:lang w:val="en-US"/>
            </w:rPr>
            <w:t xml:space="preserve"> </w:t>
          </w:r>
          <w:r>
            <w:rPr>
              <w:rFonts w:eastAsia="Calibri" w:cs="Times New Roman" w:ascii="Calibri" w:hAnsi="Calibri"/>
              <w:lang w:val="en-US"/>
            </w:rPr>
          </w:r>
          <w:commentRangeEnd w:id="45"/>
          <w:r>
            <w:commentReference w:id="45"/>
          </w:r>
          <w:r>
            <w:rPr>
              <w:rFonts w:eastAsia="Calibri" w:cs="Times New Roman"/>
              <w:lang w:val="en-US"/>
            </w:rPr>
            <w:t xml:space="preserve">It is almost unavoidable to receive information, rumors and news about other cluster firms and their actions as the participation in the buzz do not require particular investments </w:t>
          </w:r>
          <w:r>
            <w:fldChar w:fldCharType="begin"/>
          </w:r>
          <w:r>
            <w:instrText>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327" w:name="__Fieldmark__2202_783673585"/>
          <w:r>
            <w:rPr>
              <w:rFonts w:eastAsia="Calibri" w:cs="Times New Roman"/>
              <w:lang w:val="en-US"/>
            </w:rPr>
            <w:t>(Bathelt et al., 2004)</w:t>
          </w:r>
          <w:bookmarkStart w:id="328" w:name="__Fieldmark__2631_427358540"/>
          <w:bookmarkEnd w:id="328"/>
          <w:r>
            <w:rPr>
              <w:rFonts w:eastAsia="Calibri" w:cs="Times New Roman"/>
              <w:lang w:val="en-US"/>
            </w:rPr>
          </w:r>
          <w:r>
            <w:fldChar w:fldCharType="end"/>
          </w:r>
          <w:bookmarkEnd w:id="327"/>
          <w:r>
            <w:rPr>
              <w:rFonts w:eastAsia="Calibri" w:cs="Times New Roman"/>
              <w:lang w:val="en-US"/>
            </w:rPr>
            <w:t>. Local buzz is thus a form of a network of communication between cluster members and it can take place in every segment of interactions from formal negotiations between firms but also to informal chats during a lunch break.</w:t>
          </w:r>
        </w:p>
        <w:p>
          <w:pPr>
            <w:pStyle w:val="Normal"/>
            <w:spacing w:lineRule="auto" w:line="360"/>
            <w:rPr>
              <w:rFonts w:ascii="Times New Roman" w:hAnsi="Times New Roman" w:eastAsia="Calibri" w:cs="Times New Roman"/>
            </w:rPr>
          </w:pPr>
          <w:r>
            <w:rPr/>
            <w:drawing>
              <wp:inline distT="0" distB="0" distL="0" distR="0">
                <wp:extent cx="7272655" cy="5060950"/>
                <wp:effectExtent l="0" t="0" r="0" b="0"/>
                <wp:docPr id="6" name="Εικόνα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1" descr=""/>
                        <pic:cNvPicPr>
                          <a:picLocks noChangeAspect="1" noChangeArrowheads="1"/>
                        </pic:cNvPicPr>
                      </pic:nvPicPr>
                      <pic:blipFill>
                        <a:blip r:embed="rId11"/>
                        <a:stretch>
                          <a:fillRect/>
                        </a:stretch>
                      </pic:blipFill>
                      <pic:spPr bwMode="auto">
                        <a:xfrm>
                          <a:off x="0" y="0"/>
                          <a:ext cx="7272655" cy="5060950"/>
                        </a:xfrm>
                        <a:prstGeom prst="rect">
                          <a:avLst/>
                        </a:prstGeom>
                      </pic:spPr>
                    </pic:pic>
                  </a:graphicData>
                </a:graphic>
              </wp:inline>
            </w:drawing>
          </w:r>
        </w:p>
        <w:p>
          <w:pPr>
            <w:pStyle w:val="Normal"/>
            <w:spacing w:lineRule="auto" w:line="360"/>
            <w:rPr>
              <w:rFonts w:ascii="Times New Roman" w:hAnsi="Times New Roman" w:eastAsia="Calibri" w:cs="Times New Roman"/>
              <w:lang w:val="en-US"/>
            </w:rPr>
          </w:pPr>
          <w:r>
            <w:rPr>
              <w:rFonts w:eastAsia="Calibri" w:cs="Times New Roman"/>
              <w:lang w:val="en-US"/>
            </w:rPr>
          </w:r>
        </w:p>
        <w:p>
          <w:pPr>
            <w:pStyle w:val="Normal"/>
            <w:spacing w:lineRule="auto" w:line="360"/>
            <w:rPr>
              <w:rFonts w:ascii="Times New Roman" w:hAnsi="Times New Roman" w:eastAsia="Calibri" w:cs="Times New Roman"/>
              <w:lang w:val="en-US"/>
            </w:rPr>
          </w:pPr>
          <w:r>
            <w:rPr>
              <w:rFonts w:eastAsia="Calibri" w:cs="Times New Roman"/>
              <w:lang w:val="en-US"/>
            </w:rPr>
            <w:t xml:space="preserve">While interaction and information exchange within the cluster – the local buzz – is characterized as frequent, broad, relatively unstructured and largely ‘automatic’, pipelines function in a very different way </w:t>
          </w:r>
          <w:r>
            <w:fldChar w:fldCharType="begin"/>
          </w:r>
          <w:r>
            <w:instrText>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329" w:name="__Fieldmark__2213_783673585"/>
          <w:r>
            <w:rPr>
              <w:rFonts w:eastAsia="Calibri" w:cs="Times New Roman"/>
              <w:lang w:val="en-US"/>
            </w:rPr>
            <w:t>(</w:t>
          </w:r>
          <w:bookmarkStart w:id="330" w:name="__Fieldmark__2643_427358540"/>
          <w:r>
            <w:rPr>
              <w:rFonts w:eastAsia="Calibri" w:cs="Times New Roman"/>
              <w:lang w:val="en-US"/>
            </w:rPr>
            <w:t>Bathelt et al., 2004)</w:t>
          </w:r>
          <w:r>
            <w:rPr>
              <w:rFonts w:eastAsia="Calibri" w:cs="Times New Roman"/>
              <w:lang w:val="en-US"/>
            </w:rPr>
          </w:r>
          <w:r>
            <w:fldChar w:fldCharType="end"/>
          </w:r>
          <w:bookmarkEnd w:id="329"/>
          <w:bookmarkEnd w:id="330"/>
          <w:r>
            <w:rPr>
              <w:rFonts w:eastAsia="Calibri" w:cs="Times New Roman"/>
              <w:lang w:val="en-US"/>
            </w:rPr>
            <w:t xml:space="preserve">. Even though </w:t>
          </w:r>
          <w:commentRangeStart w:id="46"/>
          <w:r>
            <w:rPr>
              <w:rFonts w:eastAsia="Calibri" w:cs="Times New Roman"/>
              <w:lang w:val="en-US"/>
            </w:rPr>
            <w:t xml:space="preserve">knowledge spillovers </w:t>
          </w:r>
          <w:r>
            <w:rPr>
              <w:rFonts w:eastAsia="Calibri" w:cs="Times New Roman"/>
              <w:lang w:val="en-US"/>
            </w:rPr>
          </w:r>
          <w:commentRangeEnd w:id="46"/>
          <w:r>
            <w:commentReference w:id="46"/>
          </w:r>
          <w:r>
            <w:rPr>
              <w:rFonts w:eastAsia="Calibri" w:cs="Times New Roman"/>
              <w:lang w:val="en-US"/>
            </w:rPr>
            <w:t>may be more effective within a regional network than across its borders, physical distance,</w:t>
          </w:r>
          <w:r>
            <w:rPr>
              <w:rFonts w:eastAsia="Calibri" w:cs="Times New Roman"/>
              <w:color w:val="92D050"/>
              <w:lang w:val="en-US"/>
            </w:rPr>
            <w:t xml:space="preserve"> </w:t>
          </w:r>
          <w:r>
            <w:rPr>
              <w:rFonts w:eastAsia="Calibri" w:cs="Times New Roman"/>
              <w:lang w:val="en-US"/>
            </w:rPr>
            <w:t xml:space="preserve">the geographical proximity, is not the only influence.  The  access to new knowledge does not just result from local and regional interaction but is often acquired through strategic partnerships of interregional and international reach </w:t>
          </w:r>
          <w:r>
            <w:fldChar w:fldCharType="begin"/>
          </w:r>
          <w:r>
            <w:instrText>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w:instrText>
          </w:r>
          <w:r>
            <w:fldChar w:fldCharType="separate"/>
          </w:r>
          <w:bookmarkStart w:id="331" w:name="__Fieldmark__2227_783673585"/>
          <w:r>
            <w:rPr>
              <w:rFonts w:eastAsia="Calibri" w:cs="Times New Roman"/>
              <w:lang w:val="en-US"/>
            </w:rPr>
            <w:t>(Owen-Smith &amp; Powell, 2004)</w:t>
          </w:r>
          <w:bookmarkStart w:id="332" w:name="__Fieldmark__2660_427358540"/>
          <w:bookmarkEnd w:id="332"/>
          <w:r>
            <w:rPr>
              <w:rFonts w:eastAsia="Calibri" w:cs="Times New Roman"/>
              <w:lang w:val="en-US"/>
            </w:rPr>
          </w:r>
          <w:r>
            <w:fldChar w:fldCharType="end"/>
          </w:r>
          <w:bookmarkEnd w:id="331"/>
          <w:r>
            <w:rPr>
              <w:rFonts w:eastAsia="Calibri" w:cs="Times New Roman"/>
              <w:lang w:val="en-US"/>
            </w:rPr>
            <w:t>.</w:t>
          </w:r>
          <w:r>
            <w:rPr>
              <w:rFonts w:eastAsia="Calibri" w:cs="Times New Roman" w:ascii="Calibri" w:hAnsi="Calibri"/>
              <w:lang w:val="en-US"/>
            </w:rPr>
            <w:t xml:space="preserve"> </w:t>
          </w:r>
          <w:r>
            <w:rPr>
              <w:rFonts w:eastAsia="Calibri" w:cs="Times New Roman"/>
              <w:lang w:val="en-US"/>
            </w:rPr>
            <w:t>Decisive, non-</w:t>
          </w:r>
          <w:commentRangeStart w:id="47"/>
          <w:r>
            <w:rPr>
              <w:rFonts w:eastAsia="Calibri" w:cs="Times New Roman"/>
              <w:lang w:val="en-US"/>
            </w:rPr>
            <w:t xml:space="preserve">incremental knowledge </w:t>
          </w:r>
          <w:r>
            <w:rPr>
              <w:rFonts w:eastAsia="Calibri" w:cs="Times New Roman"/>
              <w:lang w:val="en-US"/>
            </w:rPr>
          </w:r>
          <w:commentRangeEnd w:id="47"/>
          <w:r>
            <w:commentReference w:id="47"/>
          </w:r>
          <w:r>
            <w:rPr>
              <w:rFonts w:eastAsia="Calibri" w:cs="Times New Roman"/>
              <w:lang w:val="en-US"/>
            </w:rPr>
            <w:t xml:space="preserve">flows are often generated through ‘network pipelines’, rather than through undirected, ‘local broadcasting’ </w:t>
          </w:r>
          <w:r>
            <w:fldChar w:fldCharType="begin"/>
          </w:r>
          <w:r>
            <w:instrText>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333" w:name="__Fieldmark__2242_783673585"/>
          <w:r>
            <w:rPr>
              <w:rFonts w:eastAsia="Calibri" w:cs="Times New Roman"/>
              <w:lang w:val="en-US"/>
            </w:rPr>
            <w:t>(Bathelt et al., 2004)</w:t>
          </w:r>
          <w:bookmarkStart w:id="334" w:name="__Fieldmark__2672_427358540"/>
          <w:bookmarkEnd w:id="334"/>
          <w:r>
            <w:rPr>
              <w:rFonts w:eastAsia="Calibri" w:cs="Times New Roman"/>
              <w:lang w:val="en-US"/>
            </w:rPr>
          </w:r>
          <w:r>
            <w:fldChar w:fldCharType="end"/>
          </w:r>
          <w:bookmarkEnd w:id="333"/>
          <w:r>
            <w:rPr>
              <w:rFonts w:eastAsia="Calibri" w:cs="Times New Roman"/>
              <w:lang w:val="en-US"/>
            </w:rPr>
            <w:t>.</w:t>
          </w:r>
          <w:r>
            <w:rPr>
              <w:rFonts w:eastAsia="Calibri" w:cs="Times New Roman" w:ascii="Calibri" w:hAnsi="Calibri"/>
              <w:lang w:val="en-US"/>
            </w:rPr>
            <w:t xml:space="preserve"> </w:t>
          </w:r>
          <w:commentRangeStart w:id="48"/>
          <w:r>
            <w:rPr>
              <w:rFonts w:eastAsia="Calibri" w:cs="Times New Roman"/>
              <w:lang w:val="en-US"/>
            </w:rPr>
            <w:t>The establishment of global pipelines with new partners requires that new trust is being built in a conscious and systematic way.</w:t>
          </w:r>
          <w:r>
            <w:rPr>
              <w:rFonts w:eastAsia="Calibri" w:cs="Times New Roman"/>
              <w:lang w:val="en-US"/>
            </w:rPr>
          </w:r>
          <w:commentRangeEnd w:id="48"/>
          <w:r>
            <w:commentReference w:id="48"/>
          </w:r>
          <w:r>
            <w:rPr>
              <w:rFonts w:eastAsia="Calibri" w:cs="Times New Roman"/>
              <w:lang w:val="en-US"/>
            </w:rPr>
            <w:t xml:space="preserve"> Global pipeline</w:t>
          </w:r>
          <w:r>
            <w:rPr>
              <w:rFonts w:eastAsia="Calibri" w:cs="Times New Roman"/>
            </w:rPr>
            <w:t>σ</w:t>
          </w:r>
          <w:r>
            <w:rPr>
              <w:rFonts w:eastAsia="Calibri" w:cs="Times New Roman"/>
              <w:lang w:val="en-US"/>
            </w:rPr>
            <w:t xml:space="preserve"> presuppose trust.</w:t>
          </w:r>
        </w:p>
        <w:p>
          <w:pPr>
            <w:pStyle w:val="Normal"/>
            <w:spacing w:lineRule="auto" w:line="360"/>
            <w:rPr>
              <w:rFonts w:ascii="Times New Roman" w:hAnsi="Times New Roman" w:eastAsia="Calibri" w:cs="Times New Roman"/>
              <w:lang w:val="en-US"/>
            </w:rPr>
          </w:pPr>
          <w:commentRangeStart w:id="49"/>
          <w:r>
            <w:rPr>
              <w:rFonts w:eastAsia="Calibri" w:cs="Times New Roman"/>
              <w:lang w:val="en-US"/>
            </w:rPr>
            <w:t>Both local buzz and global pipelines offer particular but different, advantages for firms in innovation and knowledge creation</w:t>
          </w:r>
          <w:r>
            <w:rPr>
              <w:rFonts w:eastAsia="Calibri" w:cs="Times New Roman"/>
              <w:lang w:val="en-US"/>
            </w:rPr>
          </w:r>
          <w:commentRangeEnd w:id="49"/>
          <w:r>
            <w:commentReference w:id="49"/>
          </w:r>
          <w:r>
            <w:rPr>
              <w:rFonts w:eastAsia="Calibri" w:cs="Times New Roman"/>
              <w:lang w:val="en-US"/>
            </w:rPr>
            <w:t xml:space="preserve">. Local buzz is beneficial to innovation processes because it generates opportunities for a variety of spontaneous and unanticipated situations where firms interact and form interpretative communities </w:t>
          </w:r>
          <w:r>
            <w:fldChar w:fldCharType="begin"/>
          </w:r>
          <w:r>
            <w:instrText>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w:instrText>
          </w:r>
          <w:r>
            <w:fldChar w:fldCharType="separate"/>
          </w:r>
          <w:bookmarkStart w:id="335" w:name="__Fieldmark__2263_783673585"/>
          <w:r>
            <w:rPr>
              <w:rFonts w:eastAsia="Calibri" w:cs="Times New Roman"/>
              <w:lang w:val="en-US"/>
            </w:rPr>
            <w:t>(Nonaka et al., 2000)</w:t>
          </w:r>
          <w:bookmarkStart w:id="336" w:name="__Fieldmark__2691_427358540"/>
          <w:bookmarkEnd w:id="336"/>
          <w:r>
            <w:rPr>
              <w:rFonts w:eastAsia="Calibri" w:cs="Times New Roman"/>
              <w:lang w:val="en-US"/>
            </w:rPr>
          </w:r>
          <w:r>
            <w:fldChar w:fldCharType="end"/>
          </w:r>
          <w:bookmarkEnd w:id="335"/>
          <w:r>
            <w:rPr>
              <w:rFonts w:eastAsia="Calibri" w:cs="Times New Roman"/>
              <w:lang w:val="en-US"/>
            </w:rPr>
            <w:t xml:space="preserve">. The advantages of global pipelines are instead associated with the integration of multiple selection environments that open different potentialities and feed local interpretation and usage of knowledge </w:t>
          </w:r>
          <w:r>
            <w:fldChar w:fldCharType="begin"/>
          </w:r>
          <w:r>
            <w:instrText>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337" w:name="__Fieldmark__2271_783673585"/>
          <w:r>
            <w:rPr>
              <w:rFonts w:eastAsia="Calibri" w:cs="Times New Roman"/>
              <w:lang w:val="en-US"/>
            </w:rPr>
            <w:t>(Bathelt et al., 2004)</w:t>
          </w:r>
          <w:bookmarkStart w:id="338" w:name="__Fieldmark__2696_427358540"/>
          <w:bookmarkEnd w:id="338"/>
          <w:r>
            <w:rPr>
              <w:rFonts w:eastAsia="Calibri" w:cs="Times New Roman"/>
              <w:lang w:val="en-US"/>
            </w:rPr>
          </w:r>
          <w:r>
            <w:fldChar w:fldCharType="end"/>
          </w:r>
          <w:bookmarkEnd w:id="337"/>
          <w:r>
            <w:rPr>
              <w:rFonts w:eastAsia="Calibri" w:cs="Times New Roman"/>
              <w:lang w:val="en-US"/>
            </w:rPr>
            <w:t xml:space="preserve">. </w:t>
          </w:r>
          <w:commentRangeStart w:id="50"/>
          <w:r>
            <w:rPr>
              <w:rFonts w:eastAsia="Calibri" w:cs="Times New Roman"/>
              <w:lang w:val="en-US"/>
            </w:rPr>
            <w:t>The continuous flow of information and knowledge into the cluster can form prosperous environment for the creation of cutting-edge ideas. Thus clusters focus should combine the use of internal and external resources</w:t>
          </w:r>
          <w:r>
            <w:rPr>
              <w:rFonts w:eastAsia="Calibri" w:cs="Times New Roman"/>
              <w:lang w:val="en-US"/>
            </w:rPr>
          </w:r>
          <w:commentRangeEnd w:id="50"/>
          <w:r>
            <w:commentReference w:id="50"/>
          </w:r>
          <w:r>
            <w:rPr>
              <w:rFonts w:eastAsia="Calibri" w:cs="Times New Roman"/>
              <w:lang w:val="en-US"/>
            </w:rPr>
            <w:t>.</w:t>
          </w:r>
        </w:p>
        <w:p>
          <w:pPr>
            <w:pStyle w:val="Heading1"/>
            <w:rPr>
              <w:rFonts w:eastAsia="Calibri"/>
              <w:lang w:val="en-US"/>
            </w:rPr>
          </w:pPr>
          <w:bookmarkStart w:id="339" w:name="__RefHeading___Toc5778_427358540"/>
          <w:bookmarkStart w:id="340" w:name="_Toc459977496"/>
          <w:bookmarkEnd w:id="339"/>
          <w:bookmarkEnd w:id="340"/>
          <w:r>
            <w:rPr>
              <w:rFonts w:eastAsia="Calibri"/>
              <w:lang w:val="en-US"/>
            </w:rPr>
            <w:t>2.7 Global clusters of innovation</w:t>
          </w:r>
        </w:p>
        <w:p>
          <w:pPr>
            <w:pStyle w:val="Normal"/>
            <w:spacing w:lineRule="auto" w:line="360"/>
            <w:rPr/>
          </w:pPr>
          <w:commentRangeStart w:id="51"/>
          <w:r>
            <w:rPr>
              <w:rFonts w:eastAsia="Calibri" w:cs="Times New Roman"/>
              <w:lang w:val="en-US"/>
            </w:rPr>
            <w:t>The presence of innovative clusters was identified by Michael Porter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Pr>
              <w:rFonts w:eastAsia="Calibri" w:cs="Times New Roman"/>
              <w:lang w:val="en-US"/>
            </w:rPr>
          </w:r>
          <w:commentRangeEnd w:id="51"/>
          <w:r>
            <w:commentReference w:id="51"/>
          </w:r>
          <w:r>
            <w:rPr>
              <w:rFonts w:eastAsia="Calibri" w:cs="Times New Roman"/>
              <w:lang w:val="en-US"/>
            </w:rPr>
            <w:t xml:space="preserve">. Cluster management defines how well the network of knowledge sharing is facilitated </w:t>
          </w:r>
          <w:r>
            <w:fldChar w:fldCharType="begin"/>
          </w:r>
          <w:r>
            <w:instrText>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w:instrText>
          </w:r>
          <w:r>
            <w:fldChar w:fldCharType="separate"/>
          </w:r>
          <w:bookmarkStart w:id="341" w:name="__Fieldmark__2296_783673585"/>
          <w:r>
            <w:rPr>
              <w:rFonts w:eastAsia="Calibri" w:cs="Times New Roman"/>
              <w:lang w:val="en-US"/>
            </w:rPr>
            <w:t>(Julia Connell et al., 2014)</w:t>
          </w:r>
          <w:bookmarkStart w:id="342" w:name="__Fieldmark__2719_427358540"/>
          <w:bookmarkEnd w:id="342"/>
          <w:r>
            <w:rPr>
              <w:rFonts w:eastAsia="Calibri" w:cs="Times New Roman"/>
              <w:lang w:val="en-US"/>
            </w:rPr>
          </w:r>
          <w:r>
            <w:fldChar w:fldCharType="end"/>
          </w:r>
          <w:bookmarkEnd w:id="341"/>
          <w:r>
            <w:rPr>
              <w:rFonts w:eastAsia="Calibri" w:cs="Times New Roman"/>
              <w:lang w:val="en-US"/>
            </w:rPr>
            <w:t xml:space="preserve"> setting the importance of the good managerial confrontation. Geographical clustering does not automatically lead to improved performance</w:t>
          </w:r>
          <w:r>
            <w:fldChar w:fldCharType="begin"/>
          </w:r>
          <w:r>
            <w:instrText>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w:instrText>
          </w:r>
          <w:r>
            <w:fldChar w:fldCharType="separate"/>
          </w:r>
          <w:bookmarkStart w:id="343" w:name="__Fieldmark__2304_783673585"/>
          <w:r>
            <w:rPr>
              <w:rFonts w:eastAsia="Calibri" w:cs="Times New Roman"/>
              <w:lang w:val="en-US"/>
            </w:rPr>
            <w:t>(Tracey et al., 2014)</w:t>
          </w:r>
          <w:bookmarkStart w:id="344" w:name="__Fieldmark__2724_427358540"/>
          <w:bookmarkEnd w:id="344"/>
          <w:r>
            <w:rPr>
              <w:rFonts w:eastAsia="Calibri" w:cs="Times New Roman"/>
              <w:lang w:val="en-US"/>
            </w:rPr>
          </w:r>
          <w:r>
            <w:fldChar w:fldCharType="end"/>
          </w:r>
          <w:bookmarkEnd w:id="343"/>
          <w:r>
            <w:rPr>
              <w:rFonts w:eastAsia="Calibri" w:cs="Times New Roman"/>
              <w:lang w:val="en-US"/>
            </w:rPr>
            <w:t xml:space="preserve"> but the open innovation environment </w:t>
          </w:r>
          <w:r>
            <w:fldChar w:fldCharType="begin"/>
          </w:r>
          <w:r>
            <w:instrText>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w:instrText>
          </w:r>
          <w:r>
            <w:fldChar w:fldCharType="separate"/>
          </w:r>
          <w:bookmarkStart w:id="345" w:name="__Fieldmark__2312_783673585"/>
          <w:r>
            <w:rPr>
              <w:rFonts w:eastAsia="Calibri" w:cs="Times New Roman"/>
              <w:lang w:val="en-US"/>
            </w:rPr>
            <w:t>(Chesbrough, 2003)</w:t>
          </w:r>
          <w:bookmarkStart w:id="346" w:name="__Fieldmark__2729_427358540"/>
          <w:bookmarkEnd w:id="346"/>
          <w:r>
            <w:rPr>
              <w:rFonts w:eastAsia="Calibri" w:cs="Times New Roman"/>
              <w:lang w:val="en-US"/>
            </w:rPr>
          </w:r>
          <w:r>
            <w:fldChar w:fldCharType="end"/>
          </w:r>
          <w:bookmarkEnd w:id="345"/>
          <w:r>
            <w:rPr>
              <w:rFonts w:eastAsia="Calibri" w:cs="Times New Roman"/>
              <w:lang w:val="en-US"/>
            </w:rPr>
            <w:t>and the ‘Connect and develop’ principle</w:t>
          </w:r>
          <w:r>
            <w:fldChar w:fldCharType="begin"/>
          </w:r>
          <w:r>
            <w:instrText>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w:instrText>
          </w:r>
          <w:r>
            <w:fldChar w:fldCharType="separate"/>
          </w:r>
          <w:bookmarkStart w:id="347" w:name="__Fieldmark__2320_783673585"/>
          <w:r>
            <w:rPr>
              <w:rFonts w:eastAsia="Calibri" w:cs="Times New Roman"/>
              <w:lang w:val="en-US"/>
            </w:rPr>
            <w:t>(Julia Connell et al., 2014)</w:t>
          </w:r>
          <w:bookmarkStart w:id="348" w:name="__Fieldmark__2734_427358540"/>
          <w:bookmarkEnd w:id="348"/>
          <w:r>
            <w:rPr>
              <w:rFonts w:eastAsia="Calibri" w:cs="Times New Roman"/>
              <w:lang w:val="en-US"/>
            </w:rPr>
          </w:r>
          <w:r>
            <w:fldChar w:fldCharType="end"/>
          </w:r>
          <w:bookmarkEnd w:id="347"/>
          <w:r>
            <w:rPr>
              <w:rFonts w:eastAsia="Calibri" w:cs="Times New Roman"/>
              <w:lang w:val="en-US"/>
            </w:rPr>
            <w:t xml:space="preserve"> reinforces cluster advantages. Open innovation has become easier nowadays because of the technology and product development that are becoming global, making information and communication technologies no longer a key success factor </w:t>
          </w:r>
          <w:r>
            <w:fldChar w:fldCharType="begin"/>
          </w:r>
          <w:r>
            <w:instrText>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w:instrText>
          </w:r>
          <w:r>
            <w:fldChar w:fldCharType="separate"/>
          </w:r>
          <w:bookmarkStart w:id="349" w:name="__Fieldmark__2328_783673585"/>
          <w:r>
            <w:rPr>
              <w:rFonts w:eastAsia="Calibri" w:cs="Times New Roman"/>
              <w:lang w:val="en-US"/>
            </w:rPr>
            <w:t>(Gassmann, Enkel, &amp; Chesbrough, 2010)</w:t>
          </w:r>
          <w:bookmarkStart w:id="350" w:name="__Fieldmark__2740_427358540"/>
          <w:bookmarkEnd w:id="350"/>
          <w:r>
            <w:rPr>
              <w:rFonts w:eastAsia="Calibri" w:cs="Times New Roman"/>
              <w:lang w:val="en-US"/>
            </w:rPr>
          </w:r>
          <w:r>
            <w:fldChar w:fldCharType="end"/>
          </w:r>
          <w:bookmarkEnd w:id="349"/>
          <w:r>
            <w:rPr>
              <w:rFonts w:eastAsia="Calibri" w:cs="Times New Roman"/>
              <w:lang w:val="en-US"/>
            </w:rPr>
            <w:t xml:space="preserve">. </w:t>
          </w:r>
        </w:p>
        <w:p>
          <w:pPr>
            <w:pStyle w:val="Normal"/>
            <w:spacing w:lineRule="auto" w:line="360"/>
            <w:rPr/>
          </w:pPr>
          <w:r>
            <w:rPr>
              <w:rFonts w:eastAsia="Calibri" w:cs="Times New Roman"/>
              <w:lang w:val="en-US"/>
            </w:rPr>
            <w:t>Clusters are not isolated islands as the most successful are often the most globally connected, utilizing linkages with other like clusters to leverage resources, access markets and accelerate the innovation process</w:t>
          </w:r>
          <w:r>
            <w:fldChar w:fldCharType="begin"/>
          </w:r>
          <w:r>
            <w:instrText>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w:instrText>
          </w:r>
          <w:r>
            <w:fldChar w:fldCharType="separate"/>
          </w:r>
          <w:bookmarkStart w:id="351" w:name="__Fieldmark__2338_783673585"/>
          <w:r>
            <w:rPr>
              <w:rFonts w:eastAsia="Calibri" w:cs="Times New Roman"/>
              <w:lang w:val="en-US"/>
            </w:rPr>
            <w:t>(</w:t>
          </w:r>
          <w:bookmarkStart w:id="352" w:name="__Fieldmark__2748_427358540"/>
          <w:r>
            <w:rPr>
              <w:rFonts w:eastAsia="Calibri" w:cs="Times New Roman"/>
              <w:lang w:val="en-US"/>
            </w:rPr>
            <w:t>Engel &amp; del-Palacio, 2011)</w:t>
          </w:r>
          <w:r>
            <w:rPr>
              <w:rFonts w:eastAsia="Calibri" w:cs="Times New Roman"/>
              <w:lang w:val="en-US"/>
            </w:rPr>
          </w:r>
          <w:r>
            <w:fldChar w:fldCharType="end"/>
          </w:r>
          <w:bookmarkEnd w:id="351"/>
          <w:bookmarkEnd w:id="352"/>
          <w:r>
            <w:rPr>
              <w:rFonts w:eastAsia="Calibri" w:cs="Times New Roman"/>
              <w:lang w:val="en-US"/>
            </w:rPr>
            <w:t>. 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fldChar w:fldCharType="begin"/>
          </w:r>
          <w:r>
            <w:instrText>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w:instrText>
          </w:r>
          <w:r>
            <w:fldChar w:fldCharType="separate"/>
          </w:r>
          <w:bookmarkStart w:id="353" w:name="__Fieldmark__2345_783673585"/>
          <w:r>
            <w:rPr>
              <w:rFonts w:eastAsia="Calibri" w:cs="Times New Roman"/>
              <w:lang w:val="en-US"/>
            </w:rPr>
            <w:t>(</w:t>
          </w:r>
          <w:bookmarkStart w:id="354" w:name="__Fieldmark__2754_427358540"/>
          <w:r>
            <w:rPr>
              <w:rFonts w:eastAsia="Calibri" w:cs="Times New Roman"/>
              <w:lang w:val="en-US"/>
            </w:rPr>
            <w:t>Engel &amp; del-Palacio, 2009)</w:t>
          </w:r>
          <w:r>
            <w:rPr>
              <w:rFonts w:eastAsia="Calibri" w:cs="Times New Roman"/>
              <w:lang w:val="en-US"/>
            </w:rPr>
          </w:r>
          <w:r>
            <w:fldChar w:fldCharType="end"/>
          </w:r>
          <w:bookmarkEnd w:id="353"/>
          <w:bookmarkEnd w:id="354"/>
          <w:r>
            <w:rPr>
              <w:rFonts w:eastAsia="Calibri" w:cs="Times New Roman"/>
              <w:lang w:val="en-US"/>
            </w:rPr>
            <w:t xml:space="preserve"> and cannot explain how new technology clusters have emerged so rapidly and robustly in indigenous environments </w:t>
          </w:r>
          <w:r>
            <w:fldChar w:fldCharType="begin"/>
          </w:r>
          <w:r>
            <w:instrText>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w:instrText>
          </w:r>
          <w:r>
            <w:fldChar w:fldCharType="separate"/>
          </w:r>
          <w:bookmarkStart w:id="355" w:name="__Fieldmark__2352_783673585"/>
          <w:r>
            <w:rPr>
              <w:rFonts w:eastAsia="Calibri" w:cs="Times New Roman"/>
              <w:lang w:val="en-US"/>
            </w:rPr>
            <w:t>(</w:t>
          </w:r>
          <w:bookmarkStart w:id="356" w:name="__Fieldmark__2760_427358540"/>
          <w:r>
            <w:rPr>
              <w:rFonts w:eastAsia="Calibri" w:cs="Times New Roman"/>
              <w:lang w:val="en-US"/>
            </w:rPr>
            <w:t>AnnaLee Saxenian, 2007)</w:t>
          </w:r>
          <w:r>
            <w:rPr>
              <w:rFonts w:eastAsia="Calibri" w:cs="Times New Roman"/>
              <w:lang w:val="en-US"/>
            </w:rPr>
          </w:r>
          <w:r>
            <w:fldChar w:fldCharType="end"/>
          </w:r>
          <w:bookmarkEnd w:id="355"/>
          <w:bookmarkEnd w:id="356"/>
          <w:r>
            <w:rPr>
              <w:rFonts w:eastAsia="Calibri" w:cs="Times New Roman"/>
              <w:lang w:val="en-US"/>
            </w:rPr>
            <w:t xml:space="preserve"> .</w:t>
          </w:r>
        </w:p>
        <w:p>
          <w:pPr>
            <w:pStyle w:val="Normal"/>
            <w:spacing w:lineRule="auto" w:line="360"/>
            <w:rPr/>
          </w:pPr>
          <w:r>
            <w:rPr>
              <w:rFonts w:eastAsia="Calibri" w:cs="Times New Roman"/>
              <w:lang w:val="en-US"/>
            </w:rPr>
            <w:t xml:space="preserve">Engel (2015) defines Clusters of Innovation (COI) as ‘global economic “hot spots” where new technologies germinate at an astounding rate and where pools of capital, expertise, and talent foster the development of new industries and new ways of doing businesses </w:t>
          </w:r>
          <w:r>
            <w:fldChar w:fldCharType="begin"/>
          </w:r>
          <w:r>
            <w:instrText>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w:instrText>
          </w:r>
          <w:r>
            <w:fldChar w:fldCharType="separate"/>
          </w:r>
          <w:bookmarkStart w:id="357" w:name="__Fieldmark__2361_783673585"/>
          <w:r>
            <w:rPr>
              <w:rFonts w:eastAsia="Calibri" w:cs="Times New Roman"/>
              <w:lang w:val="en-US"/>
            </w:rPr>
            <w:t>(</w:t>
          </w:r>
          <w:bookmarkStart w:id="358" w:name="__Fieldmark__2771_427358540"/>
          <w:r>
            <w:rPr>
              <w:rFonts w:eastAsia="Calibri" w:cs="Times New Roman"/>
              <w:lang w:val="en-US"/>
            </w:rPr>
            <w:t>Engel, 2015)</w:t>
          </w:r>
          <w:r>
            <w:rPr>
              <w:rFonts w:eastAsia="Calibri" w:cs="Times New Roman"/>
              <w:lang w:val="en-US"/>
            </w:rPr>
          </w:r>
          <w:r>
            <w:fldChar w:fldCharType="end"/>
          </w:r>
          <w:bookmarkEnd w:id="357"/>
          <w:bookmarkEnd w:id="358"/>
          <w:r>
            <w:rPr>
              <w:rFonts w:eastAsia="Calibri" w:cs="Times New Roman"/>
              <w:lang w:val="en-US"/>
            </w:rPr>
            <w:t xml:space="preserve">. COIs are environments that favor the creation and development of high-potential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fldChar w:fldCharType="begin"/>
          </w:r>
          <w:r>
            <w:instrText>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w:instrText>
          </w:r>
          <w:r>
            <w:fldChar w:fldCharType="separate"/>
          </w:r>
          <w:bookmarkStart w:id="359" w:name="__Fieldmark__2368_783673585"/>
          <w:r>
            <w:rPr>
              <w:rFonts w:eastAsia="Calibri" w:cs="Times New Roman"/>
              <w:lang w:val="en-US"/>
            </w:rPr>
            <w:t>(</w:t>
          </w:r>
          <w:bookmarkStart w:id="360" w:name="__Fieldmark__2780_427358540"/>
          <w:r>
            <w:rPr>
              <w:rFonts w:eastAsia="Calibri" w:cs="Times New Roman"/>
              <w:lang w:val="en-US"/>
            </w:rPr>
            <w:t>Engel &amp; del-Palacio, 2011)</w:t>
          </w:r>
          <w:r>
            <w:rPr>
              <w:rFonts w:eastAsia="Calibri" w:cs="Times New Roman"/>
              <w:lang w:val="en-US"/>
            </w:rPr>
          </w:r>
          <w:r>
            <w:fldChar w:fldCharType="end"/>
          </w:r>
          <w:bookmarkEnd w:id="359"/>
          <w:bookmarkEnd w:id="360"/>
          <w:r>
            <w:rPr>
              <w:rFonts w:eastAsia="Calibri" w:cs="Times New Roman"/>
              <w:lang w:val="en-US"/>
            </w:rPr>
            <w:t xml:space="preserve"> .</w:t>
          </w:r>
        </w:p>
        <w:p>
          <w:pPr>
            <w:pStyle w:val="Normal"/>
            <w:spacing w:lineRule="auto" w:line="360"/>
            <w:rPr/>
          </w:pPr>
          <w:r>
            <w:rPr>
              <w:rFonts w:eastAsia="Calibri" w:cs="Times New Roman"/>
              <w:lang w:val="en-US"/>
            </w:rPr>
            <w:t xml:space="preserve">Entrepreneurship is the core competence of COI, where innovation is augmented and accelerated through ‘born global’ new firm creation using resources from the international pool (Engel &amp; del-Palacio, 2011). Cluster participants formulate ties between internal and external actors and other clusters to benefit from the advantages of globalization </w:t>
          </w:r>
          <w:r>
            <w:fldChar w:fldCharType="begin"/>
          </w:r>
          <w:r>
            <w:instrText>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w:instrText>
          </w:r>
          <w:r>
            <w:fldChar w:fldCharType="separate"/>
          </w:r>
          <w:bookmarkStart w:id="361" w:name="__Fieldmark__2377_783673585"/>
          <w:r>
            <w:rPr>
              <w:rFonts w:eastAsia="Calibri" w:cs="Times New Roman"/>
              <w:lang w:val="en-US"/>
            </w:rPr>
            <w:t>(</w:t>
          </w:r>
          <w:bookmarkStart w:id="362" w:name="__Fieldmark__2795_427358540"/>
          <w:r>
            <w:rPr>
              <w:rFonts w:eastAsia="Calibri" w:cs="Times New Roman"/>
              <w:lang w:val="en-US"/>
            </w:rPr>
            <w:t>Engel, 2015)</w:t>
          </w:r>
          <w:r>
            <w:rPr>
              <w:rFonts w:eastAsia="Calibri" w:cs="Times New Roman"/>
              <w:lang w:val="en-US"/>
            </w:rPr>
          </w:r>
          <w:r>
            <w:fldChar w:fldCharType="end"/>
          </w:r>
          <w:bookmarkEnd w:id="361"/>
          <w:bookmarkEnd w:id="362"/>
          <w:r>
            <w:rPr>
              <w:rFonts w:eastAsia="Calibri" w:cs="Times New Roman"/>
              <w:lang w:val="en-US"/>
            </w:rPr>
            <w:t xml:space="preserve">. They combine local knowledge with external knowledge, and therefore are likely to create new value </w:t>
          </w:r>
          <w:r>
            <w:fldChar w:fldCharType="begin"/>
          </w:r>
          <w:r>
            <w:instrText>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363" w:name="__Fieldmark__2384_783673585"/>
          <w:r>
            <w:rPr>
              <w:rFonts w:eastAsia="Calibri" w:cs="Times New Roman"/>
              <w:lang w:val="en-US"/>
            </w:rPr>
            <w:t>(</w:t>
          </w:r>
          <w:bookmarkStart w:id="364" w:name="__Fieldmark__2800_427358540"/>
          <w:r>
            <w:rPr>
              <w:rFonts w:eastAsia="Calibri" w:cs="Times New Roman"/>
              <w:lang w:val="en-US"/>
            </w:rPr>
            <w:t>Bathelt et al., 2004)</w:t>
          </w:r>
          <w:r>
            <w:rPr>
              <w:rFonts w:eastAsia="Calibri" w:cs="Times New Roman"/>
              <w:lang w:val="en-US"/>
            </w:rPr>
          </w:r>
          <w:r>
            <w:fldChar w:fldCharType="end"/>
          </w:r>
          <w:bookmarkEnd w:id="363"/>
          <w:bookmarkEnd w:id="364"/>
          <w:r>
            <w:rPr>
              <w:rFonts w:eastAsia="Calibri" w:cs="Times New Roman"/>
              <w:lang w:val="en-US"/>
            </w:rPr>
            <w:t xml:space="preserve"> creating the networks of clusters of innovation (NCOI) </w:t>
          </w:r>
          <w:r>
            <w:fldChar w:fldCharType="begin"/>
          </w:r>
          <w:r>
            <w:instrText>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w:instrText>
          </w:r>
          <w:r>
            <w:fldChar w:fldCharType="separate"/>
          </w:r>
          <w:bookmarkStart w:id="365" w:name="__Fieldmark__2391_783673585"/>
          <w:r>
            <w:rPr>
              <w:rFonts w:eastAsia="Calibri" w:cs="Times New Roman"/>
              <w:lang w:val="en-US"/>
            </w:rPr>
            <w:t>(</w:t>
          </w:r>
          <w:bookmarkStart w:id="366" w:name="__Fieldmark__2806_427358540"/>
          <w:r>
            <w:rPr>
              <w:rFonts w:eastAsia="Calibri" w:cs="Times New Roman"/>
              <w:lang w:val="en-US"/>
            </w:rPr>
            <w:t>Engel &amp; del-Palacio, 2011)</w:t>
          </w:r>
          <w:r>
            <w:rPr>
              <w:rFonts w:eastAsia="Calibri" w:cs="Times New Roman"/>
              <w:lang w:val="en-US"/>
            </w:rPr>
          </w:r>
          <w:r>
            <w:fldChar w:fldCharType="end"/>
          </w:r>
          <w:bookmarkEnd w:id="365"/>
          <w:bookmarkEnd w:id="366"/>
          <w:r>
            <w:rPr>
              <w:rFonts w:eastAsia="Calibri" w:cs="Times New Roman"/>
              <w:lang w:val="en-US"/>
            </w:rPr>
            <w:t xml:space="preserve">. The NCOI connect individuals, startups, universities, research centers, associations, mature corporations, and other organizations that are globally oriented with a target to foster rapid innovation, experimentation, and commercialization </w:t>
          </w:r>
          <w:r>
            <w:fldChar w:fldCharType="begin"/>
          </w:r>
          <w:r>
            <w:instrText>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w:instrText>
          </w:r>
          <w:r>
            <w:fldChar w:fldCharType="separate"/>
          </w:r>
          <w:bookmarkStart w:id="367" w:name="__Fieldmark__2398_783673585"/>
          <w:r>
            <w:rPr>
              <w:rFonts w:eastAsia="Calibri" w:cs="Times New Roman"/>
              <w:lang w:val="en-US"/>
            </w:rPr>
            <w:t>(</w:t>
          </w:r>
          <w:bookmarkStart w:id="368" w:name="__Fieldmark__2813_427358540"/>
          <w:r>
            <w:rPr>
              <w:rFonts w:eastAsia="Calibri" w:cs="Times New Roman"/>
              <w:lang w:val="en-US"/>
            </w:rPr>
            <w:t>Engel &amp; del-Palacio, 2011)</w:t>
          </w:r>
          <w:r>
            <w:rPr>
              <w:rFonts w:eastAsia="Calibri" w:cs="Times New Roman"/>
              <w:lang w:val="en-US"/>
            </w:rPr>
          </w:r>
          <w:r>
            <w:fldChar w:fldCharType="end"/>
          </w:r>
          <w:bookmarkEnd w:id="367"/>
          <w:bookmarkEnd w:id="368"/>
          <w:r>
            <w:rPr>
              <w:rFonts w:eastAsia="Calibri" w:cs="Times New Roman"/>
              <w:lang w:val="en-US"/>
            </w:rPr>
            <w:t>.</w:t>
          </w:r>
        </w:p>
        <w:p>
          <w:pPr>
            <w:pStyle w:val="Normal"/>
            <w:spacing w:lineRule="auto" w:line="360"/>
            <w:rPr/>
          </w:pPr>
          <w:r>
            <w:rPr>
              <w:rFonts w:eastAsia="Calibri"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fldChar w:fldCharType="begin"/>
          </w:r>
          <w:r>
            <w:instrText>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w:instrText>
          </w:r>
          <w:r>
            <w:fldChar w:fldCharType="separate"/>
          </w:r>
          <w:bookmarkStart w:id="369" w:name="__Fieldmark__2407_783673585"/>
          <w:r>
            <w:rPr>
              <w:rFonts w:eastAsia="Calibri" w:cs="Times New Roman"/>
              <w:lang w:val="en-US"/>
            </w:rPr>
            <w:t>(</w:t>
          </w:r>
          <w:bookmarkStart w:id="370" w:name="__Fieldmark__2820_427358540"/>
          <w:r>
            <w:rPr>
              <w:rFonts w:eastAsia="Calibri" w:cs="Times New Roman"/>
              <w:lang w:val="en-US"/>
            </w:rPr>
            <w:t>Granovetter, 1973)</w:t>
          </w:r>
          <w:r>
            <w:rPr>
              <w:rFonts w:eastAsia="Calibri" w:cs="Times New Roman"/>
              <w:lang w:val="en-US"/>
            </w:rPr>
          </w:r>
          <w:r>
            <w:fldChar w:fldCharType="end"/>
          </w:r>
          <w:bookmarkEnd w:id="369"/>
          <w:bookmarkEnd w:id="370"/>
          <w:r>
            <w:rPr>
              <w:rFonts w:eastAsia="Calibri"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 </w:t>
          </w:r>
          <w:r>
            <w:fldChar w:fldCharType="begin"/>
          </w:r>
          <w:r>
            <w:instrText>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w:instrText>
          </w:r>
          <w:r>
            <w:fldChar w:fldCharType="separate"/>
          </w:r>
          <w:bookmarkStart w:id="371" w:name="__Fieldmark__2414_783673585"/>
          <w:r>
            <w:rPr>
              <w:rFonts w:eastAsia="Calibri" w:cs="Times New Roman"/>
              <w:lang w:val="en-US"/>
            </w:rPr>
            <w:t>(</w:t>
          </w:r>
          <w:bookmarkStart w:id="372" w:name="__Fieldmark__2826_427358540"/>
          <w:r>
            <w:rPr>
              <w:rFonts w:eastAsia="Calibri" w:cs="Times New Roman"/>
              <w:lang w:val="en-US"/>
            </w:rPr>
            <w:t>Peter Maskell, Bathelt, &amp; Malmberg, 2006)</w:t>
          </w:r>
          <w:r>
            <w:rPr>
              <w:rFonts w:eastAsia="Calibri" w:cs="Times New Roman"/>
              <w:lang w:val="en-US"/>
            </w:rPr>
          </w:r>
          <w:r>
            <w:fldChar w:fldCharType="end"/>
          </w:r>
          <w:bookmarkEnd w:id="371"/>
          <w:bookmarkEnd w:id="372"/>
          <w:r>
            <w:rPr>
              <w:rFonts w:eastAsia="Calibri" w:cs="Times New Roman"/>
              <w:lang w:val="en-US"/>
            </w:rPr>
            <w:t xml:space="preserve"> . Durable bonds are dynamic and fluid interactions established between communities, entities, businesses, or people in geographically dispersed COIs (Engel &amp; del-Palacio, 2011) consisting also a lot of weak ties. Covalent bonds emerge if the relationships are permanent and the role of each COI is embedded in the business and processes of the other performing vital functions in multiple locations or even multiple businesses at the same time (Engel &amp; del-Palacio, 2011). Clusters of Innovation should be understood in a global context </w:t>
          </w:r>
          <w:r>
            <w:fldChar w:fldCharType="begin"/>
          </w:r>
          <w:r>
            <w:instrText>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w:instrText>
          </w:r>
          <w:r>
            <w:fldChar w:fldCharType="separate"/>
          </w:r>
          <w:bookmarkStart w:id="373" w:name="__Fieldmark__2421_783673585"/>
          <w:r>
            <w:rPr>
              <w:rFonts w:eastAsia="Calibri" w:cs="Times New Roman"/>
              <w:lang w:val="en-US"/>
            </w:rPr>
            <w:t>(</w:t>
          </w:r>
          <w:bookmarkStart w:id="374" w:name="__Fieldmark__2840_427358540"/>
          <w:r>
            <w:rPr>
              <w:rFonts w:eastAsia="Calibri" w:cs="Times New Roman"/>
              <w:lang w:val="en-US"/>
            </w:rPr>
            <w:t>Engel &amp; del-Palacio, 2011)</w:t>
          </w:r>
          <w:r>
            <w:rPr>
              <w:rFonts w:eastAsia="Calibri" w:cs="Times New Roman"/>
              <w:lang w:val="en-US"/>
            </w:rPr>
          </w:r>
          <w:r>
            <w:fldChar w:fldCharType="end"/>
          </w:r>
          <w:bookmarkEnd w:id="373"/>
          <w:bookmarkEnd w:id="374"/>
          <w:r>
            <w:rPr>
              <w:rFonts w:eastAsia="Calibri" w:cs="Times New Roman"/>
              <w:lang w:val="en-US"/>
            </w:rPr>
            <w:t>and the above mechanisms can explain the interactions between cluster’s actors, entities, and others COIs.</w:t>
          </w:r>
        </w:p>
        <w:p>
          <w:pPr>
            <w:pStyle w:val="Normal"/>
            <w:spacing w:lineRule="auto" w:line="360"/>
            <w:rPr/>
          </w:pPr>
          <w:r>
            <w:rPr>
              <w:rFonts w:eastAsia="Calibri" w:cs="Times New Roman"/>
              <w:lang w:val="en-US"/>
            </w:rPr>
            <w:t xml:space="preserve">The influence of Silicon Valley may be even greater than its economic performance because it has been used as a role model for other regions </w:t>
          </w:r>
          <w:r>
            <w:fldChar w:fldCharType="begin"/>
          </w:r>
          <w:r>
            <w:instrText>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w:instrText>
          </w:r>
          <w:r>
            <w:fldChar w:fldCharType="separate"/>
          </w:r>
          <w:bookmarkStart w:id="375" w:name="__Fieldmark__2430_783673585"/>
          <w:r>
            <w:rPr>
              <w:rFonts w:eastAsia="Calibri" w:cs="Times New Roman"/>
              <w:lang w:val="en-US"/>
            </w:rPr>
            <w:t>(</w:t>
          </w:r>
          <w:bookmarkStart w:id="376" w:name="__Fieldmark__2851_427358540"/>
          <w:r>
            <w:rPr>
              <w:rFonts w:eastAsia="Calibri" w:cs="Times New Roman"/>
              <w:lang w:val="en-US"/>
            </w:rPr>
            <w:t>Adams, 2005)</w:t>
          </w:r>
          <w:r>
            <w:rPr>
              <w:rFonts w:eastAsia="Calibri" w:cs="Times New Roman"/>
              <w:lang w:val="en-US"/>
            </w:rPr>
          </w:r>
          <w:r>
            <w:fldChar w:fldCharType="end"/>
          </w:r>
          <w:bookmarkEnd w:id="375"/>
          <w:bookmarkEnd w:id="376"/>
          <w:r>
            <w:rPr>
              <w:rFonts w:eastAsia="Calibri" w:cs="Times New Roman"/>
              <w:lang w:val="en-US"/>
            </w:rPr>
            <w:t xml:space="preserve">. Silicon Valley is the leading example of a high-technology entrepreneurial environment </w:t>
          </w:r>
          <w:r>
            <w:fldChar w:fldCharType="begin"/>
          </w:r>
          <w:r>
            <w:instrText>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w:instrText>
          </w:r>
          <w:r>
            <w:fldChar w:fldCharType="separate"/>
          </w:r>
          <w:bookmarkStart w:id="377" w:name="__Fieldmark__2437_783673585"/>
          <w:r>
            <w:rPr>
              <w:rFonts w:eastAsia="Calibri" w:cs="Times New Roman"/>
              <w:lang w:val="en-US"/>
            </w:rPr>
            <w:t>(</w:t>
          </w:r>
          <w:bookmarkStart w:id="378" w:name="__Fieldmark__2856_427358540"/>
          <w:r>
            <w:rPr>
              <w:rFonts w:eastAsia="Calibri" w:cs="Times New Roman"/>
              <w:lang w:val="en-US"/>
            </w:rPr>
            <w:t>AnnaLee Saxenian, 2007)</w:t>
          </w:r>
          <w:r>
            <w:rPr>
              <w:rFonts w:eastAsia="Calibri" w:cs="Times New Roman"/>
              <w:lang w:val="en-US"/>
            </w:rPr>
          </w:r>
          <w:r>
            <w:fldChar w:fldCharType="end"/>
          </w:r>
          <w:bookmarkEnd w:id="377"/>
          <w:bookmarkEnd w:id="378"/>
          <w:r>
            <w:rPr>
              <w:rFonts w:eastAsia="Calibri" w:cs="Times New Roman"/>
              <w:lang w:val="en-US"/>
            </w:rPr>
            <w:t xml:space="preserve"> and three components, universities, government, and entrepreneurs played key historic roles in the transformation of this small agricultural valley into the powerhouse of the invention and business creation </w:t>
          </w:r>
          <w:r>
            <w:fldChar w:fldCharType="begin"/>
          </w:r>
          <w:r>
            <w:instrText>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w:instrText>
          </w:r>
          <w:r>
            <w:fldChar w:fldCharType="separate"/>
          </w:r>
          <w:bookmarkStart w:id="379" w:name="__Fieldmark__2444_783673585"/>
          <w:r>
            <w:rPr>
              <w:rFonts w:eastAsia="Calibri" w:cs="Times New Roman"/>
              <w:lang w:val="en-US"/>
            </w:rPr>
            <w:t>(</w:t>
          </w:r>
          <w:bookmarkStart w:id="380" w:name="__Fieldmark__2866_427358540"/>
          <w:r>
            <w:rPr>
              <w:rFonts w:eastAsia="Calibri" w:cs="Times New Roman"/>
              <w:lang w:val="en-US"/>
            </w:rPr>
            <w:t>Engel, 2015)</w:t>
          </w:r>
          <w:r>
            <w:rPr>
              <w:rFonts w:eastAsia="Calibri" w:cs="Times New Roman"/>
              <w:lang w:val="en-US"/>
            </w:rPr>
          </w:r>
          <w:r>
            <w:fldChar w:fldCharType="end"/>
          </w:r>
          <w:bookmarkEnd w:id="379"/>
          <w:bookmarkEnd w:id="380"/>
          <w:r>
            <w:rPr>
              <w:rFonts w:eastAsia="Calibri" w:cs="Times New Roman"/>
              <w:lang w:val="en-US"/>
            </w:rPr>
            <w:t>. Other elements such as venture capital investments mature corporations, industrial research centers, and service and management providers facilitated the success of Silicon Valley.  Moreover, behaviors that characterize the development process of this cluster such as mobility of resources (principally people, capital, and information), an entrepreneurial process, increased velocity of business development,  a strategic global perspective,  a culture of alignment of interests and transaction structures formed a very strong environment for innovation</w:t>
          </w:r>
          <w:r>
            <w:fldChar w:fldCharType="begin"/>
          </w:r>
          <w:r>
            <w:instrText>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w:instrText>
          </w:r>
          <w:r>
            <w:fldChar w:fldCharType="separate"/>
          </w:r>
          <w:bookmarkStart w:id="381" w:name="__Fieldmark__2451_783673585"/>
          <w:r>
            <w:rPr>
              <w:rFonts w:eastAsia="Calibri" w:cs="Times New Roman"/>
              <w:lang w:val="en-US"/>
            </w:rPr>
            <w:t>(</w:t>
          </w:r>
          <w:bookmarkStart w:id="382" w:name="__Fieldmark__2875_427358540"/>
          <w:r>
            <w:rPr>
              <w:rFonts w:eastAsia="Calibri" w:cs="Times New Roman"/>
              <w:lang w:val="en-US"/>
            </w:rPr>
            <w:t>Engel, 2015)</w:t>
          </w:r>
          <w:r>
            <w:rPr>
              <w:rFonts w:eastAsia="Calibri" w:cs="Times New Roman"/>
              <w:lang w:val="en-US"/>
            </w:rPr>
          </w:r>
          <w:r>
            <w:fldChar w:fldCharType="end"/>
          </w:r>
          <w:bookmarkEnd w:id="381"/>
          <w:bookmarkEnd w:id="382"/>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Engel (2015) studied the relevance of 13 worldwide clusters with the characteristics and behaviors of Silicon Valley in order to examine the global application of the paradigm. He concluded that the components and behaviors of Silicon Valley do have global relevance, but must be adapted to local context.</w:t>
          </w:r>
        </w:p>
        <w:p>
          <w:pPr>
            <w:pStyle w:val="Heading1"/>
            <w:rPr>
              <w:rFonts w:eastAsia="Calibri"/>
              <w:lang w:val="en-US"/>
            </w:rPr>
          </w:pPr>
          <w:bookmarkStart w:id="383" w:name="_Toc459977497"/>
          <w:bookmarkStart w:id="384" w:name="__RefHeading___Toc5780_427358540"/>
          <w:bookmarkEnd w:id="384"/>
          <w:r>
            <w:rPr>
              <w:rFonts w:eastAsia="Calibri"/>
              <w:lang w:val="en-US"/>
            </w:rPr>
            <w:t>2.8 Conclusion</w:t>
          </w:r>
          <w:bookmarkEnd w:id="383"/>
          <w:r>
            <w:rPr>
              <w:rFonts w:eastAsia="Calibri"/>
              <w:lang w:val="en-US"/>
            </w:rPr>
            <w:t xml:space="preserve"> </w:t>
          </w:r>
        </w:p>
        <w:p>
          <w:pPr>
            <w:pStyle w:val="Normal"/>
            <w:rPr>
              <w:lang w:val="en-US"/>
            </w:rPr>
          </w:pPr>
          <w:r>
            <w:rPr>
              <w:lang w:val="en-US"/>
            </w:rPr>
          </w:r>
        </w:p>
        <w:p>
          <w:pPr>
            <w:pStyle w:val="Heading1"/>
            <w:rPr>
              <w:lang w:val="en-US"/>
            </w:rPr>
          </w:pPr>
          <w:bookmarkStart w:id="385" w:name="_Toc457211239"/>
          <w:bookmarkStart w:id="386" w:name="__RefHeading___Toc5782_427358540"/>
          <w:bookmarkStart w:id="387" w:name="_Toc459977498"/>
          <w:bookmarkEnd w:id="385"/>
          <w:bookmarkEnd w:id="386"/>
          <w:bookmarkEnd w:id="387"/>
          <w:r>
            <w:rPr>
              <w:lang w:val="en-US"/>
            </w:rPr>
            <w:t>Chapter 3:  Methodology</w:t>
          </w:r>
        </w:p>
        <w:p>
          <w:pPr>
            <w:pStyle w:val="Normal"/>
            <w:spacing w:lineRule="auto" w:line="360"/>
            <w:rPr/>
          </w:pPr>
          <w:r>
            <w:rPr>
              <w:rFonts w:eastAsia="Calibri" w:cs="Times New Roman"/>
              <w:lang w:val="en-US"/>
            </w:rPr>
            <w:t>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on behaviors, attitudes, feelings and motives (</w:t>
          </w:r>
          <w:r>
            <w:fldChar w:fldCharType="begin"/>
          </w:r>
          <w:r>
            <w:instrText>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388" w:name="__Fieldmark__2478_783673585"/>
          <w:r>
            <w:rPr>
              <w:rFonts w:eastAsia="Calibri" w:cs="Times New Roman"/>
              <w:lang w:val="en-US"/>
            </w:rPr>
          </w:r>
          <w:r>
            <w:rPr>
              <w:rFonts w:eastAsia="Calibri" w:cs="Times New Roman"/>
              <w:szCs w:val="24"/>
              <w:lang w:val="en-US"/>
            </w:rPr>
            <w:t>R</w:t>
          </w:r>
          <w:bookmarkStart w:id="389" w:name="__Fieldmark__2900_427358540"/>
          <w:r>
            <w:rPr>
              <w:rFonts w:eastAsia="Calibri" w:cs="Times New Roman"/>
              <w:szCs w:val="24"/>
              <w:lang w:val="en-US"/>
            </w:rPr>
            <w:t>asmussen et al., 2006</w:t>
          </w:r>
          <w:r>
            <w:rPr>
              <w:rFonts w:eastAsia="Calibri" w:cs="Times New Roman"/>
              <w:lang w:val="en-US"/>
            </w:rPr>
          </w:r>
          <w:r>
            <w:fldChar w:fldCharType="end"/>
          </w:r>
          <w:bookmarkEnd w:id="388"/>
          <w:bookmarkEnd w:id="389"/>
          <w:r>
            <w:rPr>
              <w:rFonts w:eastAsia="Calibri" w:cs="Times New Roman"/>
              <w:lang w:val="en-US"/>
            </w:rPr>
            <w:t>).</w:t>
          </w:r>
        </w:p>
        <w:p>
          <w:pPr>
            <w:pStyle w:val="Heading1"/>
            <w:rPr>
              <w:lang w:val="en-US"/>
            </w:rPr>
          </w:pPr>
          <w:bookmarkStart w:id="390" w:name="_Toc457211241"/>
          <w:bookmarkStart w:id="391" w:name="_Toc459977499"/>
          <w:bookmarkStart w:id="392" w:name="__RefHeading___Toc5784_427358540"/>
          <w:bookmarkEnd w:id="390"/>
          <w:bookmarkEnd w:id="391"/>
          <w:bookmarkEnd w:id="392"/>
          <w:r>
            <w:rPr>
              <w:lang w:val="en-US"/>
            </w:rPr>
            <w:t>3.1 Research design and strategy</w:t>
          </w:r>
        </w:p>
        <w:p>
          <w:pPr>
            <w:pStyle w:val="Normal"/>
            <w:spacing w:lineRule="auto" w:line="360"/>
            <w:rPr/>
          </w:pPr>
          <w:r>
            <w:rPr>
              <w:rFonts w:eastAsia="Calibri" w:cs="Times New Roman"/>
              <w:lang w:val="en-US"/>
            </w:rPr>
            <w:t xml:space="preserve">A research design provides a framework for collection and analysis of data. A choice of research design reflects the priorities of the research </w:t>
          </w:r>
          <w:r>
            <w:fldChar w:fldCharType="begin"/>
          </w:r>
          <w:r>
            <w:instrText>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w:instrText>
          </w:r>
          <w:r>
            <w:fldChar w:fldCharType="separate"/>
          </w:r>
          <w:bookmarkStart w:id="393" w:name="__Fieldmark__2497_783673585"/>
          <w:r>
            <w:rPr>
              <w:rFonts w:eastAsia="Calibri" w:cs="Times New Roman"/>
              <w:lang w:val="en-US"/>
            </w:rPr>
            <w:t>(</w:t>
          </w:r>
          <w:bookmarkStart w:id="394" w:name="__Fieldmark__2913_427358540"/>
          <w:r>
            <w:rPr>
              <w:rFonts w:eastAsia="Calibri" w:cs="Times New Roman"/>
              <w:lang w:val="en-US"/>
            </w:rPr>
            <w:t>Collis et al., 2003)</w:t>
          </w:r>
          <w:r>
            <w:rPr>
              <w:rFonts w:eastAsia="Calibri" w:cs="Times New Roman"/>
              <w:lang w:val="en-US"/>
            </w:rPr>
          </w:r>
          <w:r>
            <w:fldChar w:fldCharType="end"/>
          </w:r>
          <w:bookmarkEnd w:id="393"/>
          <w:bookmarkEnd w:id="394"/>
          <w:r>
            <w:rPr>
              <w:rFonts w:eastAsia="Calibri" w:cs="Times New Roman"/>
              <w:lang w:val="en-US"/>
            </w:rPr>
            <w:t xml:space="preserve">.The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characteristics that are of research interest </w:t>
          </w:r>
          <w:r>
            <w:fldChar w:fldCharType="begin"/>
          </w:r>
          <w:r>
            <w:instrText>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w:instrText>
          </w:r>
          <w:r>
            <w:fldChar w:fldCharType="separate"/>
          </w:r>
          <w:bookmarkStart w:id="395" w:name="__Fieldmark__2504_783673585"/>
          <w:r>
            <w:rPr>
              <w:rFonts w:eastAsia="Calibri" w:cs="Times New Roman"/>
              <w:lang w:val="en-US"/>
            </w:rPr>
            <w:t>(</w:t>
          </w:r>
          <w:bookmarkStart w:id="396" w:name="__Fieldmark__2919_427358540"/>
          <w:r>
            <w:rPr>
              <w:rFonts w:eastAsia="Calibri" w:cs="Times New Roman"/>
              <w:lang w:val="en-US"/>
            </w:rPr>
            <w:t>Biernacki &amp; Waldorf, 1981)</w:t>
          </w:r>
          <w:r>
            <w:rPr>
              <w:rFonts w:eastAsia="Calibri" w:cs="Times New Roman"/>
              <w:lang w:val="en-US"/>
            </w:rPr>
          </w:r>
          <w:r>
            <w:fldChar w:fldCharType="end"/>
          </w:r>
          <w:bookmarkEnd w:id="395"/>
          <w:bookmarkEnd w:id="396"/>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purpose of a qualitative study is not to generalize based on a large population but to go into depth with an issue, luxuriate into individual perceptions providing non-numerical data and focusing on the significance that derives from the data, thus the aim is to understand the subject and not to measure it as a method that works with flexibility (Rasmussen et al., 2006). </w:t>
          </w:r>
        </w:p>
        <w:p>
          <w:pPr>
            <w:pStyle w:val="Normal"/>
            <w:spacing w:lineRule="auto" w:line="360"/>
            <w:rPr/>
          </w:pPr>
          <w:r>
            <w:rPr>
              <w:rFonts w:eastAsia="Calibri" w:cs="Times New Roman"/>
              <w:lang w:val="en-US"/>
            </w:rPr>
            <w:t xml:space="preserve">A project based on qualitative method begins with an issue that reformulated into a research problem with the choice of related theory (Rasmussen et al., 2006). </w:t>
          </w:r>
          <w:commentRangeStart w:id="52"/>
          <w:r>
            <w:rPr>
              <w:rFonts w:eastAsia="Calibri" w:cs="Times New Roman"/>
              <w:lang w:val="en-US"/>
            </w:rPr>
            <w:t xml:space="preserve">At the beginning of my study the issue was how Odense robotic ecosystem can support positive expectations for development but after doing the literature research I had the basic reasons of why these development expectations were correct. </w:t>
          </w:r>
          <w:r>
            <w:rPr>
              <w:rFonts w:eastAsia="Calibri" w:cs="Times New Roman"/>
              <w:lang w:val="en-US"/>
            </w:rPr>
          </w:r>
          <w:commentRangeEnd w:id="52"/>
          <w:r>
            <w:commentReference w:id="52"/>
          </w:r>
          <w:r>
            <w:rPr>
              <w:rFonts w:eastAsia="Calibri" w:cs="Times New Roman"/>
              <w:lang w:val="en-US"/>
            </w:rPr>
            <w:t xml:space="preserve"> Research problems are more loosely formulated in qualitative studies (Rasmussen et al., 2006) and for this reason, I was looking for answering a research question as precise as possible. The competitive advantage of nations</w:t>
          </w:r>
          <w:r>
            <w:fldChar w:fldCharType="begin"/>
          </w:r>
          <w:r>
            <w:instrText>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397" w:name="__Fieldmark__2519_783673585"/>
          <w:r>
            <w:rPr>
              <w:rFonts w:eastAsia="Calibri" w:cs="Times New Roman"/>
              <w:lang w:val="en-US"/>
            </w:rPr>
            <w:t>(Michael E. Porter, 1990)</w:t>
          </w:r>
          <w:bookmarkStart w:id="398" w:name="__Fieldmark__2951_427358540"/>
          <w:bookmarkEnd w:id="398"/>
          <w:r>
            <w:rPr>
              <w:rFonts w:eastAsia="Calibri" w:cs="Times New Roman"/>
              <w:lang w:val="en-US"/>
            </w:rPr>
          </w:r>
          <w:r>
            <w:fldChar w:fldCharType="end"/>
          </w:r>
          <w:bookmarkEnd w:id="397"/>
          <w:r>
            <w:rPr>
              <w:rFonts w:eastAsia="Calibri"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fldChar w:fldCharType="begin"/>
          </w:r>
          <w:r>
            <w:instrText>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w:instrText>
          </w:r>
          <w:r>
            <w:fldChar w:fldCharType="separate"/>
          </w:r>
          <w:bookmarkStart w:id="399" w:name="__Fieldmark__2527_783673585"/>
          <w:r>
            <w:rPr>
              <w:rFonts w:eastAsia="Calibri" w:cs="Times New Roman"/>
              <w:lang w:val="en-US"/>
            </w:rPr>
            <w:t>(Tracey &amp; Clark, 2003)</w:t>
          </w:r>
          <w:bookmarkStart w:id="400" w:name="__Fieldmark__2956_427358540"/>
          <w:bookmarkEnd w:id="400"/>
          <w:r>
            <w:rPr>
              <w:rFonts w:eastAsia="Calibri" w:cs="Times New Roman"/>
              <w:lang w:val="en-US"/>
            </w:rPr>
          </w:r>
          <w:r>
            <w:fldChar w:fldCharType="end"/>
          </w:r>
          <w:bookmarkEnd w:id="399"/>
          <w:r>
            <w:rPr>
              <w:rFonts w:eastAsia="Calibri" w:cs="Times New Roman"/>
              <w:lang w:val="en-US"/>
            </w:rPr>
            <w:t xml:space="preserve"> was the theories that help me to identify the focus in growth and innovation letting me to state the Research question ‘How Odense Robotics is able to provide solutions for growth and innovation in the continuous quest of high-growth firms? </w:t>
          </w:r>
        </w:p>
        <w:p>
          <w:pPr>
            <w:pStyle w:val="Normal"/>
            <w:spacing w:lineRule="auto" w:line="360"/>
            <w:rPr>
              <w:rFonts w:ascii="Times New Roman" w:hAnsi="Times New Roman" w:eastAsia="Calibri" w:cs="Times New Roman"/>
              <w:lang w:val="en-US"/>
            </w:rPr>
          </w:pPr>
          <w:r>
            <w:rPr>
              <w:rFonts w:eastAsia="Calibri" w:cs="Times New Roman"/>
              <w:lang w:val="en-US"/>
            </w:rPr>
            <w:t>As the literature review will define the level of knowledge that the researcher obtains about the issue stating as a precise research problem(Rasmussen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pPr>
            <w:pStyle w:val="Heading1"/>
            <w:rPr>
              <w:lang w:val="en-US"/>
            </w:rPr>
          </w:pPr>
          <w:bookmarkStart w:id="401" w:name="_Toc459977500"/>
          <w:bookmarkStart w:id="402" w:name="_Toc457211242"/>
          <w:bookmarkStart w:id="403" w:name="__RefHeading___Toc5786_427358540"/>
          <w:bookmarkEnd w:id="401"/>
          <w:bookmarkEnd w:id="402"/>
          <w:bookmarkEnd w:id="403"/>
          <w:r>
            <w:rPr>
              <w:lang w:val="en-US"/>
            </w:rPr>
            <w:t>3.2 Data Collection Method</w:t>
          </w:r>
        </w:p>
        <w:p>
          <w:pPr>
            <w:pStyle w:val="Normal"/>
            <w:spacing w:lineRule="auto" w:line="360"/>
            <w:rPr/>
          </w:pPr>
          <w:r>
            <w:rPr>
              <w:rFonts w:eastAsia="Calibri" w:cs="Times New Roman"/>
              <w:lang w:val="en-US"/>
            </w:rPr>
            <w:t xml:space="preserve">In order an interview to be and characterized as an in-depth interview there are some requirements to fulfill. Most researchers agree that an effective duration time of an interview can be from 30 minutes to 2 hours </w:t>
          </w:r>
          <w:r>
            <w:fldChar w:fldCharType="begin"/>
          </w:r>
          <w:r>
            <w:instrText>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04" w:name="__Fieldmark__2548_783673585"/>
          <w:r>
            <w:rPr>
              <w:rFonts w:eastAsia="Calibri" w:cs="Times New Roman"/>
              <w:lang w:val="en-US"/>
            </w:rPr>
            <w:t>(</w:t>
          </w:r>
          <w:bookmarkStart w:id="405" w:name="__Fieldmark__2974_427358540"/>
          <w:r>
            <w:rPr>
              <w:rFonts w:eastAsia="Calibri" w:cs="Times New Roman"/>
              <w:lang w:val="en-US"/>
            </w:rPr>
            <w:t>Rasmussen et al., 2006)</w:t>
          </w:r>
          <w:r>
            <w:rPr>
              <w:rFonts w:eastAsia="Calibri" w:cs="Times New Roman"/>
              <w:lang w:val="en-US"/>
            </w:rPr>
          </w:r>
          <w:r>
            <w:fldChar w:fldCharType="end"/>
          </w:r>
          <w:bookmarkEnd w:id="404"/>
          <w:bookmarkEnd w:id="405"/>
          <w:r>
            <w:rPr>
              <w:rFonts w:eastAsia="Calibri"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fldChar w:fldCharType="begin"/>
          </w:r>
          <w:r>
            <w:instrText>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06" w:name="__Fieldmark__2555_783673585"/>
          <w:r>
            <w:rPr>
              <w:rFonts w:eastAsia="Calibri" w:cs="Times New Roman"/>
              <w:lang w:val="en-US"/>
            </w:rPr>
            <w:t>(</w:t>
          </w:r>
          <w:bookmarkStart w:id="407" w:name="__Fieldmark__2979_427358540"/>
          <w:r>
            <w:rPr>
              <w:rFonts w:eastAsia="Calibri" w:cs="Times New Roman"/>
              <w:lang w:val="en-US"/>
            </w:rPr>
            <w:t>Rasmussen et al., 2006)</w:t>
          </w:r>
          <w:r>
            <w:rPr>
              <w:rFonts w:eastAsia="Calibri" w:cs="Times New Roman"/>
              <w:lang w:val="en-US"/>
            </w:rPr>
          </w:r>
          <w:r>
            <w:fldChar w:fldCharType="end"/>
          </w:r>
          <w:bookmarkEnd w:id="406"/>
          <w:bookmarkEnd w:id="407"/>
          <w:r>
            <w:rPr>
              <w:rFonts w:eastAsia="Calibri"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fldChar w:fldCharType="begin"/>
          </w:r>
          <w:r>
            <w:instrText>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08" w:name="__Fieldmark__2562_783673585"/>
          <w:r>
            <w:rPr>
              <w:rFonts w:eastAsia="Calibri" w:cs="Times New Roman"/>
              <w:lang w:val="en-US"/>
            </w:rPr>
            <w:t>(</w:t>
          </w:r>
          <w:bookmarkStart w:id="409" w:name="__Fieldmark__2984_427358540"/>
          <w:r>
            <w:rPr>
              <w:rFonts w:eastAsia="Calibri" w:cs="Times New Roman"/>
              <w:lang w:val="en-US"/>
            </w:rPr>
            <w:t>Rasmussen et al., 2006)</w:t>
          </w:r>
          <w:r>
            <w:rPr>
              <w:rFonts w:eastAsia="Calibri" w:cs="Times New Roman"/>
              <w:lang w:val="en-US"/>
            </w:rPr>
          </w:r>
          <w:r>
            <w:fldChar w:fldCharType="end"/>
          </w:r>
          <w:bookmarkEnd w:id="408"/>
          <w:bookmarkEnd w:id="409"/>
          <w:r>
            <w:rPr>
              <w:rFonts w:eastAsia="Calibri" w:cs="Times New Roman"/>
              <w:lang w:val="en-US"/>
            </w:rPr>
            <w:t xml:space="preserve"> and helped me to keep-up in a semi-structured interviews adding or eliminating question wherever was necessary. Furthermore, such a guide could give me a level of comparison among the results as was acting as a memo in my mind and also a tool for keeping in pace with the main discussion subjects. The interviews started. </w:t>
          </w:r>
        </w:p>
        <w:p>
          <w:pPr>
            <w:pStyle w:val="Heading1"/>
            <w:rPr>
              <w:lang w:val="en-US"/>
            </w:rPr>
          </w:pPr>
          <w:bookmarkStart w:id="410" w:name="_Toc459977501"/>
          <w:bookmarkStart w:id="411" w:name="_Toc457211243"/>
          <w:bookmarkStart w:id="412" w:name="__RefHeading___Toc5788_427358540"/>
          <w:bookmarkEnd w:id="412"/>
          <w:r>
            <w:rPr>
              <w:lang w:val="en-US"/>
            </w:rPr>
            <w:t>3.3 Sampl</w:t>
          </w:r>
          <w:bookmarkEnd w:id="410"/>
          <w:bookmarkEnd w:id="411"/>
          <w:r>
            <w:rPr>
              <w:lang w:val="en-US"/>
            </w:rPr>
            <w:t>ing method</w:t>
          </w:r>
        </w:p>
        <w:p>
          <w:pPr>
            <w:pStyle w:val="Heading1"/>
            <w:rPr>
              <w:rFonts w:eastAsia="Calibri"/>
              <w:lang w:val="en-US"/>
            </w:rPr>
          </w:pPr>
          <w:bookmarkStart w:id="413" w:name="_Toc459977502"/>
          <w:bookmarkStart w:id="414" w:name="__RefHeading___Toc5790_427358540"/>
          <w:bookmarkEnd w:id="414"/>
          <w:r>
            <w:rPr>
              <w:rFonts w:eastAsia="Calibri"/>
              <w:lang w:val="en-US"/>
            </w:rPr>
            <w:t>3.3.1 Snowball sampling</w:t>
          </w:r>
          <w:bookmarkEnd w:id="413"/>
          <w:r>
            <w:rPr>
              <w:rFonts w:eastAsia="Calibri"/>
              <w:lang w:val="en-US"/>
            </w:rPr>
            <w:t xml:space="preserve"> </w:t>
          </w:r>
        </w:p>
        <w:p>
          <w:pPr>
            <w:pStyle w:val="Normal"/>
            <w:spacing w:lineRule="auto" w:line="360"/>
            <w:rPr/>
          </w:pPr>
          <w:r>
            <w:rPr>
              <w:rFonts w:eastAsia="Calibri" w:cs="Times New Roman"/>
              <w:lang w:val="en-US"/>
            </w:rPr>
            <w:t xml:space="preserve">Snowball or chain referral sampling is a method used in qualitative social research that yield a study sample through referrals made among people who share or know of others who possess some characteristics that are of research interest </w:t>
          </w:r>
          <w:r>
            <w:fldChar w:fldCharType="begin"/>
          </w:r>
          <w:r>
            <w:instrText>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w:instrText>
          </w:r>
          <w:r>
            <w:fldChar w:fldCharType="separate"/>
          </w:r>
          <w:bookmarkStart w:id="415" w:name="__Fieldmark__2587_783673585"/>
          <w:r>
            <w:rPr>
              <w:rFonts w:eastAsia="Calibri" w:cs="Times New Roman"/>
              <w:lang w:val="en-US"/>
            </w:rPr>
            <w:t>(</w:t>
          </w:r>
          <w:bookmarkStart w:id="416" w:name="__Fieldmark__3007_427358540"/>
          <w:r>
            <w:rPr>
              <w:rFonts w:eastAsia="Calibri" w:cs="Times New Roman"/>
              <w:lang w:val="en-US"/>
            </w:rPr>
            <w:t>Biernacki &amp; Waldorf, 1981)</w:t>
          </w:r>
          <w:r>
            <w:rPr>
              <w:rFonts w:eastAsia="Calibri" w:cs="Times New Roman"/>
              <w:lang w:val="en-US"/>
            </w:rPr>
          </w:r>
          <w:r>
            <w:fldChar w:fldCharType="end"/>
          </w:r>
          <w:bookmarkEnd w:id="415"/>
          <w:bookmarkEnd w:id="416"/>
          <w:r>
            <w:rPr>
              <w:rFonts w:eastAsia="Calibri" w:cs="Times New Roman"/>
              <w:lang w:val="en-US"/>
            </w:rPr>
            <w:t>.</w:t>
          </w:r>
        </w:p>
      </w:sdtContent>
    </w:sdt>
    <w:tbl>
      <w:tblPr>
        <w:tblStyle w:val="-11"/>
        <w:tblW w:w="8522" w:type="dxa"/>
        <w:jc w:val="left"/>
        <w:tblInd w:w="0" w:type="dxa"/>
        <w:tblCellMar>
          <w:top w:w="0" w:type="dxa"/>
          <w:left w:w="108" w:type="dxa"/>
          <w:bottom w:w="0" w:type="dxa"/>
          <w:right w:w="108" w:type="dxa"/>
        </w:tblCellMar>
        <w:tblLook w:val="04a0" w:noVBand="1" w:noHBand="0" w:lastColumn="0" w:firstColumn="1" w:lastRow="0" w:firstRow="1"/>
      </w:tblPr>
      <w:tblGrid>
        <w:gridCol w:w="534"/>
        <w:gridCol w:w="2409"/>
        <w:gridCol w:w="851"/>
        <w:gridCol w:w="1985"/>
        <w:gridCol w:w="1324"/>
        <w:gridCol w:w="1418"/>
      </w:tblGrid>
      <w:tr>
        <w:trPr>
          <w:cnfStyle w:val="100000000000" w:firstRow="1" w:lastRow="0" w:firstColumn="0" w:lastColumn="0" w:oddVBand="0" w:evenVBand="0" w:oddHBand="0"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left"/>
              <w:rPr>
                <w:rFonts w:ascii="Calibri" w:hAnsi="Calibri" w:eastAsia="Calibri" w:cs="Times New Roman"/>
                <w:b/>
                <w:b/>
                <w:bCs/>
                <w:color w:val="365F91"/>
                <w:lang w:val="en-US"/>
              </w:rPr>
            </w:pPr>
            <w:r>
              <w:rPr>
                <w:rFonts w:eastAsia="Calibri" w:cs="Times New Roman" w:ascii="Calibri" w:hAnsi="Calibri"/>
                <w:b/>
                <w:bCs/>
                <w:color w:val="365F91"/>
                <w:lang w:val="en-US"/>
              </w:rPr>
            </w:r>
          </w:p>
        </w:tc>
        <w:tc>
          <w:tcPr>
            <w:tcW w:w="2409" w:type="dxa"/>
            <w:tcBorders/>
            <w:shd w:fill="auto"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b/>
                <w:bCs/>
                <w:color w:val="365F91"/>
                <w:lang w:val="en-US"/>
              </w:rPr>
              <w:t>Name</w:t>
            </w:r>
          </w:p>
        </w:tc>
        <w:tc>
          <w:tcPr>
            <w:tcW w:w="851" w:type="dxa"/>
            <w:tcBorders/>
            <w:shd w:fill="auto"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b/>
                <w:bCs/>
                <w:color w:val="365F91"/>
                <w:lang w:val="en-US"/>
              </w:rPr>
              <w:t>Age</w:t>
            </w:r>
          </w:p>
        </w:tc>
        <w:tc>
          <w:tcPr>
            <w:tcW w:w="1985" w:type="dxa"/>
            <w:tcBorders/>
            <w:shd w:fill="auto"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b/>
                <w:bCs/>
                <w:color w:val="365F91"/>
                <w:lang w:val="en-US"/>
              </w:rPr>
              <w:t>Organization</w:t>
            </w:r>
          </w:p>
        </w:tc>
        <w:tc>
          <w:tcPr>
            <w:tcW w:w="1324" w:type="dxa"/>
            <w:tcBorders/>
            <w:shd w:fill="auto"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b/>
                <w:bCs/>
                <w:color w:val="365F91"/>
                <w:lang w:val="en-US"/>
              </w:rPr>
              <w:t>Date</w:t>
            </w:r>
          </w:p>
        </w:tc>
        <w:tc>
          <w:tcPr>
            <w:tcW w:w="1418" w:type="dxa"/>
            <w:tcBorders/>
            <w:shd w:fill="auto"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b/>
                <w:bCs/>
                <w:color w:val="365F91"/>
                <w:lang w:val="en-US"/>
              </w:rPr>
              <w:t>Duration</w:t>
            </w:r>
          </w:p>
        </w:tc>
      </w:tr>
      <w:tr>
        <w:trPr>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1</w:t>
            </w:r>
          </w:p>
        </w:tc>
        <w:tc>
          <w:tcPr>
            <w:tcW w:w="2409"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Bjarke Felk Nielsen</w:t>
            </w:r>
          </w:p>
        </w:tc>
        <w:tc>
          <w:tcPr>
            <w:tcW w:w="851"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42</w:t>
            </w:r>
          </w:p>
        </w:tc>
        <w:tc>
          <w:tcPr>
            <w:tcW w:w="1985"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Robocluster</w:t>
            </w:r>
          </w:p>
        </w:tc>
        <w:tc>
          <w:tcPr>
            <w:tcW w:w="1324"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25/04/2016</w:t>
            </w:r>
          </w:p>
        </w:tc>
        <w:tc>
          <w:tcPr>
            <w:tcW w:w="1418"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41minutes</w:t>
            </w:r>
          </w:p>
        </w:tc>
      </w:tr>
      <w:tr>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2</w:t>
            </w:r>
          </w:p>
        </w:tc>
        <w:tc>
          <w:tcPr>
            <w:tcW w:w="2409"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Mikkel Christoffersen</w:t>
            </w:r>
          </w:p>
        </w:tc>
        <w:tc>
          <w:tcPr>
            <w:tcW w:w="851"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46</w:t>
            </w:r>
          </w:p>
        </w:tc>
        <w:tc>
          <w:tcPr>
            <w:tcW w:w="1985"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Odense Robotics</w:t>
            </w:r>
          </w:p>
        </w:tc>
        <w:tc>
          <w:tcPr>
            <w:tcW w:w="1324"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18/05/2016</w:t>
            </w:r>
          </w:p>
        </w:tc>
        <w:tc>
          <w:tcPr>
            <w:tcW w:w="1418"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41minutes</w:t>
            </w:r>
          </w:p>
        </w:tc>
      </w:tr>
      <w:tr>
        <w:trPr>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3</w:t>
            </w:r>
          </w:p>
        </w:tc>
        <w:tc>
          <w:tcPr>
            <w:tcW w:w="2409"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Casper Harlev</w:t>
            </w:r>
          </w:p>
        </w:tc>
        <w:tc>
          <w:tcPr>
            <w:tcW w:w="851"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24</w:t>
            </w:r>
          </w:p>
        </w:tc>
        <w:tc>
          <w:tcPr>
            <w:tcW w:w="1985"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Sensohive</w:t>
            </w:r>
          </w:p>
        </w:tc>
        <w:tc>
          <w:tcPr>
            <w:tcW w:w="1324"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10/06/2016</w:t>
            </w:r>
          </w:p>
        </w:tc>
        <w:tc>
          <w:tcPr>
            <w:tcW w:w="1418"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50minutes</w:t>
            </w:r>
          </w:p>
        </w:tc>
      </w:tr>
      <w:tr>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4</w:t>
            </w:r>
          </w:p>
        </w:tc>
        <w:tc>
          <w:tcPr>
            <w:tcW w:w="2409"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Jimmy Alison Jorgensen</w:t>
            </w:r>
          </w:p>
        </w:tc>
        <w:tc>
          <w:tcPr>
            <w:tcW w:w="851"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36</w:t>
            </w:r>
          </w:p>
        </w:tc>
        <w:tc>
          <w:tcPr>
            <w:tcW w:w="1985"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CorePath</w:t>
            </w:r>
          </w:p>
        </w:tc>
        <w:tc>
          <w:tcPr>
            <w:tcW w:w="1324"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14/06/2016</w:t>
            </w:r>
          </w:p>
        </w:tc>
        <w:tc>
          <w:tcPr>
            <w:tcW w:w="1418"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42minutes</w:t>
            </w:r>
          </w:p>
        </w:tc>
      </w:tr>
      <w:tr>
        <w:trPr>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5</w:t>
            </w:r>
          </w:p>
        </w:tc>
        <w:tc>
          <w:tcPr>
            <w:tcW w:w="2409"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Lars-Peter Ellekilde</w:t>
            </w:r>
          </w:p>
        </w:tc>
        <w:tc>
          <w:tcPr>
            <w:tcW w:w="851"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34</w:t>
            </w:r>
          </w:p>
        </w:tc>
        <w:tc>
          <w:tcPr>
            <w:tcW w:w="1985"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Associate Professor</w:t>
            </w:r>
          </w:p>
        </w:tc>
        <w:tc>
          <w:tcPr>
            <w:tcW w:w="1324"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29/06/2016</w:t>
            </w:r>
          </w:p>
        </w:tc>
        <w:tc>
          <w:tcPr>
            <w:tcW w:w="1418"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39minutes</w:t>
            </w:r>
          </w:p>
        </w:tc>
      </w:tr>
      <w:tr>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6</w:t>
            </w:r>
          </w:p>
        </w:tc>
        <w:tc>
          <w:tcPr>
            <w:tcW w:w="2409"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Tommy Otzen</w:t>
            </w:r>
          </w:p>
        </w:tc>
        <w:tc>
          <w:tcPr>
            <w:tcW w:w="851"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34</w:t>
            </w:r>
          </w:p>
        </w:tc>
        <w:tc>
          <w:tcPr>
            <w:tcW w:w="1985"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Kubo Robot</w:t>
            </w:r>
          </w:p>
        </w:tc>
        <w:tc>
          <w:tcPr>
            <w:tcW w:w="1324"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29/06/2016</w:t>
            </w:r>
          </w:p>
        </w:tc>
        <w:tc>
          <w:tcPr>
            <w:tcW w:w="1418"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40minutes</w:t>
            </w:r>
          </w:p>
        </w:tc>
      </w:tr>
      <w:tr>
        <w:trPr>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7</w:t>
            </w:r>
          </w:p>
        </w:tc>
        <w:tc>
          <w:tcPr>
            <w:tcW w:w="2409"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Mathias Flind</w:t>
            </w:r>
          </w:p>
        </w:tc>
        <w:tc>
          <w:tcPr>
            <w:tcW w:w="851"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26</w:t>
            </w:r>
          </w:p>
        </w:tc>
        <w:tc>
          <w:tcPr>
            <w:tcW w:w="1985"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Researcher</w:t>
            </w:r>
          </w:p>
        </w:tc>
        <w:tc>
          <w:tcPr>
            <w:tcW w:w="1324"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07/07/2016</w:t>
            </w:r>
          </w:p>
        </w:tc>
        <w:tc>
          <w:tcPr>
            <w:tcW w:w="1418" w:type="dxa"/>
            <w:tcBorders>
              <w:top w:val="nil"/>
              <w:bottom w:val="nil"/>
              <w:insideH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41minutes</w:t>
            </w:r>
          </w:p>
        </w:tc>
      </w:tr>
      <w:tr>
        <w:trPr/>
        <w:tc>
          <w:tcPr>
            <w:tcW w:w="53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8</w:t>
            </w:r>
          </w:p>
        </w:tc>
        <w:tc>
          <w:tcPr>
            <w:tcW w:w="2409"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Anders Beck</w:t>
            </w:r>
          </w:p>
        </w:tc>
        <w:tc>
          <w:tcPr>
            <w:tcW w:w="851"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35</w:t>
            </w:r>
          </w:p>
        </w:tc>
        <w:tc>
          <w:tcPr>
            <w:tcW w:w="1985"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DTI-RT</w:t>
            </w:r>
          </w:p>
        </w:tc>
        <w:tc>
          <w:tcPr>
            <w:tcW w:w="1324"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27/07/2016</w:t>
            </w:r>
          </w:p>
        </w:tc>
        <w:tc>
          <w:tcPr>
            <w:tcW w:w="1418" w:type="dxa"/>
            <w:tcBorders>
              <w:top w:val="nil"/>
              <w:bottom w:val="nil"/>
              <w:insideH w:val="nil"/>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41minutes</w:t>
            </w:r>
          </w:p>
        </w:tc>
      </w:tr>
      <w:tr>
        <w:trPr>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Normal"/>
              <w:spacing w:lineRule="auto" w:line="240" w:before="0" w:after="0"/>
              <w:jc w:val="left"/>
              <w:rPr>
                <w:rFonts w:ascii="Calibri" w:hAnsi="Calibri" w:eastAsia="Calibri" w:cs="Times New Roman"/>
                <w:lang w:val="en-US"/>
              </w:rPr>
            </w:pPr>
            <w:r>
              <w:rPr>
                <w:rFonts w:eastAsia="Calibri" w:cs="Times New Roman" w:ascii="Calibri" w:hAnsi="Calibri"/>
                <w:b/>
                <w:bCs/>
                <w:color w:val="365F91"/>
                <w:lang w:val="en-US"/>
              </w:rPr>
              <w:t>9</w:t>
            </w:r>
          </w:p>
        </w:tc>
        <w:tc>
          <w:tcPr>
            <w:tcW w:w="2409" w:type="dxa"/>
            <w:tcBorders>
              <w:top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 xml:space="preserve">Bilge </w:t>
            </w:r>
          </w:p>
        </w:tc>
        <w:tc>
          <w:tcPr>
            <w:tcW w:w="851" w:type="dxa"/>
            <w:tcBorders>
              <w:top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color w:val="365F91"/>
                <w:lang w:val="en-US"/>
              </w:rPr>
            </w:pPr>
            <w:r>
              <w:rPr>
                <w:rFonts w:eastAsia="Calibri" w:cs="Times New Roman" w:ascii="Calibri" w:hAnsi="Calibri"/>
                <w:color w:val="365F91"/>
                <w:lang w:val="en-US"/>
              </w:rPr>
            </w:r>
          </w:p>
        </w:tc>
        <w:tc>
          <w:tcPr>
            <w:tcW w:w="1985" w:type="dxa"/>
            <w:tcBorders>
              <w:top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On Robots</w:t>
            </w:r>
          </w:p>
        </w:tc>
        <w:tc>
          <w:tcPr>
            <w:tcW w:w="1324" w:type="dxa"/>
            <w:tcBorders>
              <w:top w:val="nil"/>
            </w:tcBorders>
            <w:shd w:color="auto" w:fill="D3DFEE"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17/08</w:t>
            </w:r>
          </w:p>
        </w:tc>
        <w:tc>
          <w:tcPr>
            <w:tcW w:w="1418" w:type="dxa"/>
            <w:tcBorders>
              <w:top w:val="nil"/>
            </w:tcBorders>
            <w:shd w:color="auto" w:fill="D3DFEE" w:val="clear"/>
          </w:tcPr>
          <w:p>
            <w:pPr>
              <w:pStyle w:val="Normal"/>
              <w:keepNext/>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Times New Roman"/>
                <w:lang w:val="en-US"/>
              </w:rPr>
            </w:pPr>
            <w:r>
              <w:rPr>
                <w:rFonts w:eastAsia="Calibri" w:cs="Times New Roman" w:ascii="Calibri" w:hAnsi="Calibri"/>
                <w:color w:val="365F91"/>
                <w:lang w:val="en-US"/>
              </w:rPr>
              <w:t>41minutes</w:t>
            </w:r>
          </w:p>
        </w:tc>
      </w:tr>
    </w:tbl>
    <w:p>
      <w:pPr>
        <w:pStyle w:val="Caption1"/>
        <w:rPr/>
      </w:pPr>
      <w:r>
        <w:rPr/>
        <w:t xml:space="preserve">Figure </w:t>
      </w:r>
      <w:r>
        <w:rPr/>
        <w:fldChar w:fldCharType="begin"/>
      </w:r>
      <w:r>
        <w:instrText> SEQ Figure \* ARABIC </w:instrText>
      </w:r>
      <w:r>
        <w:fldChar w:fldCharType="separate"/>
      </w:r>
      <w:r>
        <w:t>5</w:t>
      </w:r>
      <w:r>
        <w:fldChar w:fldCharType="end"/>
      </w:r>
      <w:r>
        <w:rPr>
          <w:lang w:val="en-US"/>
        </w:rPr>
        <w:t xml:space="preserve"> Interviews completed</w:t>
      </w:r>
    </w:p>
    <w:p>
      <w:pPr>
        <w:pStyle w:val="Normal"/>
        <w:spacing w:lineRule="auto" w:line="360"/>
        <w:rPr/>
      </w:pPr>
      <w:r>
        <w:rPr>
          <w:rFonts w:eastAsia="Calibri" w:cs="Times New Roman"/>
          <w:lang w:val="en-US"/>
        </w:rPr>
        <w:t xml:space="preserve">Biernacki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fldChar w:fldCharType="begin"/>
      </w:r>
      <w:r>
        <w:instrText>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w:instrText>
      </w:r>
      <w:r>
        <w:fldChar w:fldCharType="separate"/>
      </w:r>
      <w:bookmarkStart w:id="417" w:name="__Fieldmark__2780_783673585"/>
      <w:r>
        <w:rPr>
          <w:rFonts w:eastAsia="Calibri" w:cs="Times New Roman"/>
          <w:lang w:val="en-US"/>
        </w:rPr>
        <w:t>(</w:t>
      </w:r>
      <w:bookmarkStart w:id="418" w:name="__Fieldmark__3202_427358540"/>
      <w:r>
        <w:rPr>
          <w:rFonts w:eastAsia="Calibri" w:cs="Times New Roman"/>
          <w:lang w:val="en-US"/>
        </w:rPr>
        <w:t>Noy, 2008)</w:t>
      </w:r>
      <w:r>
        <w:rPr>
          <w:rFonts w:eastAsia="Calibri" w:cs="Times New Roman"/>
          <w:lang w:val="en-US"/>
        </w:rPr>
      </w:r>
      <w:r>
        <w:fldChar w:fldCharType="end"/>
      </w:r>
      <w:bookmarkEnd w:id="417"/>
      <w:bookmarkEnd w:id="418"/>
      <w:r>
        <w:rPr>
          <w:rFonts w:eastAsia="Calibri"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fldChar w:fldCharType="begin"/>
      </w:r>
      <w:r>
        <w:instrText>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w:instrText>
      </w:r>
      <w:r>
        <w:fldChar w:fldCharType="separate"/>
      </w:r>
      <w:bookmarkStart w:id="419" w:name="__Fieldmark__2787_783673585"/>
      <w:r>
        <w:rPr>
          <w:rFonts w:eastAsia="Calibri" w:cs="Times New Roman"/>
          <w:lang w:val="en-US"/>
        </w:rPr>
        <w:t>(</w:t>
      </w:r>
      <w:bookmarkStart w:id="420" w:name="__Fieldmark__3207_427358540"/>
      <w:r>
        <w:rPr>
          <w:rFonts w:eastAsia="Calibri" w:cs="Times New Roman"/>
          <w:lang w:val="en-US"/>
        </w:rPr>
        <w:t>Noy, 2008)</w:t>
      </w:r>
      <w:r>
        <w:rPr>
          <w:rFonts w:eastAsia="Calibri" w:cs="Times New Roman"/>
          <w:lang w:val="en-US"/>
        </w:rPr>
      </w:r>
      <w:r>
        <w:fldChar w:fldCharType="end"/>
      </w:r>
      <w:bookmarkEnd w:id="419"/>
      <w:bookmarkEnd w:id="420"/>
      <w:r>
        <w:rPr>
          <w:rFonts w:eastAsia="Calibri" w:cs="Times New Roman"/>
          <w:lang w:val="en-US"/>
        </w:rPr>
        <w:t>. Snowball sampling is essentially social because it both uses and activates existing social networks</w:t>
      </w:r>
      <w:r>
        <w:fldChar w:fldCharType="begin"/>
      </w:r>
      <w:r>
        <w:instrText>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w:instrText>
      </w:r>
      <w:r>
        <w:fldChar w:fldCharType="separate"/>
      </w:r>
      <w:bookmarkStart w:id="421" w:name="__Fieldmark__2794_783673585"/>
      <w:r>
        <w:rPr>
          <w:rFonts w:eastAsia="Calibri" w:cs="Times New Roman"/>
          <w:lang w:val="en-US"/>
        </w:rPr>
        <w:t>(</w:t>
      </w:r>
      <w:bookmarkStart w:id="422" w:name="__Fieldmark__3212_427358540"/>
      <w:r>
        <w:rPr>
          <w:rFonts w:eastAsia="Calibri" w:cs="Times New Roman"/>
          <w:lang w:val="en-US"/>
        </w:rPr>
        <w:t>Noy, 2008)</w:t>
      </w:r>
      <w:r>
        <w:rPr>
          <w:rFonts w:eastAsia="Calibri" w:cs="Times New Roman"/>
          <w:lang w:val="en-US"/>
        </w:rPr>
      </w:r>
      <w:r>
        <w:fldChar w:fldCharType="end"/>
      </w:r>
      <w:bookmarkEnd w:id="421"/>
      <w:bookmarkEnd w:id="422"/>
      <w:r>
        <w:rPr>
          <w:rFonts w:eastAsia="Calibri" w:cs="Times New Roman"/>
          <w:lang w:val="en-US"/>
        </w:rPr>
        <w:t xml:space="preserve">. </w:t>
      </w:r>
    </w:p>
    <w:p>
      <w:pPr>
        <w:pStyle w:val="Heading1"/>
        <w:rPr>
          <w:rFonts w:eastAsia="Times New Roman"/>
          <w:lang w:val="en-US"/>
        </w:rPr>
      </w:pPr>
      <w:bookmarkStart w:id="423" w:name="_Toc459977503"/>
      <w:bookmarkStart w:id="424" w:name="__RefHeading___Toc5792_427358540"/>
      <w:bookmarkEnd w:id="423"/>
      <w:bookmarkEnd w:id="424"/>
      <w:r>
        <w:rPr>
          <w:rFonts w:eastAsia="Times New Roman"/>
          <w:lang w:val="en-US"/>
        </w:rPr>
        <w:t>3.3.2 Snowball Stemma</w:t>
      </w:r>
    </w:p>
    <w:p>
      <w:pPr>
        <w:pStyle w:val="Normal"/>
        <w:keepNext/>
        <w:spacing w:lineRule="auto" w:line="360"/>
        <w:rPr>
          <w:lang w:val="en-US"/>
        </w:rPr>
      </w:pPr>
      <w:r>
        <w:rPr/>
        <w:drawing>
          <wp:inline distT="0" distB="0" distL="0" distR="0" wp14:anchorId="302A0437">
            <wp:extent cx="5278120" cy="4982845"/>
            <wp:effectExtent l="0" t="0" r="0" b="0"/>
            <wp:docPr id="7" name="Diagram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6</w:t>
      </w:r>
      <w:r>
        <w:fldChar w:fldCharType="end"/>
      </w:r>
      <w:r>
        <w:rPr>
          <w:lang w:val="en-US"/>
        </w:rPr>
        <w:t xml:space="preserve"> Snowball Stemma</w:t>
      </w:r>
    </w:p>
    <w:p>
      <w:pPr>
        <w:pStyle w:val="Normal"/>
        <w:spacing w:lineRule="auto" w:line="360"/>
        <w:rPr>
          <w:rFonts w:ascii="Times New Roman" w:hAnsi="Times New Roman" w:eastAsia="Calibri" w:cs="Times New Roman"/>
          <w:lang w:val="en-US"/>
        </w:rPr>
      </w:pPr>
      <w:r>
        <w:rPr>
          <w:rFonts w:eastAsia="Calibri"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pPr>
        <w:pStyle w:val="Normal"/>
        <w:spacing w:lineRule="auto" w:line="360"/>
        <w:rPr/>
      </w:pPr>
      <w:r>
        <w:rPr>
          <w:rFonts w:eastAsia="Calibri" w:cs="Times New Roman"/>
          <w:lang w:val="en-US"/>
        </w:rPr>
        <w:t xml:space="preserve">In our third meeting my supervisor professor proposed me to speak with Pernille Kjaer from Business Development Centre - Southern Denmark (Væksthus Syddanmark) a regional Institute for Collaboration that is partly financed by national and regional authorities. I contact her through an email explaining my study objectives requesting a meeting with her. In respond, she forwarded my email to Bjarke Falk Nielsen from RoboCluster stating that she think he had much more experience in my study subject than her. The snowball method started by interviewing the cluster manager of the national robotic network in 25/04/2016. With Bjarke we met on his office in the new engineering building on SDU campus were RoboCluster offices are located. After our discussion I asked him to recommend me another person with knowledge in my research area. He put me in touch with Mikkel Christoffersen the business manager of Odense robotics frontier for robotic technologies as he stated that these people have some specific tasks for the development of </w:t>
      </w:r>
      <w:commentRangeStart w:id="53"/>
      <w:r>
        <w:rPr>
          <w:rFonts w:eastAsia="Calibri" w:cs="Times New Roman"/>
          <w:lang w:val="en-US"/>
        </w:rPr>
        <w:t>the cluster</w:t>
      </w:r>
      <w:r>
        <w:rPr>
          <w:rFonts w:eastAsia="Calibri" w:cs="Times New Roman"/>
          <w:lang w:val="en-US"/>
        </w:rPr>
      </w:r>
      <w:commentRangeEnd w:id="53"/>
      <w:r>
        <w:commentReference w:id="53"/>
      </w:r>
      <w:r>
        <w:rPr>
          <w:rFonts w:eastAsia="Calibri" w:cs="Times New Roman"/>
          <w:lang w:val="en-US"/>
        </w:rPr>
        <w:t xml:space="preserve">. Odense Robotics frontier is another IFC organizationally anchored in Developing Fyn that conducts business and tourism efforts for the five largest municipalities on Fyn (Odense, Svendborg, Nyborg, Faaborg and Assens) and is financed by both Developing Fyn and the municipality of Odense </w:t>
      </w:r>
      <w:r>
        <w:fldChar w:fldCharType="begin"/>
      </w:r>
      <w:r>
        <w:instrText>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w:instrText>
      </w:r>
      <w:r>
        <w:fldChar w:fldCharType="separate"/>
      </w:r>
      <w:bookmarkStart w:id="425" w:name="__Fieldmark__2823_783673585"/>
      <w:r>
        <w:rPr>
          <w:rFonts w:eastAsia="Calibri" w:cs="Times New Roman"/>
          <w:lang w:val="en-US"/>
        </w:rPr>
      </w:r>
      <w:r>
        <w:rPr>
          <w:rFonts w:eastAsia="Calibri" w:cs="Times New Roman"/>
          <w:szCs w:val="24"/>
          <w:lang w:val="en-US"/>
        </w:rPr>
        <w:t>(“OR About us,” n.d.)</w:t>
      </w:r>
      <w:bookmarkStart w:id="426" w:name="__Fieldmark__3237_427358540"/>
      <w:bookmarkEnd w:id="426"/>
      <w:r>
        <w:rPr>
          <w:rFonts w:eastAsia="Calibri" w:cs="Times New Roman"/>
          <w:lang w:val="en-US"/>
        </w:rPr>
      </w:r>
      <w:r>
        <w:fldChar w:fldCharType="end"/>
      </w:r>
      <w:bookmarkEnd w:id="425"/>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 xml:space="preserve">I met Mikkel on 18/05/2016, in Forskerparker where the frontier has its offices. Parallel to our discussion Mikkel illustrated a power point presentation of the frontier facts and tasks which I received after our interview via email. He also provided me a hardcopy of the cluster’s value chain that can be found in Appendix X giving me important data for the Odense robotic environment. At the end of our talk Mikkel proposed me to continue by interviewing two startupers. Those were Jimmy Alison Jorgensen, the CEO of CorePath robotics and Casper Harlev, the Ceo and co-founder of SensoHive. The first generation of data collection has been collected with Bjarke and Mikkel Interviews. </w:t>
      </w:r>
    </w:p>
    <w:p>
      <w:pPr>
        <w:pStyle w:val="Normal"/>
        <w:spacing w:lineRule="auto" w:line="360"/>
        <w:rPr>
          <w:rFonts w:ascii="Times New Roman" w:hAnsi="Times New Roman" w:eastAsia="Calibri" w:cs="Times New Roman"/>
          <w:lang w:val="en-US"/>
        </w:rPr>
      </w:pPr>
      <w:r>
        <w:rPr>
          <w:rFonts w:eastAsia="Calibri" w:cs="Times New Roman"/>
          <w:lang w:val="en-US"/>
        </w:rPr>
        <w:t>The second generation of interviews started on 10/06/2016 when I discussed my research subject with Casper in Videnbyen. SensoHive is a startup company which provides sensor-based solutions having at the moment two core products, a climate sensor solution for greenhouses and a wireless temperature sensor for concrete monitoring</w:t>
        <w:tab/>
        <w:t>.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Videnbyen and Casper connected me with Tommy Otzen from Kubo Robot a newbie startup part of the Odense Robotics StartUp Hub.</w:t>
      </w:r>
    </w:p>
    <w:p>
      <w:pPr>
        <w:pStyle w:val="Normal"/>
        <w:spacing w:lineRule="auto" w:line="360"/>
        <w:rPr>
          <w:rFonts w:ascii="Times New Roman" w:hAnsi="Times New Roman" w:eastAsia="Calibri" w:cs="Times New Roman"/>
          <w:lang w:val="en-US"/>
        </w:rPr>
      </w:pPr>
      <w:r>
        <w:rPr>
          <w:rFonts w:eastAsia="Calibri" w:cs="Times New Roman"/>
          <w:lang w:val="en-US"/>
        </w:rPr>
        <w:t>Jimmy Alison Jorgensen was the second Mikkel’s recommendation and the fourth interview in the stemma. The meeting was arranged in Foskerparker where the company holds its office and laboratory as is a member of Odense Robotics StartUp Hub, the new robot startup accelerator program.  The recorded interview lasted for 42 minutes but my whole stay in the company held for one and a half hour. I spend around 20 minutes with Jeshith the robotic software engineer of the company until Jimmy appeared. Jeshith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their neighbors RoboAtWork that their software can be applicable to the other company’s solution. At the end of the visit and after the interview, Jimmy made two referrals the Associate Professor, Lars-Peter Ellekilde from Maersk Mc-Kinney Moller Institute- SDU Robotics and Bilge Jacob Christiansen the CEO and founder of OnRobot Company.</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second generation of informants had finished by then. For the next phase, I had three more contacts to continue my data collection. At 29/06/2016 I interviewed both Lars-Peter and Tommy. The talk with the associate professor took place at his office in SDU new engineering building just a few meters away from RoboCluster offices. The discussion with the founder of Kubo Robots conducted in a quiet spot in the cantine of Foskerparker where the company’s offices are. Due to the heavy program of Bilge, we arranged our interview the 17th of August in his company’s offices just 4 kilometers from the center of </w:t>
      </w:r>
      <w:commentRangeStart w:id="54"/>
      <w:r>
        <w:rPr>
          <w:rFonts w:eastAsia="Calibri" w:cs="Times New Roman"/>
          <w:lang w:val="en-US"/>
        </w:rPr>
        <w:t>Odense</w:t>
      </w:r>
      <w:r>
        <w:rPr>
          <w:rFonts w:eastAsia="Calibri" w:cs="Times New Roman"/>
          <w:lang w:val="en-US"/>
        </w:rPr>
      </w:r>
      <w:commentRangeEnd w:id="54"/>
      <w:r>
        <w:commentReference w:id="54"/>
      </w:r>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third and last generation of informants consist of Mathias the former research assistant of SDU Drone Center-Maersk Mc-Kinney Moller Institute and now the Ph.D. candidate and Anders a team leader in DTI-RT. The meeting took place in SDU ‘Winter Garden’ and in Foskerparker DTI offices accordingly. </w:t>
      </w:r>
    </w:p>
    <w:p>
      <w:pPr>
        <w:pStyle w:val="Heading1"/>
        <w:rPr>
          <w:lang w:val="en-US"/>
        </w:rPr>
      </w:pPr>
      <w:bookmarkStart w:id="427" w:name="_Toc459977504"/>
      <w:bookmarkStart w:id="428" w:name="__RefHeading___Toc5794_427358540"/>
      <w:bookmarkStart w:id="429" w:name="_Toc457211244"/>
      <w:bookmarkEnd w:id="428"/>
      <w:r>
        <w:rPr>
          <w:lang w:val="en-US"/>
        </w:rPr>
        <w:t>3.4 Data analysis</w:t>
      </w:r>
      <w:bookmarkEnd w:id="427"/>
      <w:bookmarkEnd w:id="429"/>
      <w:r>
        <w:rPr>
          <w:lang w:val="en-US"/>
        </w:rPr>
        <w:t xml:space="preserve"> </w:t>
      </w:r>
    </w:p>
    <w:p>
      <w:pPr>
        <w:pStyle w:val="Normal"/>
        <w:spacing w:lineRule="auto" w:line="360"/>
        <w:rPr/>
      </w:pPr>
      <w:r>
        <w:rPr>
          <w:rFonts w:eastAsia="Calibri" w:cs="Times New Roman"/>
          <w:lang w:val="en-US"/>
        </w:rPr>
        <w:t xml:space="preserve">In relation to studies based on qualitative methods, data analysis might appear as a mechanical process </w:t>
      </w:r>
      <w:r>
        <w:fldChar w:fldCharType="begin"/>
      </w:r>
      <w:r>
        <w:instrText>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30" w:name="__Fieldmark__2854_783673585"/>
      <w:r>
        <w:rPr>
          <w:rFonts w:eastAsia="Calibri" w:cs="Times New Roman"/>
          <w:lang w:val="en-US"/>
        </w:rPr>
        <w:t>(</w:t>
      </w:r>
      <w:bookmarkStart w:id="431" w:name="__Fieldmark__3282_427358540"/>
      <w:r>
        <w:rPr>
          <w:rFonts w:eastAsia="Calibri" w:cs="Times New Roman"/>
          <w:lang w:val="en-US"/>
        </w:rPr>
        <w:t>Rasmussen et al., 2006)</w:t>
      </w:r>
      <w:r>
        <w:rPr>
          <w:rFonts w:eastAsia="Calibri" w:cs="Times New Roman"/>
          <w:lang w:val="en-US"/>
        </w:rPr>
      </w:r>
      <w:r>
        <w:fldChar w:fldCharType="end"/>
      </w:r>
      <w:bookmarkEnd w:id="430"/>
      <w:bookmarkEnd w:id="431"/>
      <w:r>
        <w:rPr>
          <w:rFonts w:eastAsia="Calibri" w:cs="Times New Roman"/>
          <w:lang w:val="en-US"/>
        </w:rPr>
        <w:t>. Direct presentation, condensation,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pPr>
        <w:pStyle w:val="Normal"/>
        <w:spacing w:lineRule="auto" w:line="360"/>
        <w:rPr/>
      </w:pPr>
      <w:r>
        <w:rPr>
          <w:rFonts w:eastAsia="Calibri" w:cs="Times New Roman"/>
          <w:lang w:val="en-US"/>
        </w:rPr>
        <w:t xml:space="preserve">Data analysis begins during the data collection stage  and aspects of the subject will arise without any prior knowledge before the start of the study </w:t>
      </w:r>
      <w:r>
        <w:fldChar w:fldCharType="begin"/>
      </w:r>
      <w:r>
        <w:instrText>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32" w:name="__Fieldmark__2863_783673585"/>
      <w:r>
        <w:rPr>
          <w:rFonts w:eastAsia="Calibri" w:cs="Times New Roman"/>
          <w:lang w:val="en-US"/>
        </w:rPr>
        <w:t>(</w:t>
      </w:r>
      <w:bookmarkStart w:id="433" w:name="__Fieldmark__3292_427358540"/>
      <w:r>
        <w:rPr>
          <w:rFonts w:eastAsia="Calibri" w:cs="Times New Roman"/>
          <w:lang w:val="en-US"/>
        </w:rPr>
        <w:t>Rasmussen et al., 2006)</w:t>
      </w:r>
      <w:r>
        <w:rPr>
          <w:rFonts w:eastAsia="Calibri" w:cs="Times New Roman"/>
          <w:lang w:val="en-US"/>
        </w:rPr>
      </w:r>
      <w:r>
        <w:fldChar w:fldCharType="end"/>
      </w:r>
      <w:bookmarkEnd w:id="432"/>
      <w:bookmarkEnd w:id="433"/>
      <w:r>
        <w:rPr>
          <w:rFonts w:eastAsia="Calibri"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 </w:t>
      </w:r>
      <w:r>
        <w:fldChar w:fldCharType="begin"/>
      </w:r>
      <w:r>
        <w:instrText>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34" w:name="__Fieldmark__2870_783673585"/>
      <w:r>
        <w:rPr>
          <w:rFonts w:eastAsia="Calibri" w:cs="Times New Roman"/>
          <w:lang w:val="en-US"/>
        </w:rPr>
        <w:t>(</w:t>
      </w:r>
      <w:bookmarkStart w:id="435" w:name="__Fieldmark__3298_427358540"/>
      <w:r>
        <w:rPr>
          <w:rFonts w:eastAsia="Calibri" w:cs="Times New Roman"/>
          <w:lang w:val="en-US"/>
        </w:rPr>
        <w:t>Rasmussen et al., 2006)</w:t>
      </w:r>
      <w:r>
        <w:rPr>
          <w:rFonts w:eastAsia="Calibri" w:cs="Times New Roman"/>
          <w:lang w:val="en-US"/>
        </w:rPr>
      </w:r>
      <w:r>
        <w:fldChar w:fldCharType="end"/>
      </w:r>
      <w:bookmarkEnd w:id="434"/>
      <w:bookmarkEnd w:id="435"/>
      <w:r>
        <w:rPr>
          <w:rFonts w:eastAsia="Calibri" w:cs="Times New Roman"/>
          <w:lang w:val="en-US"/>
        </w:rPr>
        <w:t xml:space="preserve">. Studies based on qualitative methods are distinguished from those based on quantitative methods in that the data analysis already starts while collecting the data </w:t>
      </w:r>
      <w:r>
        <w:fldChar w:fldCharType="begin"/>
      </w:r>
      <w:r>
        <w:instrText>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36" w:name="__Fieldmark__2877_783673585"/>
      <w:r>
        <w:rPr>
          <w:rFonts w:eastAsia="Calibri" w:cs="Times New Roman"/>
          <w:lang w:val="en-US"/>
        </w:rPr>
        <w:t>(</w:t>
      </w:r>
      <w:bookmarkStart w:id="437" w:name="__Fieldmark__3303_427358540"/>
      <w:r>
        <w:rPr>
          <w:rFonts w:eastAsia="Calibri" w:cs="Times New Roman"/>
          <w:lang w:val="en-US"/>
        </w:rPr>
        <w:t>Rasmussen et al., 2006)</w:t>
      </w:r>
      <w:r>
        <w:rPr>
          <w:rFonts w:eastAsia="Calibri" w:cs="Times New Roman"/>
          <w:lang w:val="en-US"/>
        </w:rPr>
      </w:r>
      <w:r>
        <w:fldChar w:fldCharType="end"/>
      </w:r>
      <w:bookmarkEnd w:id="436"/>
      <w:bookmarkEnd w:id="437"/>
      <w:r>
        <w:rPr>
          <w:rFonts w:eastAsia="Calibri" w:cs="Times New Roman"/>
          <w:lang w:val="en-US"/>
        </w:rPr>
        <w:t>. The fact that intricate me more in the process of completing my master thesis research was that as a researcher I had the virtue of being the interviewer and thus, I was directly involved in the collection of data.</w:t>
      </w:r>
    </w:p>
    <w:p>
      <w:pPr>
        <w:pStyle w:val="Normal"/>
        <w:spacing w:lineRule="auto" w:line="360"/>
        <w:rPr>
          <w:rFonts w:ascii="Times New Roman" w:hAnsi="Times New Roman" w:eastAsia="Calibri" w:cs="Times New Roman"/>
          <w:lang w:val="en-US"/>
        </w:rPr>
      </w:pPr>
      <w:r>
        <w:rPr>
          <w:rFonts w:eastAsia="Calibri" w:cs="Times New Roman"/>
          <w:lang w:val="en-US"/>
        </w:rPr>
        <w:t xml:space="preserve">For that reason after during and before every interview I was modifying the interview guide in the needs of the respondent. An </w:t>
      </w:r>
      <w:r>
        <w:rPr>
          <w:rFonts w:eastAsia="Calibri" w:cs="Times New Roman"/>
          <w:color w:val="FF0000"/>
          <w:lang w:val="en-US"/>
        </w:rPr>
        <w:t>online research (social media, partners googling..examples of insights e.g. JarTech or the student contest that Sensohive won).</w:t>
      </w:r>
      <w:r>
        <w:rPr>
          <w:rFonts w:eastAsia="Calibri" w:cs="Times New Roman"/>
          <w:lang w:val="en-US"/>
        </w:rPr>
        <w:t xml:space="preserve">about the background of the interviewee had occurred in all the interview situations.  Taking notes before, during and after the interview to see the relevance of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pPr>
        <w:pStyle w:val="Normal"/>
        <w:spacing w:lineRule="auto" w:line="360"/>
        <w:rPr>
          <w:rFonts w:ascii="Times New Roman" w:hAnsi="Times New Roman" w:eastAsia="Calibri" w:cs="Times New Roman"/>
          <w:lang w:val="en-US"/>
        </w:rPr>
      </w:pPr>
      <w:r>
        <w:rPr>
          <w:rFonts w:eastAsia="Calibri" w:cs="Times New Roman"/>
          <w:lang w:val="en-US"/>
        </w:rPr>
        <w:t>Every interview transcription has been done after each interview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pPr>
        <w:pStyle w:val="Heading1"/>
        <w:rPr>
          <w:rFonts w:eastAsia="Calibri"/>
          <w:lang w:val="en-US"/>
        </w:rPr>
      </w:pPr>
      <w:bookmarkStart w:id="438" w:name="_Toc457211245"/>
      <w:bookmarkStart w:id="439" w:name="_Toc459977505"/>
      <w:bookmarkStart w:id="440" w:name="__RefHeading___Toc5796_427358540"/>
      <w:bookmarkEnd w:id="438"/>
      <w:bookmarkEnd w:id="439"/>
      <w:bookmarkEnd w:id="440"/>
      <w:r>
        <w:rPr>
          <w:rFonts w:eastAsia="Calibri"/>
          <w:lang w:val="en-US"/>
        </w:rPr>
        <w:t>3.4.1 Coding the data</w:t>
      </w:r>
    </w:p>
    <w:p>
      <w:pPr>
        <w:pStyle w:val="Normal"/>
        <w:spacing w:lineRule="auto" w:line="360"/>
        <w:rPr/>
      </w:pPr>
      <w:r>
        <w:rPr>
          <w:rFonts w:eastAsia="Calibri"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fldChar w:fldCharType="begin"/>
      </w:r>
      <w:r>
        <w:instrText>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41" w:name="__Fieldmark__2900_783673585"/>
      <w:r>
        <w:rPr>
          <w:rFonts w:eastAsia="Calibri" w:cs="Times New Roman"/>
          <w:lang w:val="en-US"/>
        </w:rPr>
        <w:t>(</w:t>
      </w:r>
      <w:bookmarkStart w:id="442" w:name="__Fieldmark__3324_427358540"/>
      <w:r>
        <w:rPr>
          <w:rFonts w:eastAsia="Calibri" w:cs="Times New Roman"/>
          <w:lang w:val="en-US"/>
        </w:rPr>
        <w:t>Rasmussen et al., 2006)</w:t>
      </w:r>
      <w:r>
        <w:rPr>
          <w:rFonts w:eastAsia="Calibri" w:cs="Times New Roman"/>
          <w:lang w:val="en-US"/>
        </w:rPr>
      </w:r>
      <w:r>
        <w:fldChar w:fldCharType="end"/>
      </w:r>
      <w:bookmarkEnd w:id="441"/>
      <w:bookmarkEnd w:id="442"/>
      <w:r>
        <w:rPr>
          <w:rFonts w:eastAsia="Calibri" w:cs="Times New Roman"/>
          <w:lang w:val="en-US"/>
        </w:rPr>
        <w:t>.   I was able to connect the interviews with the already known theory but the data analysis helped me to achieve even greater knowledge in the data that probably do not form part of the theoretical assumptions mentioned in the interview guide. Moreover, new perspectives appeared on the subject that made me able to continue developing the ‘business model’ of my research.</w:t>
      </w:r>
    </w:p>
    <w:p>
      <w:pPr>
        <w:pStyle w:val="Normal"/>
        <w:spacing w:lineRule="auto" w:line="360"/>
        <w:rPr/>
      </w:pPr>
      <w:r>
        <w:rPr>
          <w:rFonts w:eastAsia="Calibri" w:cs="Times New Roman"/>
          <w:lang w:val="en-US"/>
        </w:rPr>
        <w:t xml:space="preserve">Coding takes place by noting down spots in the interview where something relevant is said about the issue </w:t>
      </w:r>
      <w:r>
        <w:fldChar w:fldCharType="begin"/>
      </w:r>
      <w:r>
        <w:instrText>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43" w:name="__Fieldmark__2909_783673585"/>
      <w:r>
        <w:rPr>
          <w:rFonts w:eastAsia="Calibri" w:cs="Times New Roman"/>
          <w:lang w:val="en-US"/>
        </w:rPr>
        <w:t>(</w:t>
      </w:r>
      <w:bookmarkStart w:id="444" w:name="__Fieldmark__3334_427358540"/>
      <w:r>
        <w:rPr>
          <w:rFonts w:eastAsia="Calibri" w:cs="Times New Roman"/>
          <w:lang w:val="en-US"/>
        </w:rPr>
        <w:t>Rasmussen et al., 2006)</w:t>
      </w:r>
      <w:r>
        <w:rPr>
          <w:rFonts w:eastAsia="Calibri" w:cs="Times New Roman"/>
          <w:lang w:val="en-US"/>
        </w:rPr>
      </w:r>
      <w:r>
        <w:fldChar w:fldCharType="end"/>
      </w:r>
      <w:bookmarkEnd w:id="443"/>
      <w:bookmarkEnd w:id="444"/>
      <w:r>
        <w:rPr>
          <w:rFonts w:eastAsia="Calibri"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pPr>
        <w:pStyle w:val="Normal"/>
        <w:spacing w:lineRule="auto" w:line="360"/>
        <w:rPr/>
      </w:pPr>
      <w:r>
        <w:rPr>
          <w:rFonts w:eastAsia="Calibri" w:cs="Times New Roman"/>
          <w:lang w:val="en-US"/>
        </w:rPr>
        <w:t xml:space="preserve">In the coding of data process direct presentation, condensation and interpretation will be used. Interpretation in the deductive method acquires a new significance as the interpreter relates what is said as in a theoretical context </w:t>
      </w:r>
      <w:r>
        <w:fldChar w:fldCharType="begin"/>
      </w:r>
      <w:r>
        <w:instrText>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45" w:name="__Fieldmark__2918_783673585"/>
      <w:r>
        <w:rPr>
          <w:rFonts w:eastAsia="Calibri" w:cs="Times New Roman"/>
          <w:lang w:val="en-US"/>
        </w:rPr>
        <w:t>(</w:t>
      </w:r>
      <w:bookmarkStart w:id="446" w:name="__Fieldmark__3341_427358540"/>
      <w:r>
        <w:rPr>
          <w:rFonts w:eastAsia="Calibri" w:cs="Times New Roman"/>
          <w:lang w:val="en-US"/>
        </w:rPr>
        <w:t>Rasmussen et al., 2006)</w:t>
      </w:r>
      <w:r>
        <w:rPr>
          <w:rFonts w:eastAsia="Calibri" w:cs="Times New Roman"/>
          <w:lang w:val="en-US"/>
        </w:rPr>
      </w:r>
      <w:r>
        <w:fldChar w:fldCharType="end"/>
      </w:r>
      <w:bookmarkEnd w:id="445"/>
      <w:bookmarkEnd w:id="446"/>
      <w:r>
        <w:rPr>
          <w:rFonts w:eastAsia="Calibri" w:cs="Times New Roman"/>
          <w:lang w:val="en-US"/>
        </w:rPr>
        <w:t>. An interpretation can translate a statement into an applied theory and thus the words in their literal meaning are expressed as a theoretical category with its frame of references.</w:t>
      </w:r>
    </w:p>
    <w:p>
      <w:pPr>
        <w:pStyle w:val="Normal"/>
        <w:spacing w:lineRule="auto" w:line="360"/>
        <w:rPr/>
      </w:pPr>
      <w:r>
        <w:rPr>
          <w:rFonts w:eastAsia="Calibri"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fldChar w:fldCharType="begin"/>
      </w:r>
      <w:r>
        <w:instrText>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47" w:name="__Fieldmark__2927_783673585"/>
      <w:r>
        <w:rPr>
          <w:rFonts w:eastAsia="Calibri" w:cs="Times New Roman"/>
          <w:lang w:val="en-US"/>
        </w:rPr>
        <w:t>(</w:t>
      </w:r>
      <w:bookmarkStart w:id="448" w:name="__Fieldmark__3348_427358540"/>
      <w:r>
        <w:rPr>
          <w:rFonts w:eastAsia="Calibri" w:cs="Times New Roman"/>
          <w:lang w:val="en-US"/>
        </w:rPr>
        <w:t>Rasmussen et al., 2006)</w:t>
      </w:r>
      <w:r>
        <w:rPr>
          <w:rFonts w:eastAsia="Calibri" w:cs="Times New Roman"/>
          <w:lang w:val="en-US"/>
        </w:rPr>
      </w:r>
      <w:r>
        <w:fldChar w:fldCharType="end"/>
      </w:r>
      <w:bookmarkEnd w:id="447"/>
      <w:bookmarkEnd w:id="448"/>
      <w:r>
        <w:rPr>
          <w:rFonts w:eastAsia="Calibri" w:cs="Times New Roman"/>
          <w:lang w:val="en-US"/>
        </w:rPr>
        <w:t>.</w:t>
      </w:r>
    </w:p>
    <w:p>
      <w:pPr>
        <w:pStyle w:val="Heading1"/>
        <w:rPr>
          <w:rFonts w:eastAsia="Calibri"/>
          <w:lang w:val="en-US"/>
        </w:rPr>
      </w:pPr>
      <w:bookmarkStart w:id="449" w:name="_Toc457211246"/>
      <w:bookmarkStart w:id="450" w:name="_Toc459977506"/>
      <w:bookmarkStart w:id="451" w:name="__RefHeading___Toc5798_427358540"/>
      <w:bookmarkEnd w:id="451"/>
      <w:r>
        <w:rPr>
          <w:rFonts w:eastAsia="Calibri"/>
          <w:lang w:val="en-US"/>
        </w:rPr>
        <w:t>3.4.2 Secondary Data</w:t>
      </w:r>
      <w:bookmarkEnd w:id="449"/>
      <w:bookmarkEnd w:id="450"/>
      <w:r>
        <w:rPr>
          <w:rFonts w:eastAsia="Calibri"/>
          <w:lang w:val="en-US"/>
        </w:rPr>
        <w:t xml:space="preserve"> </w:t>
      </w:r>
    </w:p>
    <w:p>
      <w:pPr>
        <w:pStyle w:val="Normal"/>
        <w:spacing w:lineRule="auto" w:line="360"/>
        <w:rPr>
          <w:lang w:val="en-US"/>
        </w:rPr>
      </w:pPr>
      <w:commentRangeStart w:id="55"/>
      <w:r>
        <w:rPr>
          <w:lang w:val="en-US"/>
        </w:rPr>
        <w:t>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collected for a different purpose than this thesis, Saunders et al (2007) argue that this data often has a high degree of quality and is valuable when carrying out research in a specific field</w:t>
      </w:r>
      <w:commentRangeEnd w:id="55"/>
      <w:r>
        <w:commentReference w:id="55"/>
      </w:r>
      <w:r>
        <w:rPr>
          <w:lang w:val="en-US"/>
        </w:rPr>
      </w:r>
    </w:p>
    <w:p>
      <w:pPr>
        <w:pStyle w:val="Heading1"/>
        <w:rPr>
          <w:rFonts w:eastAsia="Calibri"/>
          <w:lang w:val="en-US"/>
        </w:rPr>
      </w:pPr>
      <w:bookmarkStart w:id="452" w:name="_Toc457211247"/>
      <w:bookmarkStart w:id="453" w:name="__RefHeading___Toc5800_427358540"/>
      <w:bookmarkStart w:id="454" w:name="_Toc459977507"/>
      <w:bookmarkEnd w:id="452"/>
      <w:bookmarkEnd w:id="453"/>
      <w:bookmarkEnd w:id="454"/>
      <w:r>
        <w:rPr>
          <w:rFonts w:eastAsia="Calibri"/>
          <w:lang w:val="en-US"/>
        </w:rPr>
        <w:t>3.6 Trustworthiness of results</w:t>
      </w:r>
    </w:p>
    <w:p>
      <w:pPr>
        <w:pStyle w:val="Normal"/>
        <w:spacing w:lineRule="auto" w:line="360"/>
        <w:rPr/>
      </w:pPr>
      <w:r>
        <w:rPr>
          <w:rFonts w:eastAsia="Calibri" w:cs="Times New Roman"/>
          <w:lang w:val="en-US"/>
        </w:rPr>
        <w:t xml:space="preserve">In using qualitative methods there are not the same strict rules for data analysis as there are when using quantitative methods as the researcher must, of necessity being involved in the process </w:t>
      </w:r>
      <w:r>
        <w:fldChar w:fldCharType="begin"/>
      </w:r>
      <w:r>
        <w:instrText>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55" w:name="__Fieldmark__2959_783673585"/>
      <w:r>
        <w:rPr>
          <w:rFonts w:eastAsia="Calibri" w:cs="Times New Roman"/>
          <w:lang w:val="en-US"/>
        </w:rPr>
        <w:t>(</w:t>
      </w:r>
      <w:bookmarkStart w:id="456" w:name="__Fieldmark__3371_427358540"/>
      <w:r>
        <w:rPr>
          <w:rFonts w:eastAsia="Calibri" w:cs="Times New Roman"/>
          <w:lang w:val="en-US"/>
        </w:rPr>
        <w:t>Rasmussen et al., 2006)</w:t>
      </w:r>
      <w:r>
        <w:rPr>
          <w:rFonts w:eastAsia="Calibri" w:cs="Times New Roman"/>
          <w:lang w:val="en-US"/>
        </w:rPr>
      </w:r>
      <w:r>
        <w:fldChar w:fldCharType="end"/>
      </w:r>
      <w:bookmarkEnd w:id="455"/>
      <w:bookmarkEnd w:id="456"/>
      <w:r>
        <w:rPr>
          <w:rFonts w:eastAsia="Calibri" w:cs="Times New Roman"/>
          <w:lang w:val="en-US"/>
        </w:rPr>
        <w:t>. The assessment of credibility is thus, of major importance and a range of technical features have to be taken into account to identify the needed results.</w:t>
      </w:r>
    </w:p>
    <w:p>
      <w:pPr>
        <w:pStyle w:val="Normal"/>
        <w:spacing w:lineRule="auto" w:line="360"/>
        <w:rPr/>
      </w:pPr>
      <w:r>
        <w:rPr>
          <w:rFonts w:eastAsia="Calibri" w:cs="Times New Roman"/>
          <w:lang w:val="en-US"/>
        </w:rPr>
        <w:t xml:space="preserve">Openness and transparency are central elements in science </w:t>
      </w:r>
      <w:r>
        <w:fldChar w:fldCharType="begin"/>
      </w:r>
      <w:r>
        <w:instrText>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57" w:name="__Fieldmark__2968_783673585"/>
      <w:r>
        <w:rPr>
          <w:rFonts w:eastAsia="Calibri" w:cs="Times New Roman"/>
          <w:lang w:val="en-US"/>
        </w:rPr>
        <w:t>(</w:t>
      </w:r>
      <w:bookmarkStart w:id="458" w:name="__Fieldmark__3380_427358540"/>
      <w:r>
        <w:rPr>
          <w:rFonts w:eastAsia="Calibri" w:cs="Times New Roman"/>
          <w:lang w:val="en-US"/>
        </w:rPr>
        <w:t>Rasmussen et al., 2006)</w:t>
      </w:r>
      <w:r>
        <w:rPr>
          <w:rFonts w:eastAsia="Calibri" w:cs="Times New Roman"/>
          <w:lang w:val="en-US"/>
        </w:rPr>
      </w:r>
      <w:r>
        <w:fldChar w:fldCharType="end"/>
      </w:r>
      <w:bookmarkEnd w:id="457"/>
      <w:bookmarkEnd w:id="458"/>
      <w:r>
        <w:rPr>
          <w:rFonts w:eastAsia="Calibri"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pPr>
        <w:pStyle w:val="Heading1"/>
        <w:rPr>
          <w:rFonts w:eastAsia="Calibri"/>
          <w:lang w:val="en-US"/>
        </w:rPr>
      </w:pPr>
      <w:bookmarkStart w:id="459" w:name="_Toc457211248"/>
      <w:bookmarkStart w:id="460" w:name="_Toc459977508"/>
      <w:bookmarkStart w:id="461" w:name="__RefHeading___Toc5802_427358540"/>
      <w:bookmarkEnd w:id="459"/>
      <w:bookmarkEnd w:id="460"/>
      <w:bookmarkEnd w:id="461"/>
      <w:r>
        <w:rPr>
          <w:rFonts w:eastAsia="Calibri"/>
          <w:lang w:val="en-US"/>
        </w:rPr>
        <w:t>3.7 Verification and Reflection</w:t>
      </w:r>
    </w:p>
    <w:p>
      <w:pPr>
        <w:pStyle w:val="Normal"/>
        <w:spacing w:lineRule="auto" w:line="360"/>
        <w:rPr>
          <w:rFonts w:ascii="Times New Roman" w:hAnsi="Times New Roman" w:eastAsia="Calibri" w:cs="Times New Roman"/>
          <w:lang w:val="en-US"/>
        </w:rPr>
      </w:pPr>
      <w:r>
        <w:rPr>
          <w:rFonts w:eastAsia="Calibri" w:cs="Times New Roman"/>
          <w:lang w:val="en-US"/>
        </w:rPr>
        <w:t>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(interview guide topics) and the analysis of their connection into results.</w:t>
      </w:r>
    </w:p>
    <w:p>
      <w:pPr>
        <w:pStyle w:val="Normal"/>
        <w:spacing w:lineRule="auto" w:line="360"/>
        <w:rPr/>
      </w:pPr>
      <w:r>
        <w:rPr>
          <w:rFonts w:eastAsia="Calibri" w:cs="Times New Roman"/>
          <w:lang w:val="en-US"/>
        </w:rPr>
        <w:t>When the results of the study are presented it is taken for granted that things are as they are shown in the study</w:t>
      </w:r>
      <w:r>
        <w:fldChar w:fldCharType="begin"/>
      </w:r>
      <w:r>
        <w:instrText>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62" w:name="__Fieldmark__2988_783673585"/>
      <w:r>
        <w:rPr>
          <w:rFonts w:eastAsia="Calibri" w:cs="Times New Roman"/>
          <w:lang w:val="en-US"/>
        </w:rPr>
        <w:t>(</w:t>
      </w:r>
      <w:bookmarkStart w:id="463" w:name="__Fieldmark__3395_427358540"/>
      <w:r>
        <w:rPr>
          <w:rFonts w:eastAsia="Calibri" w:cs="Times New Roman"/>
          <w:lang w:val="en-US"/>
        </w:rPr>
        <w:t>Rasmussen et al., 2006)</w:t>
      </w:r>
      <w:r>
        <w:rPr>
          <w:rFonts w:eastAsia="Calibri" w:cs="Times New Roman"/>
          <w:lang w:val="en-US"/>
        </w:rPr>
      </w:r>
      <w:r>
        <w:fldChar w:fldCharType="end"/>
      </w:r>
      <w:bookmarkEnd w:id="462"/>
      <w:bookmarkEnd w:id="463"/>
      <w:r>
        <w:rPr>
          <w:rFonts w:eastAsia="Calibri" w:cs="Times New Roman"/>
          <w:lang w:val="en-US"/>
        </w:rPr>
        <w:t xml:space="preserve"> and the principle of verification becomes a parameter for the credibility of the research. Anyone that conducts a qualitative study can be characterized as not being reflective </w:t>
      </w:r>
      <w:r>
        <w:fldChar w:fldCharType="begin"/>
      </w:r>
      <w:r>
        <w:instrText>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64" w:name="__Fieldmark__2995_783673585"/>
      <w:r>
        <w:rPr>
          <w:rFonts w:eastAsia="Calibri" w:cs="Times New Roman"/>
          <w:lang w:val="en-US"/>
        </w:rPr>
        <w:t>(</w:t>
      </w:r>
      <w:bookmarkStart w:id="465" w:name="__Fieldmark__3400_427358540"/>
      <w:r>
        <w:rPr>
          <w:rFonts w:eastAsia="Calibri" w:cs="Times New Roman"/>
          <w:lang w:val="en-US"/>
        </w:rPr>
        <w:t>Rasmussen et al., 2006)</w:t>
      </w:r>
      <w:r>
        <w:rPr>
          <w:rFonts w:eastAsia="Calibri" w:cs="Times New Roman"/>
          <w:lang w:val="en-US"/>
        </w:rPr>
      </w:r>
      <w:r>
        <w:fldChar w:fldCharType="end"/>
      </w:r>
      <w:bookmarkEnd w:id="464"/>
      <w:bookmarkEnd w:id="465"/>
      <w:r>
        <w:rPr>
          <w:rFonts w:eastAsia="Calibri" w:cs="Times New Roman"/>
          <w:lang w:val="en-US"/>
        </w:rPr>
        <w:t xml:space="preserve"> as representativity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pPr>
        <w:pStyle w:val="Normal"/>
        <w:spacing w:lineRule="auto" w:line="360"/>
        <w:rPr/>
      </w:pPr>
      <w:r>
        <w:rPr>
          <w:rFonts w:eastAsia="Calibri"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fldChar w:fldCharType="begin"/>
      </w:r>
      <w:r>
        <w:instrText>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66" w:name="__Fieldmark__3004_783673585"/>
      <w:r>
        <w:rPr>
          <w:rFonts w:eastAsia="Calibri" w:cs="Times New Roman"/>
          <w:lang w:val="en-US"/>
        </w:rPr>
        <w:t>(</w:t>
      </w:r>
      <w:bookmarkStart w:id="467" w:name="__Fieldmark__3407_427358540"/>
      <w:r>
        <w:rPr>
          <w:rFonts w:eastAsia="Calibri" w:cs="Times New Roman"/>
          <w:lang w:val="en-US"/>
        </w:rPr>
        <w:t>Rasmussen et al., 2006)</w:t>
      </w:r>
      <w:r>
        <w:rPr>
          <w:rFonts w:eastAsia="Calibri" w:cs="Times New Roman"/>
          <w:lang w:val="en-US"/>
        </w:rPr>
      </w:r>
      <w:r>
        <w:fldChar w:fldCharType="end"/>
      </w:r>
      <w:bookmarkEnd w:id="466"/>
      <w:bookmarkEnd w:id="467"/>
      <w:r>
        <w:rPr>
          <w:rFonts w:eastAsia="Calibri" w:cs="Times New Roman"/>
          <w:lang w:val="en-US"/>
        </w:rPr>
        <w:t xml:space="preserve"> and to match the knowledge with the issue to fight against the lack of theoretical basis. </w:t>
      </w:r>
    </w:p>
    <w:p>
      <w:pPr>
        <w:pStyle w:val="Normal"/>
        <w:spacing w:lineRule="auto" w:line="360"/>
        <w:rPr/>
      </w:pPr>
      <w:r>
        <w:rPr>
          <w:rFonts w:eastAsia="Calibri" w:cs="Times New Roman"/>
          <w:lang w:val="en-US"/>
        </w:rPr>
        <w:t xml:space="preserve">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 to give examples of coding and condensation of meaning to clarify the process from data collection via analysis to conclusions </w:t>
      </w:r>
      <w:r>
        <w:fldChar w:fldCharType="begin"/>
      </w:r>
      <w:r>
        <w:instrText>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68" w:name="__Fieldmark__3013_783673585"/>
      <w:r>
        <w:rPr>
          <w:rFonts w:eastAsia="Calibri" w:cs="Times New Roman"/>
          <w:lang w:val="en-US"/>
        </w:rPr>
        <w:t>(</w:t>
      </w:r>
      <w:bookmarkStart w:id="469" w:name="__Fieldmark__3414_427358540"/>
      <w:r>
        <w:rPr>
          <w:rFonts w:eastAsia="Calibri" w:cs="Times New Roman"/>
          <w:lang w:val="en-US"/>
        </w:rPr>
        <w:t>Rasmussen et al., 2006)</w:t>
      </w:r>
      <w:r>
        <w:rPr>
          <w:rFonts w:eastAsia="Calibri" w:cs="Times New Roman"/>
          <w:lang w:val="en-US"/>
        </w:rPr>
      </w:r>
      <w:r>
        <w:fldChar w:fldCharType="end"/>
      </w:r>
      <w:bookmarkEnd w:id="468"/>
      <w:bookmarkEnd w:id="469"/>
      <w:r>
        <w:rPr>
          <w:rFonts w:eastAsia="Calibri" w:cs="Times New Roman"/>
          <w:lang w:val="en-US"/>
        </w:rPr>
        <w:t>. The final report should be able to illustrate the processes, the methods and the frameworks applied.</w:t>
      </w:r>
    </w:p>
    <w:p>
      <w:pPr>
        <w:pStyle w:val="Normal"/>
        <w:spacing w:lineRule="auto" w:line="360"/>
        <w:rPr/>
      </w:pPr>
      <w:r>
        <w:rPr>
          <w:rFonts w:eastAsia="Calibri" w:cs="Times New Roman"/>
          <w:lang w:val="en-US"/>
        </w:rPr>
        <w:t xml:space="preserve">Despite the fact that the use of ‘grounded theory’ is supposed to be the basic method for a qualitative study, the majority of qualitative studies are based on a ‘soft’ form of grounded theory </w:t>
      </w:r>
      <w:r>
        <w:fldChar w:fldCharType="begin"/>
      </w:r>
      <w:r>
        <w:instrText>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70" w:name="__Fieldmark__3022_783673585"/>
      <w:r>
        <w:rPr>
          <w:rFonts w:eastAsia="Calibri" w:cs="Times New Roman"/>
          <w:lang w:val="en-US"/>
        </w:rPr>
        <w:t>(</w:t>
      </w:r>
      <w:bookmarkStart w:id="471" w:name="__Fieldmark__3421_427358540"/>
      <w:r>
        <w:rPr>
          <w:rFonts w:eastAsia="Calibri" w:cs="Times New Roman"/>
          <w:lang w:val="en-US"/>
        </w:rPr>
        <w:t>Rasmussen et al., 2006)</w:t>
      </w:r>
      <w:r>
        <w:rPr>
          <w:rFonts w:eastAsia="Calibri" w:cs="Times New Roman"/>
          <w:lang w:val="en-US"/>
        </w:rPr>
      </w:r>
      <w:r>
        <w:fldChar w:fldCharType="end"/>
      </w:r>
      <w:bookmarkEnd w:id="470"/>
      <w:bookmarkEnd w:id="471"/>
      <w:r>
        <w:rPr>
          <w:rFonts w:eastAsia="Calibri" w:cs="Times New Roman"/>
          <w:lang w:val="en-US"/>
        </w:rPr>
        <w:t>. The principle behind grounded theory is that the researcher start working on the subject without any assumptions and develops his theory about the phenomenon. In fact is more cost effective for the study’s business plan to have a theoretical background already explored. For that reason I tried to separate the theoretical basis that I had from the methodological process of the study as to be as free of assumptions as possible</w:t>
      </w:r>
      <w:r>
        <w:fldChar w:fldCharType="begin"/>
      </w:r>
      <w:r>
        <w:instrText>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w:instrText>
      </w:r>
      <w:r>
        <w:fldChar w:fldCharType="separate"/>
      </w:r>
      <w:bookmarkStart w:id="472" w:name="__Fieldmark__3029_783673585"/>
      <w:r>
        <w:rPr>
          <w:rFonts w:eastAsia="Calibri" w:cs="Times New Roman"/>
          <w:lang w:val="en-US"/>
        </w:rPr>
        <w:t>(</w:t>
      </w:r>
      <w:bookmarkStart w:id="473" w:name="__Fieldmark__3430_427358540"/>
      <w:r>
        <w:rPr>
          <w:rFonts w:eastAsia="Calibri" w:cs="Times New Roman"/>
          <w:lang w:val="en-US"/>
        </w:rPr>
        <w:t>Rasmussen et al., 2006)</w:t>
      </w:r>
      <w:r>
        <w:rPr>
          <w:rFonts w:eastAsia="Calibri" w:cs="Times New Roman"/>
          <w:lang w:val="en-US"/>
        </w:rPr>
      </w:r>
      <w:r>
        <w:fldChar w:fldCharType="end"/>
      </w:r>
      <w:bookmarkEnd w:id="472"/>
      <w:bookmarkEnd w:id="473"/>
      <w:r>
        <w:rPr>
          <w:rFonts w:eastAsia="Calibri" w:cs="Times New Roman"/>
          <w:lang w:val="en-US"/>
        </w:rPr>
        <w:t xml:space="preserve">. </w:t>
      </w:r>
    </w:p>
    <w:p>
      <w:pPr>
        <w:pStyle w:val="Heading1"/>
        <w:rPr>
          <w:rFonts w:eastAsia="Calibri"/>
          <w:lang w:val="en-US"/>
        </w:rPr>
      </w:pPr>
      <w:bookmarkStart w:id="474" w:name="__RefHeading___Toc5804_427358540"/>
      <w:bookmarkStart w:id="475" w:name="_Toc459977509"/>
      <w:bookmarkEnd w:id="474"/>
      <w:bookmarkEnd w:id="475"/>
      <w:r>
        <w:rPr>
          <w:rFonts w:eastAsia="Calibri"/>
          <w:lang w:val="en-US"/>
        </w:rPr>
        <w:t>Chapter 4: Analysis</w:t>
      </w:r>
    </w:p>
    <w:p>
      <w:pPr>
        <w:pStyle w:val="Normal"/>
        <w:rPr>
          <w:lang w:val="en-US"/>
        </w:rPr>
      </w:pPr>
      <w:r>
        <w:rPr>
          <w:lang w:val="en-US"/>
        </w:rPr>
      </w:r>
    </w:p>
    <w:p>
      <w:pPr>
        <w:pStyle w:val="Heading1"/>
        <w:rPr>
          <w:rFonts w:eastAsia="Times New Roman"/>
          <w:lang w:val="en-US"/>
        </w:rPr>
      </w:pPr>
      <w:bookmarkStart w:id="476" w:name="_Toc459977510"/>
      <w:bookmarkStart w:id="477" w:name="__RefHeading___Toc5806_427358540"/>
      <w:bookmarkEnd w:id="476"/>
      <w:bookmarkEnd w:id="477"/>
      <w:r>
        <w:rPr>
          <w:rFonts w:eastAsia="Times New Roman"/>
          <w:lang w:val="en-US"/>
        </w:rPr>
        <w:t>4.1 Diamond analysis of the Odense Robotics Cluster</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empirical portion of the master thesis includes an analysis of the robotic cluster in Odense be conducted by utilizing the Porter’s (1990) national diamond model of competitive advantage. I will analyze the quality of the business environment in which robotic and automation companies compete based on the four attributes that promote the creation of competitive advantage as stated in chapter 2. </w:t>
      </w:r>
    </w:p>
    <w:p>
      <w:pPr>
        <w:pStyle w:val="Normal"/>
        <w:spacing w:lineRule="auto" w:line="360"/>
        <w:rPr>
          <w:rFonts w:ascii="Times New Roman" w:hAnsi="Times New Roman" w:eastAsia="Calibri" w:cs="Times New Roman"/>
          <w:lang w:val="en-US"/>
        </w:rPr>
      </w:pPr>
      <w:r>
        <w:rPr>
          <w:rFonts w:eastAsia="Calibri"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56"/>
      <w:r>
        <w:rPr>
          <w:rFonts w:eastAsia="Calibri" w:cs="Times New Roman"/>
          <w:lang w:val="en-US"/>
        </w:rPr>
        <w:t>what business environment factors they considered as the most important success factors for the growing robotic industry</w:t>
      </w:r>
      <w:r>
        <w:rPr>
          <w:rFonts w:eastAsia="Calibri" w:cs="Times New Roman"/>
          <w:lang w:val="en-US"/>
        </w:rPr>
      </w:r>
      <w:commentRangeEnd w:id="56"/>
      <w:r>
        <w:commentReference w:id="56"/>
      </w:r>
      <w:r>
        <w:rPr>
          <w:rFonts w:eastAsia="Calibri"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pPr>
        <w:pStyle w:val="Heading1"/>
        <w:rPr>
          <w:rFonts w:eastAsia="Calibri"/>
          <w:lang w:val="en-US"/>
        </w:rPr>
      </w:pPr>
      <w:bookmarkStart w:id="478" w:name="_Toc459977511"/>
      <w:bookmarkStart w:id="479" w:name="__RefHeading___Toc5808_427358540"/>
      <w:bookmarkEnd w:id="479"/>
      <w:r>
        <w:rPr>
          <w:rFonts w:eastAsia="Calibri"/>
          <w:lang w:val="en-US"/>
        </w:rPr>
        <w:t>4.1.1 Factor Conditions</w:t>
      </w:r>
      <w:bookmarkEnd w:id="478"/>
      <w:r>
        <w:rPr>
          <w:rFonts w:eastAsia="Calibri"/>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pPr>
        <w:pStyle w:val="Normal"/>
        <w:spacing w:lineRule="auto" w:line="360"/>
        <w:rPr/>
      </w:pPr>
      <w:r>
        <w:rPr>
          <w:rFonts w:eastAsia="Calibri" w:cs="Times New Roman"/>
          <w:b/>
          <w:lang w:val="en-US"/>
        </w:rPr>
        <w:t>Knowledge resources</w:t>
      </w:r>
      <w:r>
        <w:rPr>
          <w:rFonts w:eastAsia="Calibri" w:cs="Times New Roman"/>
          <w:lang w:val="en-US"/>
        </w:rPr>
        <w:t xml:space="preserve"> can be found in universities, public and private research facilities, government agencies and other sources of knowledge </w:t>
      </w:r>
      <w:r>
        <w:fldChar w:fldCharType="begin"/>
      </w:r>
      <w:r>
        <w:instrText>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480" w:name="__Fieldmark__3068_783673585"/>
      <w:r>
        <w:rPr>
          <w:rFonts w:eastAsia="Calibri" w:cs="Times New Roman"/>
          <w:lang w:val="en-US"/>
        </w:rPr>
        <w:t>(</w:t>
      </w:r>
      <w:bookmarkStart w:id="481" w:name="__Fieldmark__3462_427358540"/>
      <w:r>
        <w:rPr>
          <w:rFonts w:eastAsia="Calibri" w:cs="Times New Roman"/>
          <w:lang w:val="en-US"/>
        </w:rPr>
        <w:t>Michael E. Porter, 1990)</w:t>
      </w:r>
      <w:r>
        <w:rPr>
          <w:rFonts w:eastAsia="Calibri" w:cs="Times New Roman"/>
          <w:lang w:val="en-US"/>
        </w:rPr>
      </w:r>
      <w:r>
        <w:fldChar w:fldCharType="end"/>
      </w:r>
      <w:bookmarkEnd w:id="480"/>
      <w:bookmarkEnd w:id="481"/>
      <w:r>
        <w:rPr>
          <w:rFonts w:eastAsia="Calibri" w:cs="Times New Roman"/>
          <w:lang w:val="en-US"/>
        </w:rPr>
        <w:t xml:space="preserve">. In 2011, at a national level,  public spending on education relative to GDP was observed in Denmark as 8.8 % of GDP the highest among European countries </w:t>
      </w:r>
      <w:r>
        <w:fldChar w:fldCharType="begin"/>
      </w:r>
      <w:r>
        <w:instrText>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w:instrText>
      </w:r>
      <w:r>
        <w:fldChar w:fldCharType="separate"/>
      </w:r>
      <w:bookmarkStart w:id="482" w:name="__Fieldmark__3075_783673585"/>
      <w:r>
        <w:rPr>
          <w:rFonts w:eastAsia="Calibri" w:cs="Times New Roman"/>
          <w:lang w:val="en-US"/>
        </w:rPr>
        <w:t>(</w:t>
      </w:r>
      <w:bookmarkStart w:id="483" w:name="__Fieldmark__3469_427358540"/>
      <w:r>
        <w:rPr>
          <w:rFonts w:eastAsia="Calibri" w:cs="Times New Roman"/>
          <w:lang w:val="en-US"/>
        </w:rPr>
        <w:t>Eurostat, 2012)</w:t>
      </w:r>
      <w:r>
        <w:rPr>
          <w:rFonts w:eastAsia="Calibri" w:cs="Times New Roman"/>
          <w:lang w:val="en-US"/>
        </w:rPr>
      </w:r>
      <w:r>
        <w:fldChar w:fldCharType="end"/>
      </w:r>
      <w:bookmarkEnd w:id="482"/>
      <w:bookmarkEnd w:id="483"/>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The University Of Southern Denmark (SDU), has around of 15 relevant academic and engineering programs in robot and software technology and is supplemented by the Lillabaelt Academy (EAL) which has 10 relevant bachelor programs in automation manufacturing and IT ( both entities are located in Odense. These programs supply the robotics cluster with a flow of skilled pool of human capital.</w:t>
      </w:r>
      <w:r>
        <w:rPr>
          <w:lang w:val="en-US"/>
        </w:rPr>
        <w:t xml:space="preserve"> </w:t>
      </w:r>
      <w:r>
        <w:rPr>
          <w:rFonts w:eastAsia="Calibri" w:cs="Times New Roman"/>
          <w:lang w:val="en-US"/>
        </w:rPr>
        <w:t xml:space="preserve">The establishment of the Maersk Mc-Kinney Moller Institute (MMMI) in 1997 is another example of knowledge resource that can be found locally in the region of Odense and can strengthen the robotic ecosystem. </w:t>
      </w:r>
    </w:p>
    <w:p>
      <w:pPr>
        <w:pStyle w:val="Normal"/>
        <w:spacing w:lineRule="auto" w:line="360"/>
        <w:rPr>
          <w:rFonts w:ascii="Times New Roman" w:hAnsi="Times New Roman" w:eastAsia="Calibri" w:cs="Times New Roman"/>
          <w:lang w:val="en-US"/>
        </w:rPr>
      </w:pPr>
      <w:r>
        <w:rPr>
          <w:rFonts w:eastAsia="Calibri" w:cs="Times New Roman"/>
          <w:lang w:val="en-US"/>
        </w:rPr>
        <w:t>A.P. Møller foundation donated 80 million kroner to SDU, the biggest donation that ever received by a Danish university (Steno, 2016)at that time.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  it offers four undergraduate- bachelor, three graduate- 3 master and five postgraduates-PhD programs for educations (“The Maersk Mc-Kinney Moller Institute - Syddansk Universitet,” n.d.).</w:t>
      </w:r>
    </w:p>
    <w:p>
      <w:pPr>
        <w:pStyle w:val="Normal"/>
        <w:spacing w:lineRule="auto" w:line="360"/>
        <w:rPr/>
      </w:pPr>
      <w:r>
        <w:rPr>
          <w:rFonts w:eastAsia="Calibri"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fldChar w:fldCharType="begin"/>
      </w:r>
      <w:r>
        <w:instrText>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w:instrText>
      </w:r>
      <w:r>
        <w:fldChar w:fldCharType="separate"/>
      </w:r>
      <w:bookmarkStart w:id="484" w:name="__Fieldmark__3088_783673585"/>
      <w:r>
        <w:rPr>
          <w:rFonts w:eastAsia="Calibri" w:cs="Times New Roman"/>
          <w:lang w:val="en-US"/>
        </w:rPr>
        <w:t>(</w:t>
      </w:r>
      <w:bookmarkStart w:id="485" w:name="__Fieldmark__3485_427358540"/>
      <w:r>
        <w:rPr>
          <w:rFonts w:eastAsia="Calibri" w:cs="Times New Roman"/>
          <w:lang w:val="en-US"/>
        </w:rPr>
        <w:t>DTI Annual Report, 2015)</w:t>
      </w:r>
      <w:r>
        <w:rPr>
          <w:rFonts w:eastAsia="Calibri" w:cs="Times New Roman"/>
          <w:lang w:val="en-US"/>
        </w:rPr>
      </w:r>
      <w:r>
        <w:fldChar w:fldCharType="end"/>
      </w:r>
      <w:bookmarkEnd w:id="484"/>
      <w:bookmarkEnd w:id="485"/>
      <w:r>
        <w:rPr>
          <w:rFonts w:eastAsia="Calibri"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57"/>
      <w:r>
        <w:rPr>
          <w:rFonts w:eastAsia="Calibri" w:cs="Times New Roman"/>
          <w:lang w:val="en-US"/>
        </w:rPr>
        <w:t>Their most important task is to ensure that new knowledge and technology can be quickly converted into value for end costumes</w:t>
      </w:r>
      <w:r>
        <w:rPr>
          <w:rFonts w:eastAsia="Calibri" w:cs="Times New Roman"/>
          <w:lang w:val="en-US"/>
        </w:rPr>
      </w:r>
      <w:commentRangeEnd w:id="57"/>
      <w:r>
        <w:commentReference w:id="57"/>
      </w:r>
      <w:r>
        <w:rPr>
          <w:rFonts w:eastAsia="Calibri" w:cs="Times New Roman"/>
          <w:lang w:val="en-US"/>
        </w:rPr>
        <w:t>. The development of the Funen robot cluster forced DTI, in 2006, to set up the Centre for Robot Technology (DTI-RT) in Odense. By now has a staff of more than 85 robotic experts and more than 125 robotic projects in its portfolio</w:t>
      </w:r>
      <w:r>
        <w:fldChar w:fldCharType="begin"/>
      </w:r>
      <w:r>
        <w:instrText>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w:instrText>
      </w:r>
      <w:r>
        <w:fldChar w:fldCharType="separate"/>
      </w:r>
      <w:bookmarkStart w:id="486" w:name="__Fieldmark__3100_783673585"/>
      <w:r>
        <w:rPr>
          <w:rFonts w:eastAsia="Calibri" w:cs="Times New Roman"/>
          <w:lang w:val="en-US"/>
        </w:rPr>
      </w:r>
      <w:r>
        <w:rPr>
          <w:rFonts w:eastAsia="Calibri" w:cs="Times New Roman"/>
          <w:szCs w:val="24"/>
          <w:lang w:val="en-US"/>
        </w:rPr>
        <w:t>(“Robot Technology - About DTI,” n.d.)</w:t>
      </w:r>
      <w:bookmarkStart w:id="487" w:name="__Fieldmark__3497_427358540"/>
      <w:bookmarkEnd w:id="487"/>
      <w:r>
        <w:rPr>
          <w:rFonts w:eastAsia="Calibri" w:cs="Times New Roman"/>
          <w:lang w:val="en-US"/>
        </w:rPr>
      </w:r>
      <w:r>
        <w:fldChar w:fldCharType="end"/>
      </w:r>
      <w:bookmarkEnd w:id="486"/>
      <w:r>
        <w:rPr>
          <w:rFonts w:eastAsia="Calibri" w:cs="Times New Roman"/>
          <w:lang w:val="en-US"/>
        </w:rPr>
        <w:t>. Many of the responders mentioned both DTI and DTI-RT knowledge providers for the robotic environment in Odense.</w:t>
      </w:r>
    </w:p>
    <w:p>
      <w:pPr>
        <w:pStyle w:val="Normal"/>
        <w:spacing w:lineRule="auto" w:line="360"/>
        <w:rPr>
          <w:rFonts w:ascii="Times New Roman" w:hAnsi="Times New Roman" w:eastAsia="Calibri" w:cs="Times New Roman"/>
          <w:lang w:val="en-US"/>
        </w:rPr>
      </w:pPr>
      <w:r>
        <w:rPr>
          <w:rFonts w:eastAsia="Calibri" w:cs="Times New Roman"/>
          <w:lang w:val="en-US"/>
        </w:rPr>
      </w:r>
    </w:p>
    <w:p>
      <w:pPr>
        <w:pStyle w:val="Normal"/>
        <w:spacing w:lineRule="auto" w:line="360"/>
        <w:rPr>
          <w:rFonts w:ascii="Times New Roman" w:hAnsi="Times New Roman" w:eastAsia="Calibri" w:cs="Times New Roman"/>
          <w:lang w:val="en-US"/>
        </w:rPr>
      </w:pPr>
      <w:commentRangeStart w:id="58"/>
      <w:r>
        <w:rPr>
          <w:rFonts w:eastAsia="Calibri" w:cs="Times New Roman"/>
          <w:lang w:val="en-US"/>
        </w:rPr>
        <w:t>Interview:</w:t>
      </w:r>
      <w:commentRangeEnd w:id="58"/>
      <w:r>
        <w:commentReference w:id="58"/>
      </w:r>
      <w:r>
        <w:rPr>
          <w:rFonts w:eastAsia="Calibri" w:cs="Times New Roman"/>
          <w:lang w:val="en-US"/>
        </w:rPr>
      </w:r>
    </w:p>
    <w:p>
      <w:pPr>
        <w:pStyle w:val="Normal"/>
        <w:spacing w:lineRule="auto" w:line="360"/>
        <w:rPr/>
      </w:pPr>
      <w:r>
        <w:rPr>
          <w:rFonts w:eastAsia="Calibri" w:cs="Times New Roman"/>
          <w:b/>
          <w:lang w:val="en-US"/>
        </w:rPr>
        <w:t>Human resources</w:t>
      </w:r>
      <w:r>
        <w:rPr>
          <w:rFonts w:eastAsia="Calibri" w:cs="Times New Roman"/>
          <w:lang w:val="en-US"/>
        </w:rPr>
        <w:t xml:space="preserve"> refer to the quantity, skills and cost of personnel (Michael E. Porter, 1990). Denmark has a highly performing labor market with a high employment rate and low unemployment</w:t>
      </w:r>
      <w:r>
        <w:fldChar w:fldCharType="begin"/>
      </w:r>
      <w:r>
        <w:instrText>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w:instrText>
      </w:r>
      <w:r>
        <w:fldChar w:fldCharType="separate"/>
      </w:r>
      <w:bookmarkStart w:id="488" w:name="__Fieldmark__3115_783673585"/>
      <w:r>
        <w:rPr>
          <w:rFonts w:eastAsia="Calibri" w:cs="Times New Roman"/>
          <w:lang w:val="en-US"/>
        </w:rPr>
        <w:t>(</w:t>
      </w:r>
      <w:bookmarkStart w:id="489" w:name="__Fieldmark__3509_427358540"/>
      <w:r>
        <w:rPr>
          <w:rFonts w:eastAsia="Calibri" w:cs="Times New Roman"/>
          <w:lang w:val="en-US"/>
        </w:rPr>
        <w:t>European Commission, 2016)</w:t>
      </w:r>
      <w:r>
        <w:rPr>
          <w:rFonts w:eastAsia="Calibri" w:cs="Times New Roman"/>
          <w:lang w:val="en-US"/>
        </w:rPr>
      </w:r>
      <w:r>
        <w:fldChar w:fldCharType="end"/>
      </w:r>
      <w:bookmarkEnd w:id="488"/>
      <w:bookmarkEnd w:id="489"/>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commentRangeStart w:id="59"/>
      <w:r>
        <w:rPr>
          <w:rFonts w:eastAsia="Calibri" w:cs="Times New Roman"/>
          <w:lang w:val="en-US"/>
        </w:rPr>
        <w:t>Robotics and automation industry is a highly intensive, knowledge-based, industry and growth depends on successful research and innovation.</w:t>
      </w:r>
      <w:r>
        <w:rPr>
          <w:rFonts w:eastAsia="Calibri" w:cs="Times New Roman"/>
          <w:lang w:val="en-US"/>
        </w:rPr>
      </w:r>
      <w:commentRangeEnd w:id="59"/>
      <w:r>
        <w:commentReference w:id="59"/>
      </w:r>
      <w:r>
        <w:rPr>
          <w:rFonts w:eastAsia="Calibri"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pPr>
        <w:pStyle w:val="Normal"/>
        <w:spacing w:lineRule="auto" w:line="360"/>
        <w:rPr>
          <w:rFonts w:ascii="Times New Roman" w:hAnsi="Times New Roman" w:eastAsia="Calibri" w:cs="Times New Roman"/>
          <w:i/>
          <w:i/>
          <w:lang w:val="en-US"/>
        </w:rPr>
      </w:pPr>
      <w:r>
        <w:rPr>
          <w:rFonts w:eastAsia="Calibri" w:cs="Times New Roman"/>
          <w:i/>
          <w:lang w:val="en-US"/>
        </w:rPr>
        <w:t>Lars-Peter: A lot of, also students, first of all, they end up in the companies around. But there are also former colleagues which end up at around and then there are the university's spin-offs.</w:t>
      </w:r>
    </w:p>
    <w:p>
      <w:pPr>
        <w:pStyle w:val="Normal"/>
        <w:spacing w:lineRule="auto" w:line="360"/>
        <w:rPr>
          <w:rFonts w:ascii="Times New Roman" w:hAnsi="Times New Roman" w:eastAsia="Calibri" w:cs="Times New Roman"/>
          <w:lang w:val="en-US"/>
        </w:rPr>
      </w:pPr>
      <w:r>
        <w:rPr>
          <w:rFonts w:eastAsia="Calibri" w:cs="Times New Roman"/>
          <w:lang w:val="en-US"/>
        </w:rPr>
        <w:t>Specialists are people with experience in the cluster that their knowledge helps the cluster environment to grow. Many interviewees mentioned specialists as an advantage for the cluster environment as they spread their knowledge and at many times they create new companies. Those resources come from the academic personnel or from people from the industry that both have gained experience from their long-term cooperation with the robotic technology. Knowledge and research staff that work for the university of for institutes for research and collaboration can feed the cluster with active human resources.</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quantity of personnel appears to be one into question for factor conditions. All the interviewees mentioned that in the near future they will need human capital in different positions. Odense Robotics frontier of robotic technologies expects significant growth in employment until 2020. They estimate that companies will employ more than 3.000 of the total 2.200 that are today </w:t>
      </w:r>
      <w:r>
        <w:fldChar w:fldCharType="begin"/>
      </w:r>
      <w:r>
        <w:instrText>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w:instrText>
      </w:r>
      <w:r>
        <w:fldChar w:fldCharType="separate"/>
      </w:r>
      <w:bookmarkStart w:id="490" w:name="__Fieldmark__3131_783673585"/>
      <w:r>
        <w:rPr>
          <w:rFonts w:eastAsia="Calibri" w:cs="Times New Roman"/>
          <w:lang w:val="en-US"/>
        </w:rPr>
        <w:t>(</w:t>
      </w:r>
      <w:bookmarkStart w:id="491" w:name="__Fieldmark__3538_427358540"/>
      <w:r>
        <w:rPr>
          <w:rFonts w:eastAsia="Calibri" w:cs="Times New Roman"/>
          <w:lang w:val="en-US"/>
        </w:rPr>
        <w:t>Odense Robotics, 2015)</w:t>
      </w:r>
      <w:r>
        <w:rPr>
          <w:rFonts w:eastAsia="Calibri" w:cs="Times New Roman"/>
          <w:lang w:val="en-US"/>
        </w:rPr>
      </w:r>
      <w:r>
        <w:fldChar w:fldCharType="end"/>
      </w:r>
      <w:bookmarkEnd w:id="490"/>
      <w:bookmarkEnd w:id="491"/>
      <w:r>
        <w:rPr>
          <w:rFonts w:eastAsia="Calibri" w:cs="Times New Roman"/>
          <w:lang w:val="en-US"/>
        </w:rPr>
        <w:t xml:space="preserve">. </w:t>
      </w:r>
      <w:commentRangeStart w:id="60"/>
      <w:r>
        <w:rPr>
          <w:rFonts w:eastAsia="Calibri" w:cs="Times New Roman"/>
          <w:lang w:val="en-US"/>
        </w:rPr>
        <w:t xml:space="preserve">Mikkel Christoffersen from the same organization stated that the companies will reach that number possibly until 2017 as the industry is growing very fast. </w:t>
      </w:r>
      <w:commentRangeEnd w:id="60"/>
      <w:r>
        <w:commentReference w:id="60"/>
      </w:r>
      <w:r>
        <w:rPr>
          <w:rFonts w:eastAsia="Calibri" w:cs="Times New Roman"/>
          <w:lang w:val="en-US"/>
        </w:rPr>
      </w:r>
    </w:p>
    <w:p>
      <w:pPr>
        <w:pStyle w:val="Normal"/>
        <w:spacing w:lineRule="auto" w:line="360"/>
        <w:rPr>
          <w:rFonts w:ascii="Times New Roman" w:hAnsi="Times New Roman" w:eastAsia="Calibri" w:cs="Times New Roman"/>
          <w:i/>
          <w:i/>
          <w:lang w:val="en-US"/>
        </w:rPr>
      </w:pPr>
      <w:r>
        <w:rPr>
          <w:rFonts w:eastAsia="Calibri" w:cs="Times New Roman"/>
          <w:i/>
          <w:lang w:val="en-US"/>
        </w:rPr>
        <w:t>Mikkel: We just did a survey asking them what candidates they need in the next year. On a really specific competence level. And we have identified 500 roles that the companies know already now they have to put--. To attract people within a year.</w:t>
      </w:r>
    </w:p>
    <w:p>
      <w:pPr>
        <w:pStyle w:val="Normal"/>
        <w:spacing w:lineRule="auto" w:line="360"/>
        <w:rPr/>
      </w:pPr>
      <w:r>
        <w:rPr>
          <w:rFonts w:eastAsia="Calibri" w:cs="Times New Roman"/>
          <w:b/>
          <w:lang w:val="en-US"/>
        </w:rPr>
        <w:t>Capital resources</w:t>
      </w:r>
      <w:r>
        <w:rPr>
          <w:rFonts w:eastAsia="Calibri"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fldChar w:fldCharType="begin"/>
      </w:r>
      <w:r>
        <w:instrText>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w:instrText>
      </w:r>
      <w:r>
        <w:fldChar w:fldCharType="separate"/>
      </w:r>
      <w:bookmarkStart w:id="492" w:name="__Fieldmark__3145_783673585"/>
      <w:r>
        <w:rPr>
          <w:rFonts w:eastAsia="Calibri" w:cs="Times New Roman"/>
          <w:lang w:val="en-US"/>
        </w:rPr>
      </w:r>
      <w:r>
        <w:rPr>
          <w:rFonts w:eastAsia="Calibri" w:cs="Times New Roman"/>
          <w:szCs w:val="24"/>
          <w:lang w:val="en-US"/>
        </w:rPr>
        <w:t>(</w:t>
      </w:r>
      <w:bookmarkStart w:id="493" w:name="__Fieldmark__3550_427358540"/>
      <w:r>
        <w:rPr>
          <w:rFonts w:eastAsia="Calibri" w:cs="Times New Roman"/>
          <w:szCs w:val="24"/>
          <w:lang w:val="en-US"/>
        </w:rPr>
        <w:t>“Denmark | Credit Rating,” n.d.)</w:t>
      </w:r>
      <w:r>
        <w:rPr>
          <w:rFonts w:eastAsia="Calibri" w:cs="Times New Roman"/>
          <w:lang w:val="en-US"/>
        </w:rPr>
      </w:r>
      <w:r>
        <w:fldChar w:fldCharType="end"/>
      </w:r>
      <w:bookmarkEnd w:id="492"/>
      <w:bookmarkEnd w:id="493"/>
      <w:r>
        <w:rPr>
          <w:rFonts w:eastAsia="Calibri" w:cs="Times New Roman"/>
          <w:lang w:val="en-US"/>
        </w:rPr>
        <w:t xml:space="preserve">. According to the Danish Bankers Association, until 2012 the financial sector accounted for 11 percent of the business community’s total investment showing that the banks increasingly engage in research collaboration with universities and other knowledge institutions </w:t>
      </w:r>
      <w:r>
        <w:fldChar w:fldCharType="begin"/>
      </w:r>
      <w:r>
        <w:instrText>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w:instrText>
      </w:r>
      <w:r>
        <w:fldChar w:fldCharType="separate"/>
      </w:r>
      <w:bookmarkStart w:id="494" w:name="__Fieldmark__3152_783673585"/>
      <w:r>
        <w:rPr>
          <w:rFonts w:eastAsia="Calibri" w:cs="Times New Roman"/>
          <w:lang w:val="en-US"/>
        </w:rPr>
        <w:t>(</w:t>
      </w:r>
      <w:bookmarkStart w:id="495" w:name="__Fieldmark__3557_427358540"/>
      <w:r>
        <w:rPr>
          <w:rFonts w:eastAsia="Calibri" w:cs="Times New Roman"/>
          <w:lang w:val="en-US"/>
        </w:rPr>
        <w:t>The financial Denmark, 2015)</w:t>
      </w:r>
      <w:r>
        <w:rPr>
          <w:rFonts w:eastAsia="Calibri" w:cs="Times New Roman"/>
          <w:lang w:val="en-US"/>
        </w:rPr>
      </w:r>
      <w:r>
        <w:fldChar w:fldCharType="end"/>
      </w:r>
      <w:bookmarkEnd w:id="494"/>
      <w:bookmarkEnd w:id="495"/>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 xml:space="preserve">All the interviewees mentioned the importance of capital resources but agreed that are accessible in the industrial environment. </w:t>
      </w:r>
      <w:commentRangeStart w:id="61"/>
      <w:r>
        <w:rPr>
          <w:rFonts w:eastAsia="Calibri" w:cs="Times New Roman"/>
          <w:lang w:val="en-US"/>
        </w:rPr>
        <w:t>Financial resources are essential for the development and growth of the robotic cluster as there are high costs in the product development and research.</w:t>
      </w:r>
      <w:r>
        <w:rPr>
          <w:rFonts w:eastAsia="Calibri" w:cs="Times New Roman"/>
          <w:lang w:val="en-US"/>
        </w:rPr>
      </w:r>
      <w:commentRangeEnd w:id="61"/>
      <w:r>
        <w:commentReference w:id="61"/>
      </w:r>
      <w:r>
        <w:rPr>
          <w:rFonts w:eastAsia="Calibri" w:cs="Times New Roman"/>
          <w:lang w:val="en-US"/>
        </w:rPr>
        <w:t xml:space="preserve"> Public-oriented national foundations were the most mentioned sources of financing such as Innovation Fund Denmark (Innovationsfonden), and The Danish Growth Fund (Vækstfonden) but also regional funds such as the Southdanish Technological Innovation-SDTI (Syddansk Innovation). Casper illustrated his point of view about capital resources.</w:t>
      </w:r>
    </w:p>
    <w:p>
      <w:pPr>
        <w:pStyle w:val="Normal"/>
        <w:spacing w:lineRule="auto" w:line="360"/>
        <w:rPr>
          <w:rFonts w:ascii="Times New Roman" w:hAnsi="Times New Roman" w:eastAsia="Calibri" w:cs="Times New Roman"/>
          <w:i/>
          <w:i/>
          <w:lang w:val="en-US"/>
        </w:rPr>
      </w:pPr>
      <w:r>
        <w:rPr>
          <w:rFonts w:eastAsia="Calibri" w:cs="Times New Roman"/>
          <w:i/>
          <w:lang w:val="en-US"/>
        </w:rPr>
        <w:t>Casper: In my opinion--. At least from our journey, the money hasn’t been a problem that much. There are quite many opportunities here in Denmark to get also free money. Grands, foundations etc.</w:t>
      </w:r>
    </w:p>
    <w:p>
      <w:pPr>
        <w:pStyle w:val="Normal"/>
        <w:spacing w:lineRule="auto" w:line="360"/>
        <w:rPr/>
      </w:pPr>
      <w:r>
        <w:rPr>
          <w:rFonts w:eastAsia="Calibri" w:cs="Times New Roman"/>
          <w:lang w:val="en-US"/>
        </w:rPr>
        <w:t xml:space="preserve">Innovation Fund Denmark (IFD) was established in April 2014 following a broad party-political agreement to consolidate three existing national funding bodies within a single new entity. This agreement  have been made to create one large innovation foundation of 1.5 billion kroner annually  to ensure that significant investments in research and development result in concrete solutions to societal challenges, growth and jobs </w:t>
      </w:r>
      <w:r>
        <w:fldChar w:fldCharType="begin"/>
      </w:r>
      <w:r>
        <w:instrText>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w:instrText>
      </w:r>
      <w:r>
        <w:fldChar w:fldCharType="separate"/>
      </w:r>
      <w:bookmarkStart w:id="496" w:name="__Fieldmark__3168_783673585"/>
      <w:r>
        <w:rPr>
          <w:rFonts w:eastAsia="Calibri" w:cs="Times New Roman"/>
          <w:lang w:val="en-US"/>
        </w:rPr>
      </w:r>
      <w:r>
        <w:rPr>
          <w:rFonts w:eastAsia="Calibri" w:cs="Times New Roman"/>
          <w:szCs w:val="24"/>
          <w:lang w:val="en-US"/>
        </w:rPr>
        <w:t>(</w:t>
      </w:r>
      <w:bookmarkStart w:id="497" w:name="__Fieldmark__3578_427358540"/>
      <w:r>
        <w:rPr>
          <w:rFonts w:eastAsia="Calibri" w:cs="Times New Roman"/>
          <w:szCs w:val="24"/>
          <w:lang w:val="en-US"/>
        </w:rPr>
        <w:t>“Innovation Fund Denmark’s strategy,” 2015)</w:t>
      </w:r>
      <w:r>
        <w:rPr>
          <w:rFonts w:eastAsia="Calibri" w:cs="Times New Roman"/>
          <w:lang w:val="en-US"/>
        </w:rPr>
      </w:r>
      <w:r>
        <w:fldChar w:fldCharType="end"/>
      </w:r>
      <w:bookmarkEnd w:id="496"/>
      <w:bookmarkEnd w:id="497"/>
      <w:r>
        <w:rPr>
          <w:rFonts w:eastAsia="Calibri" w:cs="Times New Roman"/>
          <w:lang w:val="en-US"/>
        </w:rPr>
        <w:t>. IFD forms part of the Danish Innovation system, which consists of a number of public and private-sector stakeholders. The most of the interviewees talked about public funding and many of them they used the term ‘soft money’ as illustrated below.</w:t>
      </w:r>
    </w:p>
    <w:p>
      <w:pPr>
        <w:pStyle w:val="Normal"/>
        <w:spacing w:lineRule="auto" w:line="360"/>
        <w:rPr>
          <w:rFonts w:ascii="Times New Roman" w:hAnsi="Times New Roman" w:eastAsia="Calibri" w:cs="Times New Roman"/>
          <w:i/>
          <w:i/>
          <w:lang w:val="en-US"/>
        </w:rPr>
      </w:pPr>
      <w:r>
        <w:rPr>
          <w:rFonts w:eastAsia="Calibri" w:cs="Times New Roman"/>
          <w:i/>
          <w:lang w:val="en-US"/>
        </w:rPr>
        <w:t>Mikkel : In a Danish context sometimes with the startups we talk about soft money. Soft money Yeah {laughs}. Is a term if--.So is really helpful for the startups that they can apply for publicly funding in an early stage. So what we deliver to them is also publicly funded .All the resources and being a part of our startup hub. This is also publicly funded.</w:t>
      </w:r>
    </w:p>
    <w:p>
      <w:pPr>
        <w:pStyle w:val="Normal"/>
        <w:spacing w:lineRule="auto" w:line="360"/>
        <w:rPr/>
      </w:pPr>
      <w:r>
        <w:rPr>
          <w:rFonts w:eastAsia="Calibri"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fldChar w:fldCharType="begin"/>
      </w:r>
      <w:r>
        <w:instrText>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w:instrText>
      </w:r>
      <w:r>
        <w:fldChar w:fldCharType="separate"/>
      </w:r>
      <w:bookmarkStart w:id="498" w:name="__Fieldmark__3178_783673585"/>
      <w:r>
        <w:rPr>
          <w:rFonts w:eastAsia="Calibri" w:cs="Times New Roman"/>
          <w:lang w:val="en-US"/>
        </w:rPr>
      </w:r>
      <w:r>
        <w:rPr>
          <w:rFonts w:eastAsia="Calibri" w:cs="Times New Roman"/>
          <w:szCs w:val="24"/>
          <w:lang w:val="en-US"/>
        </w:rPr>
        <w:t>(</w:t>
      </w:r>
      <w:bookmarkStart w:id="499" w:name="__Fieldmark__3586_427358540"/>
      <w:r>
        <w:rPr>
          <w:rFonts w:eastAsia="Calibri" w:cs="Times New Roman"/>
          <w:szCs w:val="24"/>
          <w:lang w:val="en-US"/>
        </w:rPr>
        <w:t>“Objectives and strategy,” n.d.)</w:t>
      </w:r>
      <w:r>
        <w:rPr>
          <w:rFonts w:eastAsia="Calibri" w:cs="Times New Roman"/>
          <w:lang w:val="en-US"/>
        </w:rPr>
      </w:r>
      <w:r>
        <w:fldChar w:fldCharType="end"/>
      </w:r>
      <w:bookmarkEnd w:id="498"/>
      <w:bookmarkEnd w:id="499"/>
      <w:r>
        <w:rPr>
          <w:rFonts w:eastAsia="Calibri" w:cs="Times New Roman"/>
          <w:lang w:val="en-US"/>
        </w:rPr>
        <w:t xml:space="preserve">. They claim that every time The Danish Growth Fund invests 1 kroner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fldChar w:fldCharType="begin"/>
      </w:r>
      <w:r>
        <w:instrText>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w:instrText>
      </w:r>
      <w:r>
        <w:fldChar w:fldCharType="separate"/>
      </w:r>
      <w:bookmarkStart w:id="500" w:name="__Fieldmark__3185_783673585"/>
      <w:r>
        <w:rPr>
          <w:rFonts w:eastAsia="Calibri" w:cs="Times New Roman"/>
          <w:lang w:val="en-US"/>
        </w:rPr>
      </w:r>
      <w:r>
        <w:rPr>
          <w:rFonts w:eastAsia="Calibri" w:cs="Times New Roman"/>
          <w:szCs w:val="24"/>
          <w:lang w:val="en-US"/>
        </w:rPr>
        <w:t>(</w:t>
      </w:r>
      <w:bookmarkStart w:id="501" w:name="__Fieldmark__3591_427358540"/>
      <w:r>
        <w:rPr>
          <w:rFonts w:eastAsia="Calibri" w:cs="Times New Roman"/>
          <w:szCs w:val="24"/>
          <w:lang w:val="en-US"/>
        </w:rPr>
        <w:t>“The Danish VC tmarket 2014,” n.d.)</w:t>
      </w:r>
      <w:r>
        <w:rPr>
          <w:rFonts w:eastAsia="Calibri" w:cs="Times New Roman"/>
          <w:lang w:val="en-US"/>
        </w:rPr>
      </w:r>
      <w:r>
        <w:fldChar w:fldCharType="end"/>
      </w:r>
      <w:bookmarkEnd w:id="500"/>
      <w:bookmarkEnd w:id="501"/>
      <w:r>
        <w:rPr>
          <w:rFonts w:eastAsia="Calibri" w:cs="Times New Roman"/>
          <w:lang w:val="en-US"/>
        </w:rPr>
        <w:t>. Moreover, the study showed a decrease in the VC investors in the Danish VC market from a peak of more than 50 in 2001 to a low of about 20 in 2014.</w:t>
      </w:r>
    </w:p>
    <w:p>
      <w:pPr>
        <w:pStyle w:val="Normal"/>
        <w:spacing w:lineRule="auto" w:line="360"/>
        <w:rPr/>
      </w:pPr>
      <w:r>
        <w:rPr>
          <w:rFonts w:eastAsia="Calibri" w:cs="Times New Roman"/>
          <w:lang w:val="en-US"/>
        </w:rPr>
        <w:t xml:space="preserve">There is a quite unique proposition of </w:t>
      </w:r>
      <w:r>
        <w:rPr>
          <w:rFonts w:eastAsia="Calibri" w:cs="Times New Roman"/>
          <w:b/>
          <w:lang w:val="en-US"/>
        </w:rPr>
        <w:t>infrastructure</w:t>
      </w:r>
      <w:r>
        <w:rPr>
          <w:rFonts w:eastAsia="Calibri"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Boye the Mayor of Odense, stated in the introduction of Carsten Steno’s ‘A cluster of success’ book </w:t>
      </w:r>
      <w:r>
        <w:fldChar w:fldCharType="begin"/>
      </w:r>
      <w:r>
        <w:instrText>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02" w:name="__Fieldmark__3196_783673585"/>
      <w:r>
        <w:rPr>
          <w:rFonts w:eastAsia="Calibri" w:cs="Times New Roman"/>
          <w:lang w:val="en-US"/>
        </w:rPr>
        <w:t>(</w:t>
      </w:r>
      <w:bookmarkStart w:id="503" w:name="__Fieldmark__3608_427358540"/>
      <w:r>
        <w:rPr>
          <w:rFonts w:eastAsia="Calibri" w:cs="Times New Roman"/>
          <w:lang w:val="en-US"/>
        </w:rPr>
        <w:t>Steno, 2016)</w:t>
      </w:r>
      <w:r>
        <w:rPr>
          <w:rFonts w:eastAsia="Calibri" w:cs="Times New Roman"/>
          <w:lang w:val="en-US"/>
        </w:rPr>
      </w:r>
      <w:r>
        <w:fldChar w:fldCharType="end"/>
      </w:r>
      <w:bookmarkEnd w:id="502"/>
      <w:bookmarkEnd w:id="503"/>
      <w:r>
        <w:rPr>
          <w:rFonts w:eastAsia="Calibri" w:cs="Times New Roman"/>
          <w:lang w:val="en-US"/>
        </w:rPr>
        <w:t xml:space="preserve">. Infrastructure is the type, quality and user cost constructions available in the business environment which affect the quality of life and the attractiveness of a nation as a place to work and live (Michael E. Porter, 1990). </w:t>
      </w:r>
    </w:p>
    <w:p>
      <w:pPr>
        <w:pStyle w:val="Normal"/>
        <w:spacing w:lineRule="auto" w:line="360"/>
        <w:rPr/>
      </w:pPr>
      <w:r>
        <w:rPr>
          <w:rFonts w:eastAsia="Calibri" w:cs="Times New Roman"/>
          <w:lang w:val="en-US"/>
        </w:rPr>
        <w:t xml:space="preserve">The interviewees directly mentioned the importance of infrastructure for the development of robotic environment in Fynen. The Science Park (forskerparker) and Odense Knowledge city (Videnbyen) are power centers for welfare, robot technology and business </w:t>
      </w:r>
      <w:r>
        <w:fldChar w:fldCharType="begin"/>
      </w:r>
      <w:r>
        <w:instrText>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w:instrText>
      </w:r>
      <w:r>
        <w:fldChar w:fldCharType="separate"/>
      </w:r>
      <w:bookmarkStart w:id="504" w:name="__Fieldmark__3205_783673585"/>
      <w:r>
        <w:rPr>
          <w:rFonts w:eastAsia="Calibri" w:cs="Times New Roman"/>
          <w:lang w:val="en-US"/>
        </w:rPr>
      </w:r>
      <w:r>
        <w:rPr>
          <w:rFonts w:eastAsia="Calibri" w:cs="Times New Roman"/>
          <w:szCs w:val="24"/>
          <w:lang w:val="en-US"/>
        </w:rPr>
        <w:t>(</w:t>
      </w:r>
      <w:bookmarkStart w:id="505" w:name="__Fieldmark__3615_427358540"/>
      <w:r>
        <w:rPr>
          <w:rFonts w:eastAsia="Calibri" w:cs="Times New Roman"/>
          <w:szCs w:val="24"/>
          <w:lang w:val="en-US"/>
        </w:rPr>
        <w:t>“Welcome: Syddansk Research,” n.d.)</w:t>
      </w:r>
      <w:r>
        <w:rPr>
          <w:rFonts w:eastAsia="Calibri" w:cs="Times New Roman"/>
          <w:lang w:val="en-US"/>
        </w:rPr>
      </w:r>
      <w:r>
        <w:fldChar w:fldCharType="end"/>
      </w:r>
      <w:bookmarkEnd w:id="504"/>
      <w:bookmarkEnd w:id="505"/>
      <w:r>
        <w:rPr>
          <w:rFonts w:eastAsia="Calibri" w:cs="Times New Roman"/>
          <w:lang w:val="en-US"/>
        </w:rPr>
        <w:t xml:space="preserve">. Videnbyen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pPr>
        <w:pStyle w:val="Normal"/>
        <w:spacing w:lineRule="auto" w:line="360"/>
        <w:rPr/>
      </w:pPr>
      <w:r>
        <w:rPr>
          <w:rFonts w:eastAsia="Calibri" w:cs="Times New Roman"/>
          <w:lang w:val="en-US"/>
        </w:rPr>
        <w:t xml:space="preserve">Odense Robotics StartUp Hub is a new robot startup accelerator program to support companies at an early stage so that they are prepared to cooperate with one or more private or institutional investors funded by Odense Robotics frontier, the Danish Technological Institute and the Municipality of Odense  in December 2015  </w:t>
      </w:r>
      <w:r>
        <w:fldChar w:fldCharType="begin"/>
      </w:r>
      <w:r>
        <w:instrText>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w:instrText>
      </w:r>
      <w:r>
        <w:fldChar w:fldCharType="separate"/>
      </w:r>
      <w:bookmarkStart w:id="506" w:name="__Fieldmark__3214_783673585"/>
      <w:r>
        <w:rPr>
          <w:rFonts w:eastAsia="Calibri" w:cs="Times New Roman"/>
          <w:lang w:val="en-US"/>
        </w:rPr>
      </w:r>
      <w:r>
        <w:rPr>
          <w:rFonts w:eastAsia="Calibri" w:cs="Times New Roman"/>
          <w:szCs w:val="24"/>
          <w:lang w:val="en-US"/>
        </w:rPr>
        <w:t>(</w:t>
      </w:r>
      <w:bookmarkStart w:id="507" w:name="__Fieldmark__3623_427358540"/>
      <w:r>
        <w:rPr>
          <w:rFonts w:eastAsia="Calibri" w:cs="Times New Roman"/>
          <w:szCs w:val="24"/>
          <w:lang w:val="en-US"/>
        </w:rPr>
        <w:t>“Odense Robotics StartUp Hub” n.d.)</w:t>
      </w:r>
      <w:r>
        <w:rPr>
          <w:rFonts w:eastAsia="Calibri" w:cs="Times New Roman"/>
          <w:lang w:val="en-US"/>
        </w:rPr>
      </w:r>
      <w:r>
        <w:fldChar w:fldCharType="end"/>
      </w:r>
      <w:bookmarkEnd w:id="506"/>
      <w:bookmarkEnd w:id="507"/>
      <w:r>
        <w:rPr>
          <w:rFonts w:eastAsia="Calibri" w:cs="Times New Roman"/>
          <w:lang w:val="en-US"/>
        </w:rPr>
        <w:t>.Mikkel explained the function of the startup hub as an entity that helps new entry businesses in the industry but also the statupers of the interviews enjoyed free office space and collaboration into those infrastructures.</w:t>
      </w:r>
    </w:p>
    <w:p>
      <w:pPr>
        <w:pStyle w:val="Normal"/>
        <w:spacing w:lineRule="auto" w:line="360"/>
        <w:rPr>
          <w:rFonts w:ascii="Times New Roman" w:hAnsi="Times New Roman" w:eastAsia="Calibri" w:cs="Times New Roman"/>
          <w:lang w:val="en-US"/>
        </w:rPr>
      </w:pPr>
      <w:r>
        <w:rPr>
          <w:rFonts w:eastAsia="Calibri" w:cs="Times New Roman"/>
          <w:lang w:val="en-US"/>
        </w:rPr>
        <w:t xml:space="preserve">Mikkel: </w:t>
      </w:r>
      <w:r>
        <w:rPr>
          <w:rFonts w:eastAsia="Calibri"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pPr>
        <w:pStyle w:val="Normal"/>
        <w:spacing w:lineRule="auto" w:line="360"/>
        <w:rPr>
          <w:rFonts w:ascii="Times New Roman" w:hAnsi="Times New Roman" w:eastAsia="Calibri" w:cs="Times New Roman"/>
          <w:i/>
          <w:i/>
          <w:lang w:val="en-US"/>
        </w:rPr>
      </w:pPr>
      <w:r>
        <w:rPr>
          <w:rFonts w:eastAsia="Calibri" w:cs="Times New Roman"/>
          <w:lang w:val="en-US"/>
        </w:rPr>
        <w:t xml:space="preserve">Casper: </w:t>
      </w:r>
      <w:r>
        <w:rPr>
          <w:rFonts w:eastAsia="Calibri" w:cs="Times New Roman"/>
          <w:i/>
          <w:lang w:val="en-US"/>
        </w:rPr>
        <w:t>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Udvikling Fyn.</w:t>
      </w:r>
    </w:p>
    <w:p>
      <w:pPr>
        <w:pStyle w:val="Heading1"/>
        <w:rPr>
          <w:rFonts w:eastAsia="Calibri"/>
          <w:lang w:val="en-US"/>
        </w:rPr>
      </w:pPr>
      <w:bookmarkStart w:id="508" w:name="_Toc459977512"/>
      <w:bookmarkStart w:id="509" w:name="__RefHeading___Toc5810_427358540"/>
      <w:bookmarkEnd w:id="509"/>
      <w:r>
        <w:rPr>
          <w:rFonts w:eastAsia="Calibri"/>
          <w:lang w:val="en-US"/>
        </w:rPr>
        <w:t>4.1.2 Demand conditions</w:t>
      </w:r>
      <w:bookmarkEnd w:id="508"/>
      <w:r>
        <w:rPr>
          <w:rFonts w:eastAsia="Calibri"/>
          <w:lang w:val="en-US"/>
        </w:rPr>
        <w:t xml:space="preserve"> </w:t>
      </w:r>
    </w:p>
    <w:p>
      <w:pPr>
        <w:pStyle w:val="Normal"/>
        <w:spacing w:lineRule="auto" w:line="360"/>
        <w:rPr/>
      </w:pPr>
      <w:r>
        <w:rPr>
          <w:rFonts w:eastAsia="Calibri"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fldChar w:fldCharType="begin"/>
      </w:r>
      <w:r>
        <w:instrText>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510" w:name="__Fieldmark__3234_783673585"/>
      <w:r>
        <w:rPr>
          <w:rFonts w:eastAsia="Calibri" w:cs="Times New Roman"/>
          <w:lang w:val="en-US"/>
        </w:rPr>
        <w:t>(</w:t>
      </w:r>
      <w:bookmarkStart w:id="511" w:name="__Fieldmark__3639_427358540"/>
      <w:r>
        <w:rPr>
          <w:rFonts w:eastAsia="Calibri" w:cs="Times New Roman"/>
          <w:lang w:val="en-US"/>
        </w:rPr>
        <w:t>Michael E. Porter, 1990)</w:t>
      </w:r>
      <w:r>
        <w:rPr>
          <w:rFonts w:eastAsia="Calibri" w:cs="Times New Roman"/>
          <w:lang w:val="en-US"/>
        </w:rPr>
      </w:r>
      <w:r>
        <w:fldChar w:fldCharType="end"/>
      </w:r>
      <w:bookmarkEnd w:id="510"/>
      <w:bookmarkEnd w:id="511"/>
      <w:r>
        <w:rPr>
          <w:rFonts w:eastAsia="Calibri" w:cs="Times New Roman"/>
          <w:lang w:val="en-US"/>
        </w:rPr>
        <w:t>.</w:t>
      </w:r>
    </w:p>
    <w:p>
      <w:pPr>
        <w:pStyle w:val="Normal"/>
        <w:spacing w:lineRule="auto" w:line="360"/>
        <w:rPr/>
      </w:pPr>
      <w:r>
        <w:rPr>
          <w:rFonts w:eastAsia="Calibri" w:cs="Times New Roman"/>
          <w:lang w:val="en-US"/>
        </w:rPr>
        <w:t>According to International Federation of Robotics, the robot density in Denmark is among the highest in the world capturing the fifth position where 166 robots are employed per 10.000 people in manufacturing industry</w:t>
      </w:r>
      <w:r>
        <w:fldChar w:fldCharType="begin"/>
      </w:r>
      <w:r>
        <w:instrText>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w:instrText>
      </w:r>
      <w:r>
        <w:fldChar w:fldCharType="separate"/>
      </w:r>
      <w:bookmarkStart w:id="512" w:name="__Fieldmark__3243_783673585"/>
      <w:r>
        <w:rPr>
          <w:rFonts w:eastAsia="Calibri" w:cs="Times New Roman"/>
          <w:lang w:val="en-US"/>
        </w:rPr>
      </w:r>
      <w:r>
        <w:rPr>
          <w:rFonts w:eastAsia="Calibri" w:cs="Times New Roman"/>
          <w:szCs w:val="24"/>
          <w:lang w:val="en-US"/>
        </w:rPr>
        <w:t>(</w:t>
      </w:r>
      <w:bookmarkStart w:id="513" w:name="__Fieldmark__3646_427358540"/>
      <w:r>
        <w:rPr>
          <w:rFonts w:eastAsia="Calibri" w:cs="Times New Roman"/>
          <w:szCs w:val="24"/>
          <w:lang w:val="en-US"/>
        </w:rPr>
        <w:t>“GlobalRobot density IFR,” 2014)</w:t>
      </w:r>
      <w:r>
        <w:rPr>
          <w:rFonts w:eastAsia="Calibri" w:cs="Times New Roman"/>
          <w:lang w:val="en-US"/>
        </w:rPr>
      </w:r>
      <w:r>
        <w:fldChar w:fldCharType="end"/>
      </w:r>
      <w:bookmarkEnd w:id="512"/>
      <w:bookmarkEnd w:id="513"/>
      <w:r>
        <w:rPr>
          <w:rFonts w:eastAsia="Calibri"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fldChar w:fldCharType="begin"/>
      </w:r>
      <w:r>
        <w:instrText>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14" w:name="__Fieldmark__3250_783673585"/>
      <w:r>
        <w:rPr>
          <w:rFonts w:eastAsia="Calibri" w:cs="Times New Roman"/>
          <w:lang w:val="en-US"/>
        </w:rPr>
        <w:t>(</w:t>
      </w:r>
      <w:bookmarkStart w:id="515" w:name="__Fieldmark__3651_427358540"/>
      <w:r>
        <w:rPr>
          <w:rFonts w:eastAsia="Calibri" w:cs="Times New Roman"/>
          <w:lang w:val="en-US"/>
        </w:rPr>
        <w:t>Steno, 2016)</w:t>
      </w:r>
      <w:r>
        <w:rPr>
          <w:rFonts w:eastAsia="Calibri" w:cs="Times New Roman"/>
          <w:lang w:val="en-US"/>
        </w:rPr>
      </w:r>
      <w:r>
        <w:fldChar w:fldCharType="end"/>
      </w:r>
      <w:bookmarkEnd w:id="514"/>
      <w:bookmarkEnd w:id="515"/>
      <w:r>
        <w:rPr>
          <w:rFonts w:eastAsia="Calibri" w:cs="Times New Roman"/>
          <w:lang w:val="en-US"/>
        </w:rPr>
        <w:t xml:space="preserve">. </w:t>
      </w:r>
    </w:p>
    <w:p>
      <w:pPr>
        <w:pStyle w:val="Normal"/>
        <w:spacing w:lineRule="auto" w:line="360"/>
        <w:rPr>
          <w:rFonts w:ascii="Times New Roman" w:hAnsi="Times New Roman" w:eastAsia="Calibri" w:cs="Times New Roman"/>
          <w:b/>
          <w:b/>
          <w:lang w:val="en-US"/>
        </w:rPr>
      </w:pPr>
      <w:r>
        <w:rPr>
          <w:rFonts w:eastAsia="Calibri" w:cs="Times New Roman"/>
          <w:lang w:val="en-US"/>
        </w:rPr>
        <w:t>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of the large sales network of UR as they can sell components directly to an end costumer that has employed a UR robotic arm. This is a factor that can raise the home demand conditions as Mikkel, the 46 years old business manager of Odense Robotics frontier described.</w:t>
      </w:r>
    </w:p>
    <w:p>
      <w:pPr>
        <w:pStyle w:val="Normal"/>
        <w:spacing w:lineRule="auto" w:line="360"/>
        <w:rPr>
          <w:rFonts w:ascii="Times New Roman" w:hAnsi="Times New Roman" w:eastAsia="Calibri" w:cs="Times New Roman"/>
          <w:lang w:val="en-US"/>
        </w:rPr>
      </w:pPr>
      <w:r>
        <w:rPr>
          <w:rFonts w:eastAsia="Calibri" w:cs="Times New Roman"/>
          <w:i/>
          <w:lang w:val="en-US"/>
        </w:rPr>
        <w:t>Mikkel: For instance, On Robot, a small company who has a lot of success now. They have been here for one and a half year. They are doing small engineer grippers which function on Universal arm for instance. And they are sort of piggy begging on the UR global market access.</w:t>
      </w:r>
    </w:p>
    <w:p>
      <w:pPr>
        <w:pStyle w:val="Normal"/>
        <w:spacing w:lineRule="auto" w:line="360"/>
        <w:rPr/>
      </w:pPr>
      <w:r>
        <w:rPr>
          <w:rFonts w:eastAsia="Calibri" w:cs="Times New Roman"/>
          <w:lang w:val="en-US"/>
        </w:rPr>
        <w:t xml:space="preserve">On the other hand, is what all of the responders mentioned as integrators. Integrators are the companies involved in integrating the robots at the end customer </w:t>
      </w:r>
      <w:r>
        <w:fldChar w:fldCharType="begin"/>
      </w:r>
      <w:r>
        <w:instrText>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16" w:name="__Fieldmark__3261_783673585"/>
      <w:r>
        <w:rPr>
          <w:rFonts w:eastAsia="Calibri" w:cs="Times New Roman"/>
          <w:lang w:val="en-US"/>
        </w:rPr>
        <w:t>(</w:t>
      </w:r>
      <w:bookmarkStart w:id="517" w:name="__Fieldmark__3668_427358540"/>
      <w:r>
        <w:rPr>
          <w:rFonts w:eastAsia="Calibri" w:cs="Times New Roman"/>
          <w:lang w:val="en-US"/>
        </w:rPr>
        <w:t>Steno, 2016)</w:t>
      </w:r>
      <w:r>
        <w:rPr>
          <w:rFonts w:eastAsia="Calibri" w:cs="Times New Roman"/>
          <w:lang w:val="en-US"/>
        </w:rPr>
      </w:r>
      <w:r>
        <w:fldChar w:fldCharType="end"/>
      </w:r>
      <w:bookmarkEnd w:id="516"/>
      <w:bookmarkEnd w:id="517"/>
      <w:r>
        <w:rPr>
          <w:rFonts w:eastAsia="Calibri" w:cs="Times New Roman"/>
          <w:lang w:val="en-US"/>
        </w:rPr>
        <w:t>. The integrators are well established companies with experience in designing, installing and servicing robotic and automation solutions and have been established since the creation of business agglomeration in Odense.</w:t>
      </w:r>
    </w:p>
    <w:p>
      <w:pPr>
        <w:pStyle w:val="Normal"/>
        <w:spacing w:lineRule="auto" w:line="360"/>
        <w:rPr>
          <w:rFonts w:ascii="Times New Roman" w:hAnsi="Times New Roman" w:eastAsia="Calibri" w:cs="Times New Roman"/>
          <w:i/>
          <w:i/>
          <w:lang w:val="en-US"/>
        </w:rPr>
      </w:pPr>
      <w:r>
        <w:rPr>
          <w:rFonts w:eastAsia="Calibri" w:cs="Times New Roman"/>
          <w:i/>
          <w:lang w:val="en-US"/>
        </w:rPr>
        <w:t>Jimmy: Right now we are building products as cases for companies. We want to sell our software as a platform to system integrators that they can then build on top of that and sell it to others</w:t>
      </w:r>
      <w:r>
        <w:rPr>
          <w:rFonts w:eastAsia="Calibri" w:cs="Times New Roman"/>
          <w:b/>
          <w:i/>
          <w:lang w:val="en-US"/>
        </w:rPr>
        <w:t xml:space="preserve">. </w:t>
      </w:r>
      <w:r>
        <w:rPr>
          <w:rFonts w:eastAsia="Calibri" w:cs="Times New Roman"/>
          <w:i/>
          <w:lang w:val="en-US"/>
        </w:rPr>
        <w:t>[…] System integrators. So they create robot solutions for customers. That is the system integrators so--. It could be Gibotech they have Fanuc Robots and then they could solve some problems for the customers using their Fanuc Robots. And then they sell. That is the system integrators.</w:t>
      </w:r>
    </w:p>
    <w:p>
      <w:pPr>
        <w:pStyle w:val="Normal"/>
        <w:spacing w:lineRule="auto" w:line="360"/>
        <w:rPr/>
      </w:pPr>
      <w:r>
        <w:rPr>
          <w:rFonts w:eastAsia="Calibri" w:cs="Times New Roman"/>
          <w:lang w:val="en-US"/>
        </w:rPr>
        <w:t xml:space="preserve">Home buyers can pressure local firms to innovate faster and achieve more sophisticated competitive advantages </w:t>
      </w:r>
      <w:r>
        <w:fldChar w:fldCharType="begin"/>
      </w:r>
      <w:r>
        <w:instrText>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w:instrText>
      </w:r>
      <w:r>
        <w:fldChar w:fldCharType="separate"/>
      </w:r>
      <w:bookmarkStart w:id="518" w:name="__Fieldmark__3273_783673585"/>
      <w:r>
        <w:rPr>
          <w:rFonts w:eastAsia="Calibri" w:cs="Times New Roman"/>
          <w:lang w:val="en-US"/>
        </w:rPr>
        <w:t>(</w:t>
      </w:r>
      <w:bookmarkStart w:id="519" w:name="__Fieldmark__3678_427358540"/>
      <w:r>
        <w:rPr>
          <w:rFonts w:eastAsia="Calibri" w:cs="Times New Roman"/>
          <w:lang w:val="en-US"/>
        </w:rPr>
        <w:t>Michael E. Porter, 1990)</w:t>
      </w:r>
      <w:r>
        <w:rPr>
          <w:rFonts w:eastAsia="Calibri" w:cs="Times New Roman"/>
          <w:lang w:val="en-US"/>
        </w:rPr>
      </w:r>
      <w:r>
        <w:fldChar w:fldCharType="end"/>
      </w:r>
      <w:bookmarkEnd w:id="518"/>
      <w:bookmarkEnd w:id="519"/>
      <w:r>
        <w:rPr>
          <w:rFonts w:eastAsia="Calibri"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fldChar w:fldCharType="begin"/>
      </w:r>
      <w:r>
        <w:instrText>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20" w:name="__Fieldmark__3280_783673585"/>
      <w:r>
        <w:rPr>
          <w:rFonts w:eastAsia="Calibri" w:cs="Times New Roman"/>
          <w:lang w:val="en-US"/>
        </w:rPr>
      </w:r>
      <w:r>
        <w:rPr>
          <w:rFonts w:eastAsia="Calibri" w:cs="Times New Roman"/>
          <w:szCs w:val="24"/>
          <w:lang w:val="en-US"/>
        </w:rPr>
        <w:t>(</w:t>
      </w:r>
      <w:bookmarkStart w:id="521" w:name="__Fieldmark__3683_427358540"/>
      <w:r>
        <w:rPr>
          <w:rFonts w:eastAsia="Calibri" w:cs="Times New Roman"/>
          <w:szCs w:val="24"/>
          <w:lang w:val="en-US"/>
        </w:rPr>
        <w:t>“Patientathome Project,” n.d.; Steno, 2016)</w:t>
      </w:r>
      <w:r>
        <w:rPr>
          <w:rFonts w:eastAsia="Calibri" w:cs="Times New Roman"/>
          <w:lang w:val="en-US"/>
        </w:rPr>
      </w:r>
      <w:r>
        <w:fldChar w:fldCharType="end"/>
      </w:r>
      <w:bookmarkEnd w:id="520"/>
      <w:bookmarkEnd w:id="521"/>
      <w:r>
        <w:rPr>
          <w:rFonts w:eastAsia="Calibri" w:cs="Times New Roman"/>
          <w:lang w:val="en-US"/>
        </w:rPr>
        <w:t>. This public initiative can contribute in raising the home demand point to future needs and press companies to continuously develop new products.</w:t>
      </w:r>
    </w:p>
    <w:p>
      <w:pPr>
        <w:pStyle w:val="Heading1"/>
        <w:rPr>
          <w:rFonts w:eastAsia="Calibri"/>
          <w:lang w:val="en-US"/>
        </w:rPr>
      </w:pPr>
      <w:bookmarkStart w:id="522" w:name="_Toc459977513"/>
      <w:bookmarkStart w:id="523" w:name="__RefHeading___Toc5812_427358540"/>
      <w:bookmarkEnd w:id="523"/>
      <w:r>
        <w:rPr>
          <w:rFonts w:eastAsia="Calibri"/>
          <w:lang w:val="en-US"/>
        </w:rPr>
        <w:t>4.1.3 Related and Supporting Industries</w:t>
      </w:r>
      <w:bookmarkEnd w:id="522"/>
      <w:r>
        <w:rPr>
          <w:rFonts w:eastAsia="Calibri"/>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Grundfos A/S came into the surface </w:t>
      </w:r>
      <w:r>
        <w:fldChar w:fldCharType="begin"/>
      </w:r>
      <w:r>
        <w:instrText>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w:instrText>
      </w:r>
      <w:r>
        <w:fldChar w:fldCharType="separate"/>
      </w:r>
      <w:bookmarkStart w:id="524" w:name="__Fieldmark__3296_783673585"/>
      <w:r>
        <w:rPr>
          <w:rFonts w:eastAsia="Calibri" w:cs="Times New Roman"/>
          <w:lang w:val="en-US"/>
        </w:rPr>
      </w:r>
      <w:r>
        <w:rPr>
          <w:rFonts w:eastAsia="Calibri" w:cs="Times New Roman"/>
          <w:szCs w:val="24"/>
          <w:lang w:val="en-US"/>
        </w:rPr>
        <w:t>(</w:t>
      </w:r>
      <w:bookmarkStart w:id="525" w:name="__Fieldmark__3696_427358540"/>
      <w:r>
        <w:rPr>
          <w:rFonts w:eastAsia="Calibri" w:cs="Times New Roman"/>
          <w:szCs w:val="24"/>
          <w:lang w:val="en-US"/>
        </w:rPr>
        <w:t>“Scape tech History,” n.d.)</w:t>
      </w:r>
      <w:r>
        <w:rPr>
          <w:rFonts w:eastAsia="Calibri" w:cs="Times New Roman"/>
          <w:lang w:val="en-US"/>
        </w:rPr>
      </w:r>
      <w:r>
        <w:fldChar w:fldCharType="end"/>
      </w:r>
      <w:bookmarkEnd w:id="524"/>
      <w:bookmarkEnd w:id="525"/>
      <w:r>
        <w:rPr>
          <w:rFonts w:eastAsia="Calibri" w:cs="Times New Roman"/>
          <w:lang w:val="en-US"/>
        </w:rPr>
        <w:t xml:space="preserve">. Grundfos is one of the world’s leading pump manufacturers </w:t>
      </w:r>
      <w:r>
        <w:fldChar w:fldCharType="begin"/>
      </w:r>
      <w:r>
        <w:instrText>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w:instrText>
      </w:r>
      <w:r>
        <w:fldChar w:fldCharType="separate"/>
      </w:r>
      <w:bookmarkStart w:id="526" w:name="__Fieldmark__3303_783673585"/>
      <w:r>
        <w:rPr>
          <w:rFonts w:eastAsia="Calibri" w:cs="Times New Roman"/>
          <w:lang w:val="en-US"/>
        </w:rPr>
      </w:r>
      <w:r>
        <w:rPr>
          <w:rFonts w:eastAsia="Calibri" w:cs="Times New Roman"/>
          <w:szCs w:val="24"/>
          <w:lang w:val="en-US"/>
        </w:rPr>
        <w:t>(</w:t>
      </w:r>
      <w:bookmarkStart w:id="527" w:name="__Fieldmark__3701_427358540"/>
      <w:r>
        <w:rPr>
          <w:rFonts w:eastAsia="Calibri" w:cs="Times New Roman"/>
          <w:szCs w:val="24"/>
          <w:lang w:val="en-US"/>
        </w:rPr>
        <w:t>“Facts about Grundfos | Grundfos,” n.d.)</w:t>
      </w:r>
      <w:r>
        <w:rPr>
          <w:rFonts w:eastAsia="Calibri" w:cs="Times New Roman"/>
          <w:lang w:val="en-US"/>
        </w:rPr>
      </w:r>
      <w:r>
        <w:fldChar w:fldCharType="end"/>
      </w:r>
      <w:bookmarkEnd w:id="526"/>
      <w:bookmarkEnd w:id="527"/>
      <w:r>
        <w:rPr>
          <w:rFonts w:eastAsia="Calibri" w:cs="Times New Roman"/>
          <w:lang w:val="en-US"/>
        </w:rPr>
        <w:t xml:space="preserve"> and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fldChar w:fldCharType="begin"/>
      </w:r>
      <w:r>
        <w:instrText>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28" w:name="__Fieldmark__3310_783673585"/>
      <w:r>
        <w:rPr>
          <w:rFonts w:eastAsia="Calibri" w:cs="Times New Roman"/>
          <w:lang w:val="en-US"/>
        </w:rPr>
        <w:t>(</w:t>
      </w:r>
      <w:bookmarkStart w:id="529" w:name="__Fieldmark__3706_427358540"/>
      <w:r>
        <w:rPr>
          <w:rFonts w:eastAsia="Calibri" w:cs="Times New Roman"/>
          <w:lang w:val="en-US"/>
        </w:rPr>
        <w:t>Steno, 2016)</w:t>
      </w:r>
      <w:r>
        <w:rPr>
          <w:rFonts w:eastAsia="Calibri" w:cs="Times New Roman"/>
          <w:lang w:val="en-US"/>
        </w:rPr>
      </w:r>
      <w:r>
        <w:fldChar w:fldCharType="end"/>
      </w:r>
      <w:bookmarkEnd w:id="528"/>
      <w:bookmarkEnd w:id="529"/>
      <w:r>
        <w:rPr>
          <w:rFonts w:eastAsia="Calibri" w:cs="Times New Roman"/>
          <w:lang w:val="en-US"/>
        </w:rPr>
        <w:t xml:space="preserve">. </w:t>
      </w:r>
      <w:commentRangeStart w:id="62"/>
      <w:r>
        <w:rPr>
          <w:rFonts w:eastAsia="Calibri" w:cs="Times New Roman"/>
          <w:lang w:val="en-US"/>
        </w:rPr>
        <w:t xml:space="preserve">Anders one of my interviewees expressed another example for the presence of related and supporting industries into the cluster. </w:t>
      </w:r>
      <w:commentRangeEnd w:id="62"/>
      <w:r>
        <w:commentReference w:id="62"/>
      </w:r>
      <w:r>
        <w:rPr>
          <w:rFonts w:eastAsia="Calibri" w:cs="Times New Roman"/>
          <w:lang w:val="en-US"/>
        </w:rPr>
      </w:r>
    </w:p>
    <w:p>
      <w:pPr>
        <w:pStyle w:val="Normal"/>
        <w:spacing w:lineRule="auto" w:line="360"/>
        <w:rPr>
          <w:rFonts w:ascii="Times New Roman" w:hAnsi="Times New Roman" w:eastAsia="Calibri" w:cs="Times New Roman"/>
          <w:lang w:val="en-US"/>
        </w:rPr>
      </w:pPr>
      <w:r>
        <w:rPr>
          <w:rFonts w:eastAsia="Calibri" w:cs="Times New Roman"/>
          <w:lang w:val="en-US"/>
        </w:rPr>
        <w:t>According to RoboGlobal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Sensohive with sensing and CorePath robotics with computing and programing but according to the data there are not yet significant industries around them. The global penetration of Universal Robots makes a stream for the creation of related industries.</w:t>
      </w:r>
    </w:p>
    <w:p>
      <w:pPr>
        <w:pStyle w:val="Normal"/>
        <w:spacing w:lineRule="auto" w:line="360"/>
        <w:rPr>
          <w:rFonts w:ascii="Times New Roman" w:hAnsi="Times New Roman" w:eastAsia="Calibri" w:cs="Times New Roman"/>
          <w:lang w:val="en-US"/>
        </w:rPr>
      </w:pPr>
      <w:r>
        <w:rPr/>
        <w:drawing>
          <wp:inline distT="0" distB="0" distL="0" distR="0">
            <wp:extent cx="7248525" cy="4293235"/>
            <wp:effectExtent l="0" t="0" r="0" b="0"/>
            <wp:docPr id="8" name="Εικόνα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29" descr=""/>
                    <pic:cNvPicPr>
                      <a:picLocks noChangeAspect="1" noChangeArrowheads="1"/>
                    </pic:cNvPicPr>
                  </pic:nvPicPr>
                  <pic:blipFill>
                    <a:blip r:embed="rId17"/>
                    <a:stretch>
                      <a:fillRect/>
                    </a:stretch>
                  </pic:blipFill>
                  <pic:spPr bwMode="auto">
                    <a:xfrm>
                      <a:off x="0" y="0"/>
                      <a:ext cx="7248525" cy="4293235"/>
                    </a:xfrm>
                    <a:prstGeom prst="rect">
                      <a:avLst/>
                    </a:prstGeom>
                  </pic:spPr>
                </pic:pic>
              </a:graphicData>
            </a:graphic>
          </wp:inline>
        </w:drawing>
      </w:r>
    </w:p>
    <w:p>
      <w:pPr>
        <w:pStyle w:val="Normal"/>
        <w:spacing w:lineRule="auto" w:line="360"/>
        <w:rPr>
          <w:rFonts w:ascii="Times New Roman" w:hAnsi="Times New Roman" w:eastAsia="Calibri" w:cs="Times New Roman"/>
          <w:lang w:val="en-US"/>
        </w:rPr>
      </w:pPr>
      <w:r>
        <w:rPr>
          <w:rFonts w:eastAsia="Calibri" w:cs="Times New Roman"/>
          <w:lang w:val="en-US"/>
        </w:rPr>
        <w:t>The linkages in the value chains of firms and their suppliers are important to competitive advantage and they are facilitated if the essential activities and senior management of suppliers are located nearby (Michael E. Porter, 1990). According to the interviewees, local suppliers exist to some extent around Fyn but the globalized market lets the space search for the most efficient way of building their products.</w:t>
      </w:r>
    </w:p>
    <w:p>
      <w:pPr>
        <w:pStyle w:val="Normal"/>
        <w:spacing w:lineRule="auto" w:line="360"/>
        <w:rPr>
          <w:rFonts w:ascii="Times New Roman" w:hAnsi="Times New Roman" w:eastAsia="Calibri" w:cs="Times New Roman"/>
          <w:i/>
          <w:i/>
          <w:lang w:val="en-US"/>
        </w:rPr>
      </w:pPr>
      <w:r>
        <w:rPr>
          <w:rFonts w:eastAsia="Calibri" w:cs="Times New Roman"/>
          <w:i/>
          <w:lang w:val="en-US"/>
        </w:rPr>
        <w:t xml:space="preserve">Casper: For example our plastic supplier is 5 km from here and we were actually working together with companies in China. </w:t>
      </w:r>
    </w:p>
    <w:p>
      <w:pPr>
        <w:pStyle w:val="Normal"/>
        <w:spacing w:lineRule="auto" w:line="360"/>
        <w:rPr>
          <w:rFonts w:ascii="Times New Roman" w:hAnsi="Times New Roman" w:eastAsia="Calibri" w:cs="Times New Roman"/>
          <w:i/>
          <w:i/>
          <w:lang w:val="en-US"/>
        </w:rPr>
      </w:pPr>
      <w:r>
        <w:rPr>
          <w:rFonts w:eastAsia="Calibri" w:cs="Times New Roman"/>
          <w:i/>
          <w:lang w:val="en-US"/>
        </w:rPr>
        <w:t>Tommy:</w:t>
      </w:r>
      <w:r>
        <w:rPr>
          <w:rFonts w:eastAsia="Calibri" w:cs="Times New Roman"/>
          <w:lang w:val="en-US"/>
        </w:rPr>
        <w:t xml:space="preserve"> </w:t>
      </w:r>
      <w:r>
        <w:rPr>
          <w:rFonts w:eastAsia="Calibri" w:cs="Times New Roman"/>
          <w:i/>
          <w:lang w:val="en-US"/>
        </w:rPr>
        <w:t>We asked some local companies here in Odense and it was very expensive. If they should do it maybe cost, I don’t know, 30000 and this guy did it for 1500.</w:t>
      </w:r>
    </w:p>
    <w:p>
      <w:pPr>
        <w:pStyle w:val="Heading1"/>
        <w:rPr>
          <w:rFonts w:eastAsia="Calibri"/>
          <w:lang w:val="en-US"/>
        </w:rPr>
      </w:pPr>
      <w:bookmarkStart w:id="530" w:name="_Toc459977514"/>
      <w:bookmarkStart w:id="531" w:name="__RefHeading___Toc5814_427358540"/>
      <w:bookmarkEnd w:id="530"/>
      <w:bookmarkEnd w:id="531"/>
      <w:r>
        <w:rPr>
          <w:rFonts w:eastAsia="Calibri"/>
          <w:lang w:val="en-US"/>
        </w:rPr>
        <w:t>4.1.4 Firm Strategy, structure and Rivalry</w:t>
      </w:r>
    </w:p>
    <w:p>
      <w:pPr>
        <w:pStyle w:val="Normal"/>
        <w:spacing w:lineRule="auto" w:line="360"/>
        <w:rPr>
          <w:rFonts w:ascii="Times New Roman" w:hAnsi="Times New Roman" w:eastAsia="Calibri" w:cs="Times New Roman"/>
          <w:lang w:val="en-US"/>
        </w:rPr>
      </w:pPr>
      <w:r>
        <w:rPr>
          <w:rFonts w:eastAsia="Calibri" w:cs="Times New Roman"/>
          <w:lang w:val="en-US"/>
        </w:rPr>
        <w:t xml:space="preserve">The fourth determinant of national competitive advantage in an industry is the context in which firms are created, organized and managed and the nature of the local rivalry (Michael E. Porter, 1990). </w:t>
      </w:r>
    </w:p>
    <w:p>
      <w:pPr>
        <w:pStyle w:val="Normal"/>
        <w:spacing w:lineRule="auto" w:line="360"/>
        <w:rPr>
          <w:rFonts w:ascii="Times New Roman" w:hAnsi="Times New Roman" w:eastAsia="Calibri" w:cs="Times New Roman"/>
          <w:lang w:val="en-US"/>
        </w:rPr>
      </w:pPr>
      <w:r>
        <w:rPr>
          <w:rFonts w:eastAsia="Calibri"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63"/>
      <w:r>
        <w:rPr>
          <w:rFonts w:eastAsia="Calibri" w:cs="Times New Roman"/>
          <w:lang w:val="en-US"/>
        </w:rPr>
        <w:t>products</w:t>
      </w:r>
      <w:r>
        <w:rPr>
          <w:rFonts w:eastAsia="Calibri" w:cs="Times New Roman"/>
          <w:lang w:val="en-US"/>
        </w:rPr>
      </w:r>
      <w:commentRangeEnd w:id="63"/>
      <w:r>
        <w:commentReference w:id="63"/>
      </w:r>
      <w:r>
        <w:rPr>
          <w:rFonts w:eastAsia="Calibri" w:cs="Times New Roman"/>
          <w:lang w:val="en-US"/>
        </w:rPr>
        <w:t xml:space="preserve"> </w:t>
      </w:r>
    </w:p>
    <w:p>
      <w:pPr>
        <w:pStyle w:val="Normal"/>
        <w:spacing w:lineRule="auto" w:line="360"/>
        <w:rPr>
          <w:rFonts w:ascii="Times New Roman" w:hAnsi="Times New Roman" w:eastAsia="Calibri" w:cs="Times New Roman"/>
          <w:lang w:val="en-US"/>
        </w:rPr>
      </w:pPr>
      <w:r>
        <w:rPr>
          <w:rFonts w:eastAsia="Calibri" w:cs="Times New Roman"/>
          <w:lang w:val="en-US"/>
        </w:rPr>
        <w:t>The resent success of Universal Robots and the well-being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pPr>
        <w:pStyle w:val="Normal"/>
        <w:spacing w:lineRule="auto" w:line="360"/>
        <w:rPr>
          <w:rFonts w:ascii="Times New Roman" w:hAnsi="Times New Roman" w:eastAsia="Calibri" w:cs="Times New Roman"/>
          <w:i/>
          <w:i/>
          <w:lang w:val="en-US"/>
        </w:rPr>
      </w:pPr>
      <w:r>
        <w:rPr>
          <w:rFonts w:eastAsia="Calibri" w:cs="Times New Roman"/>
          <w:i/>
          <w:lang w:val="en-US"/>
        </w:rPr>
        <w:t>Mikkel: But what we have in Odense is some really strong role models. So we have companies who have really done that with success. And we can show those companies to the startups and say ok here is a role model how they have done it in UR. How they do it in MiR. How has OnRobots done it? How is Effimat done it?</w:t>
      </w:r>
    </w:p>
    <w:p>
      <w:pPr>
        <w:pStyle w:val="Normal"/>
        <w:spacing w:lineRule="auto" w:line="360"/>
        <w:rPr/>
      </w:pPr>
      <w:r>
        <w:rPr>
          <w:rFonts w:eastAsia="Calibri" w:cs="Times New Roman"/>
          <w:lang w:val="en-US"/>
        </w:rPr>
        <w:t>Entrepreneurship is an important determinant for increasing rivalry and the government has set the right initiatives to foster it. Government provides funding to foster startup activity and several stakeholders from private and public sectors are involved. According to Jimmy the CEO of CorePath Robotics, SDU and SDTI are the primer owners of the company that has also received 1 million Danish kroner funding from the European Union’s Automation boost program. SDTI(Syddansk Innovation) is an innovation incubator in the region of Southern Denmark that also has involved in the establishment of Universal Robotics in 2005</w:t>
      </w:r>
      <w:r>
        <w:fldChar w:fldCharType="begin"/>
      </w:r>
      <w:r>
        <w:instrText>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32" w:name="__Fieldmark__3345_783673585"/>
      <w:r>
        <w:rPr>
          <w:rFonts w:eastAsia="Calibri" w:cs="Times New Roman"/>
          <w:lang w:val="en-US"/>
        </w:rPr>
        <w:t>(</w:t>
      </w:r>
      <w:bookmarkStart w:id="533" w:name="__Fieldmark__3755_427358540"/>
      <w:r>
        <w:rPr>
          <w:rFonts w:eastAsia="Calibri" w:cs="Times New Roman"/>
          <w:lang w:val="en-US"/>
        </w:rPr>
        <w:t>Steno, 2016)</w:t>
      </w:r>
      <w:r>
        <w:rPr>
          <w:rFonts w:eastAsia="Calibri" w:cs="Times New Roman"/>
          <w:lang w:val="en-US"/>
        </w:rPr>
      </w:r>
      <w:r>
        <w:fldChar w:fldCharType="end"/>
      </w:r>
      <w:bookmarkEnd w:id="532"/>
      <w:bookmarkEnd w:id="533"/>
      <w:r>
        <w:rPr>
          <w:rFonts w:eastAsia="Calibri" w:cs="Times New Roman"/>
          <w:lang w:val="en-US"/>
        </w:rPr>
        <w:t>. Those diversified ownership structures with public and private capital showed the potentials both for companies and the state to contribute in high potential ideas for commercialization.</w:t>
      </w:r>
    </w:p>
    <w:p>
      <w:pPr>
        <w:pStyle w:val="Normal"/>
        <w:rPr>
          <w:rFonts w:eastAsia="Calibri"/>
          <w:b/>
          <w:b/>
          <w:lang w:val="en-US"/>
        </w:rPr>
      </w:pPr>
      <w:r>
        <w:rPr>
          <w:rFonts w:eastAsia="Calibri"/>
          <w:b/>
          <w:lang w:val="en-US"/>
        </w:rPr>
        <w:t xml:space="preserve">Chance </w:t>
      </w:r>
    </w:p>
    <w:p>
      <w:pPr>
        <w:pStyle w:val="Normal"/>
        <w:spacing w:lineRule="auto" w:line="360"/>
        <w:rPr>
          <w:rFonts w:ascii="Times New Roman" w:hAnsi="Times New Roman" w:eastAsia="Calibri" w:cs="Times New Roman"/>
          <w:lang w:val="en-US"/>
        </w:rPr>
      </w:pPr>
      <w:r>
        <w:rPr>
          <w:rFonts w:eastAsia="Calibri" w:cs="Times New Roman"/>
          <w:lang w:val="en-US"/>
        </w:rPr>
        <w:t>Those four determinants are the basis to describe the industrial environment around Robotics in Odense. Chance events can have a significant affect but is not in the core basis of discussion. Jimmy illustrated the point of a chance when I asked him about the reasons of the success of Universal Robots.</w:t>
      </w:r>
    </w:p>
    <w:p>
      <w:pPr>
        <w:pStyle w:val="Normal"/>
        <w:spacing w:lineRule="auto" w:line="360"/>
        <w:rPr>
          <w:rFonts w:ascii="Times New Roman" w:hAnsi="Times New Roman" w:eastAsia="Calibri" w:cs="Times New Roman"/>
          <w:i/>
          <w:i/>
          <w:lang w:val="en-US"/>
        </w:rPr>
      </w:pPr>
      <w:r>
        <w:rPr>
          <w:rFonts w:eastAsia="Calibri" w:cs="Times New Roman"/>
          <w:i/>
          <w:lang w:val="en-US"/>
        </w:rPr>
        <w:t>Interviewer: What is your thought about UR success?</w:t>
      </w:r>
    </w:p>
    <w:p>
      <w:pPr>
        <w:pStyle w:val="Normal"/>
        <w:spacing w:lineRule="auto" w:line="360"/>
        <w:rPr>
          <w:rFonts w:ascii="Times New Roman" w:hAnsi="Times New Roman" w:eastAsia="Calibri" w:cs="Times New Roman"/>
          <w:i/>
          <w:i/>
          <w:lang w:val="en-US"/>
        </w:rPr>
      </w:pPr>
      <w:r>
        <w:rPr>
          <w:rFonts w:eastAsia="Calibri" w:cs="Times New Roman"/>
          <w:i/>
          <w:lang w:val="en-US"/>
        </w:rPr>
        <w:t>Jimmy: So I know Esben Ostergaard the CTO. They spanned out of the university. I've seen them in the labs over all the years. So I kind of know their development there. If you ask Esben I think he will say that they got lucky [laughs]. I've heard him say that.</w:t>
      </w:r>
    </w:p>
    <w:p>
      <w:pPr>
        <w:pStyle w:val="Normal"/>
        <w:rPr>
          <w:rFonts w:eastAsia="Calibri"/>
          <w:b/>
          <w:b/>
          <w:lang w:val="en-US"/>
        </w:rPr>
      </w:pPr>
      <w:r>
        <w:rPr>
          <w:rFonts w:eastAsia="Calibri"/>
          <w:b/>
          <w:lang w:val="en-US"/>
        </w:rPr>
        <w:t>Government</w:t>
      </w:r>
    </w:p>
    <w:p>
      <w:pPr>
        <w:pStyle w:val="Normal"/>
        <w:spacing w:lineRule="auto" w:line="360"/>
        <w:rPr>
          <w:rFonts w:ascii="Times New Roman" w:hAnsi="Times New Roman" w:eastAsia="Calibri" w:cs="Times New Roman"/>
          <w:lang w:val="en-US"/>
        </w:rPr>
      </w:pPr>
      <w:r>
        <w:rPr>
          <w:rFonts w:eastAsia="Calibri"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 the ownership shapes of firms</w:t>
      </w:r>
      <w:r>
        <w:rPr>
          <w:rFonts w:eastAsia="Calibri" w:cs="Times New Roman"/>
          <w:i/>
          <w:lang w:val="en-US"/>
        </w:rPr>
        <w:t xml:space="preserve">. </w:t>
      </w:r>
    </w:p>
    <w:p>
      <w:pPr>
        <w:pStyle w:val="Heading1"/>
        <w:rPr>
          <w:rFonts w:eastAsia="Times New Roman"/>
          <w:lang w:val="en-US"/>
        </w:rPr>
      </w:pPr>
      <w:bookmarkStart w:id="534" w:name="_Toc459977515"/>
      <w:bookmarkStart w:id="535" w:name="__RefHeading___Toc5816_427358540"/>
      <w:bookmarkEnd w:id="534"/>
      <w:bookmarkEnd w:id="535"/>
      <w:r>
        <w:rPr>
          <w:rFonts w:eastAsia="Times New Roman"/>
          <w:lang w:val="en-US"/>
        </w:rPr>
        <w:t>4.2 Danish Innovation systems</w:t>
      </w:r>
    </w:p>
    <w:p>
      <w:pPr>
        <w:pStyle w:val="Normal"/>
        <w:spacing w:lineRule="auto" w:line="360"/>
        <w:rPr>
          <w:rFonts w:ascii="Times New Roman" w:hAnsi="Times New Roman" w:eastAsia="Calibri" w:cs="Times New Roman"/>
          <w:lang w:val="en-US"/>
        </w:rPr>
      </w:pPr>
      <w:r>
        <w:rPr>
          <w:rFonts w:eastAsia="Calibri" w:cs="Times New Roman"/>
          <w:lang w:val="en-US"/>
        </w:rPr>
        <w:t xml:space="preserve">Danish government has set initiatives for being competitive through productivity raise. According to the World’s economic forum </w:t>
      </w:r>
      <w:commentRangeStart w:id="64"/>
      <w:r>
        <w:rPr>
          <w:rFonts w:eastAsia="Calibri" w:cs="Times New Roman"/>
          <w:lang w:val="en-US"/>
        </w:rPr>
        <w:t xml:space="preserve">Global Competitiveness Report 2015–2016, </w:t>
      </w:r>
      <w:r>
        <w:rPr>
          <w:rFonts w:eastAsia="Calibri" w:cs="Times New Roman"/>
          <w:lang w:val="en-US"/>
        </w:rPr>
      </w:r>
      <w:commentRangeEnd w:id="64"/>
      <w:r>
        <w:commentReference w:id="64"/>
      </w:r>
      <w:r>
        <w:rPr>
          <w:rFonts w:eastAsia="Calibri" w:cs="Times New Roman"/>
          <w:lang w:val="en-US"/>
        </w:rPr>
        <w:t xml:space="preserve">Danish most problematic factors for doing business are the taxes rates and the complexity of tax regulations. The Report on </w:t>
      </w:r>
      <w:commentRangeStart w:id="65"/>
      <w:r>
        <w:rPr>
          <w:rFonts w:eastAsia="Calibri" w:cs="Times New Roman"/>
          <w:lang w:val="en-US"/>
        </w:rPr>
        <w:t xml:space="preserve">Growth and Competitiveness by the Danish ministry </w:t>
      </w:r>
      <w:r>
        <w:rPr>
          <w:rFonts w:eastAsia="Calibri" w:cs="Times New Roman"/>
          <w:lang w:val="en-US"/>
        </w:rPr>
      </w:r>
      <w:commentRangeEnd w:id="65"/>
      <w:r>
        <w:commentReference w:id="65"/>
      </w:r>
      <w:r>
        <w:rPr>
          <w:rFonts w:eastAsia="Calibri" w:cs="Times New Roman"/>
          <w:lang w:val="en-US"/>
        </w:rPr>
        <w:t xml:space="preserve">of business and growth 2016, identifies that despite Denmark has a high level of prosperity, growth in productivity has been relatively weak. </w:t>
      </w:r>
      <w:commentRangeStart w:id="66"/>
      <w:r>
        <w:rPr>
          <w:rFonts w:eastAsia="Calibri" w:cs="Times New Roman"/>
          <w:lang w:val="en-US"/>
        </w:rPr>
        <w:t xml:space="preserve">High productivity growth is a precondition for Denmark to keep up a steady rise in standards of living and maintain a high level of prosperity by international standards. </w:t>
      </w:r>
      <w:r>
        <w:rPr>
          <w:rFonts w:eastAsia="Calibri" w:cs="Times New Roman"/>
          <w:lang w:val="en-US"/>
        </w:rPr>
      </w:r>
      <w:commentRangeEnd w:id="66"/>
      <w:r>
        <w:commentReference w:id="66"/>
      </w:r>
      <w:r>
        <w:rPr>
          <w:rFonts w:eastAsia="Calibri" w:cs="Times New Roman"/>
          <w:lang w:val="en-US"/>
        </w:rPr>
        <w:t xml:space="preserve"> The report shows that Danish government has adopted a policy towards productivity with three main pillars as focus the Industrialization 4.0, the generation growth and the new global economy programs. </w:t>
      </w:r>
    </w:p>
    <w:p>
      <w:pPr>
        <w:pStyle w:val="Normal"/>
        <w:spacing w:lineRule="auto" w:line="360"/>
        <w:rPr/>
      </w:pPr>
      <w:r>
        <w:rPr>
          <w:rFonts w:eastAsia="Calibri" w:cs="Times New Roman"/>
          <w:lang w:val="en-US"/>
        </w:rPr>
        <w:t>The model of establishing time limited process and institutions to deal with specific issues relating to Danish competitiveness has worked well, in combination with ongoing analysis of the Danish economy from economic agencies</w:t>
      </w:r>
      <w:r>
        <w:fldChar w:fldCharType="begin"/>
      </w:r>
      <w:r>
        <w:instrText>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w:instrText>
      </w:r>
      <w:r>
        <w:fldChar w:fldCharType="separate"/>
      </w:r>
      <w:bookmarkStart w:id="536" w:name="__Fieldmark__3384_783673585"/>
      <w:r>
        <w:rPr>
          <w:rFonts w:eastAsia="Calibri" w:cs="Times New Roman"/>
          <w:lang w:val="en-US"/>
        </w:rPr>
        <w:t>(</w:t>
      </w:r>
      <w:bookmarkStart w:id="537" w:name="__Fieldmark__3806_427358540"/>
      <w:r>
        <w:rPr>
          <w:rFonts w:eastAsia="Calibri" w:cs="Times New Roman"/>
          <w:lang w:val="en-US"/>
        </w:rPr>
        <w:t>Ketels, 2016)</w:t>
      </w:r>
      <w:r>
        <w:rPr>
          <w:rFonts w:eastAsia="Calibri" w:cs="Times New Roman"/>
          <w:lang w:val="en-US"/>
        </w:rPr>
      </w:r>
      <w:r>
        <w:fldChar w:fldCharType="end"/>
      </w:r>
      <w:bookmarkEnd w:id="536"/>
      <w:bookmarkEnd w:id="537"/>
      <w:r>
        <w:rPr>
          <w:rFonts w:eastAsia="Calibri" w:cs="Times New Roman"/>
          <w:lang w:val="en-US"/>
        </w:rPr>
        <w:t>. Government sponsorship and involvement means that they are well integrated into the policy process, and the three examples discussed above have had meaningful impact on policy choices.</w:t>
      </w:r>
      <w:r>
        <w:fldChar w:fldCharType="begin"/>
      </w:r>
      <w:r>
        <w:instrText>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w:instrText>
      </w:r>
      <w:r>
        <w:fldChar w:fldCharType="separate"/>
      </w:r>
      <w:bookmarkStart w:id="538" w:name="__Fieldmark__3391_783673585"/>
      <w:r>
        <w:rPr>
          <w:rFonts w:eastAsia="Calibri" w:cs="Times New Roman"/>
          <w:lang w:val="en-US"/>
        </w:rPr>
        <w:t>(</w:t>
      </w:r>
      <w:bookmarkStart w:id="539" w:name="__Fieldmark__3811_427358540"/>
      <w:r>
        <w:rPr>
          <w:rFonts w:eastAsia="Calibri" w:cs="Times New Roman"/>
          <w:lang w:val="en-US"/>
        </w:rPr>
        <w:t>Ketels, 2016)</w:t>
      </w:r>
      <w:r>
        <w:rPr>
          <w:rFonts w:eastAsia="Calibri" w:cs="Times New Roman"/>
          <w:lang w:val="en-US"/>
        </w:rPr>
      </w:r>
      <w:r>
        <w:fldChar w:fldCharType="end"/>
      </w:r>
      <w:bookmarkEnd w:id="538"/>
      <w:bookmarkEnd w:id="539"/>
      <w:r>
        <w:rPr>
          <w:rFonts w:eastAsia="Calibri" w:cs="Times New Roman"/>
          <w:lang w:val="en-US"/>
        </w:rPr>
        <w:t xml:space="preserve"> However, this model does mean that there is not an independent body with strong economic capacity to engage on competitiveness issues on an ongoing basis and to shape the policy debate and agenda.</w:t>
      </w:r>
      <w:r>
        <w:fldChar w:fldCharType="begin"/>
      </w:r>
      <w:r>
        <w:instrText>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w:instrText>
      </w:r>
      <w:r>
        <w:fldChar w:fldCharType="separate"/>
      </w:r>
      <w:bookmarkStart w:id="540" w:name="__Fieldmark__3398_783673585"/>
      <w:r>
        <w:rPr>
          <w:rFonts w:eastAsia="Calibri" w:cs="Times New Roman"/>
          <w:lang w:val="en-US"/>
        </w:rPr>
        <w:t>(</w:t>
      </w:r>
      <w:bookmarkStart w:id="541" w:name="__Fieldmark__3816_427358540"/>
      <w:r>
        <w:rPr>
          <w:rFonts w:eastAsia="Calibri" w:cs="Times New Roman"/>
          <w:lang w:val="en-US"/>
        </w:rPr>
        <w:t>Ketels, 2016)</w:t>
      </w:r>
      <w:bookmarkEnd w:id="540"/>
      <w:bookmarkEnd w:id="541"/>
      <w:r>
        <w:rPr>
          <w:rFonts w:eastAsia="Calibri" w:cs="Times New Roman"/>
          <w:lang w:val="en-US"/>
        </w:rPr>
      </w:r>
      <w:r>
        <w:fldChar w:fldCharType="end"/>
      </w:r>
    </w:p>
    <w:p>
      <w:pPr>
        <w:pStyle w:val="Normal"/>
        <w:spacing w:lineRule="auto" w:line="360"/>
        <w:rPr/>
      </w:pPr>
      <w:r>
        <w:rPr>
          <w:rFonts w:eastAsia="Calibri" w:cs="Times New Roman"/>
          <w:lang w:val="en-US"/>
        </w:rPr>
        <w:t xml:space="preserve">The above diamond analysis could be applied in three different levels based on the concept of notional (NIS), regional (RSI) and sectoral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Jutland-Funen territory </w:t>
      </w:r>
      <w:r>
        <w:fldChar w:fldCharType="begin"/>
      </w:r>
      <w:r>
        <w:instrText>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w:instrText>
      </w:r>
      <w:r>
        <w:fldChar w:fldCharType="separate"/>
      </w:r>
      <w:bookmarkStart w:id="542" w:name="__Fieldmark__3406_783673585"/>
      <w:r>
        <w:rPr>
          <w:rFonts w:eastAsia="Calibri" w:cs="Times New Roman"/>
          <w:lang w:val="en-US"/>
        </w:rPr>
      </w:r>
      <w:r>
        <w:rPr>
          <w:rFonts w:eastAsia="Calibri" w:cs="Times New Roman"/>
          <w:szCs w:val="24"/>
          <w:lang w:val="en-US"/>
        </w:rPr>
        <w:t>(</w:t>
      </w:r>
      <w:bookmarkStart w:id="543" w:name="__Fieldmark__3822_427358540"/>
      <w:r>
        <w:rPr>
          <w:rFonts w:eastAsia="Calibri" w:cs="Times New Roman"/>
          <w:szCs w:val="24"/>
          <w:lang w:val="en-US"/>
        </w:rPr>
        <w:t>Rushforth, Jørgensen, Arbo, &amp; Puukka, 2006)</w:t>
      </w:r>
      <w:r>
        <w:rPr>
          <w:rFonts w:eastAsia="Calibri" w:cs="Times New Roman"/>
          <w:lang w:val="en-US"/>
        </w:rPr>
      </w:r>
      <w:r>
        <w:fldChar w:fldCharType="end"/>
      </w:r>
      <w:bookmarkEnd w:id="542"/>
      <w:bookmarkEnd w:id="543"/>
      <w:r>
        <w:rPr>
          <w:rFonts w:eastAsia="Calibri"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pPr>
        <w:pStyle w:val="Normal"/>
        <w:spacing w:lineRule="auto" w:line="360"/>
        <w:rPr/>
      </w:pPr>
      <w:r>
        <w:rPr>
          <w:rFonts w:eastAsia="Calibri" w:cs="Times New Roman"/>
          <w:lang w:val="en-US"/>
        </w:rPr>
        <w:t xml:space="preserve">According to Edquist  2005,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sectoral innovation system (SIS) can be viewed as complementing each other rather than excluding each other </w:t>
      </w:r>
      <w:r>
        <w:fldChar w:fldCharType="begin"/>
      </w:r>
      <w:r>
        <w:instrText>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w:instrText>
      </w:r>
      <w:r>
        <w:fldChar w:fldCharType="separate"/>
      </w:r>
      <w:bookmarkStart w:id="544" w:name="__Fieldmark__3415_783673585"/>
      <w:r>
        <w:rPr>
          <w:rFonts w:eastAsia="Calibri" w:cs="Times New Roman"/>
          <w:lang w:val="en-US"/>
        </w:rPr>
        <w:t>(</w:t>
      </w:r>
      <w:bookmarkStart w:id="545" w:name="__Fieldmark__3829_427358540"/>
      <w:r>
        <w:rPr>
          <w:rFonts w:eastAsia="Calibri" w:cs="Times New Roman"/>
          <w:lang w:val="en-US"/>
        </w:rPr>
        <w:t>Edquist, 1997)</w:t>
      </w:r>
      <w:r>
        <w:rPr>
          <w:rFonts w:eastAsia="Calibri" w:cs="Times New Roman"/>
          <w:lang w:val="en-US"/>
        </w:rPr>
      </w:r>
      <w:r>
        <w:fldChar w:fldCharType="end"/>
      </w:r>
      <w:bookmarkEnd w:id="544"/>
      <w:bookmarkEnd w:id="545"/>
      <w:r>
        <w:rPr>
          <w:rFonts w:eastAsia="Calibri" w:cs="Times New Roman"/>
          <w:lang w:val="en-US"/>
        </w:rPr>
        <w:t>. Figure X, provides a simple representation Danish innovation system boundaries that includes the national innovation policy for competitiveness that is distributed to regional innovation initiatives before it concludes to cluster’s formation.</w:t>
      </w:r>
    </w:p>
    <w:p>
      <w:pPr>
        <w:pStyle w:val="Normal"/>
        <w:keepNext/>
        <w:spacing w:lineRule="auto" w:line="360"/>
        <w:rPr/>
      </w:pPr>
      <w:r>
        <w:rPr>
          <w:rFonts w:eastAsia="Calibri" w:cs="Times New Roman"/>
          <w:lang w:val="en-US"/>
        </w:rPr>
        <w:t xml:space="preserve"> </w:t>
      </w:r>
      <w:r>
        <w:rPr>
          <w:rFonts w:eastAsia="Calibri" w:cs="Times New Roman"/>
          <w:lang w:val="en-US"/>
        </w:rPr>
        <w:drawing>
          <wp:inline distT="0" distB="0" distL="0" distR="0" wp14:anchorId="32C99230">
            <wp:extent cx="5189855" cy="2701925"/>
            <wp:effectExtent l="0" t="0" r="0" b="0"/>
            <wp:docPr id="9" name="Diagram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7</w:t>
      </w:r>
      <w:r>
        <w:fldChar w:fldCharType="end"/>
      </w:r>
      <w:r>
        <w:rPr>
          <w:lang w:val="en-US"/>
        </w:rPr>
        <w:t xml:space="preserve"> The Danish Innovation Systems</w:t>
      </w:r>
    </w:p>
    <w:p>
      <w:pPr>
        <w:pStyle w:val="Normal"/>
        <w:spacing w:lineRule="auto" w:line="360"/>
        <w:rPr/>
      </w:pPr>
      <w:r>
        <w:rPr>
          <w:rFonts w:eastAsia="Calibri" w:cs="Times New Roman"/>
          <w:lang w:val="en-US"/>
        </w:rPr>
        <w:t xml:space="preserve">National innovation systems are crucial for understanding national competitiveness and competitive advantage </w:t>
      </w:r>
      <w:r>
        <w:fldChar w:fldCharType="begin"/>
      </w:r>
      <w:r>
        <w:instrText>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w:instrText>
      </w:r>
      <w:r>
        <w:fldChar w:fldCharType="separate"/>
      </w:r>
      <w:bookmarkStart w:id="546" w:name="__Fieldmark__3432_783673585"/>
      <w:r>
        <w:rPr>
          <w:rFonts w:eastAsia="Calibri" w:cs="Times New Roman"/>
          <w:lang w:val="en-US"/>
        </w:rPr>
        <w:t>(</w:t>
      </w:r>
      <w:bookmarkStart w:id="547" w:name="__Fieldmark__3844_427358540"/>
      <w:r>
        <w:rPr>
          <w:rFonts w:eastAsia="Calibri" w:cs="Times New Roman"/>
          <w:lang w:val="en-US"/>
        </w:rPr>
        <w:t>Edquist, 2001)</w:t>
      </w:r>
      <w:r>
        <w:rPr>
          <w:rFonts w:eastAsia="Calibri" w:cs="Times New Roman"/>
          <w:lang w:val="en-US"/>
        </w:rPr>
      </w:r>
      <w:r>
        <w:fldChar w:fldCharType="end"/>
      </w:r>
      <w:bookmarkEnd w:id="546"/>
      <w:bookmarkEnd w:id="547"/>
      <w:r>
        <w:rPr>
          <w:rFonts w:eastAsia="Calibri" w:cs="Times New Roman"/>
          <w:lang w:val="en-US"/>
        </w:rPr>
        <w:t xml:space="preserve">. According to the Research and Innovation Observatory Denmark country report of 2015, the Danish research &amp; innovation (R&amp;I) system has expanded over the last 20 years and its R&amp;D intensity is now one of the highest in the EU but there are concerns about the Danish economy surrounding weak productivity growth. Denmark's Innovation Strategy 2012-2020 aims to shift to a demand-driven innovation policy, enhancing knowledge flows and improving education </w:t>
      </w:r>
      <w:r>
        <w:fldChar w:fldCharType="begin"/>
      </w:r>
      <w:r>
        <w:instrText>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w:instrText>
      </w:r>
      <w:r>
        <w:fldChar w:fldCharType="separate"/>
      </w:r>
      <w:bookmarkStart w:id="548" w:name="__Fieldmark__3439_783673585"/>
      <w:r>
        <w:rPr>
          <w:rFonts w:eastAsia="Calibri" w:cs="Times New Roman"/>
          <w:lang w:val="en-US"/>
        </w:rPr>
      </w:r>
      <w:r>
        <w:rPr>
          <w:rFonts w:eastAsia="Calibri" w:cs="Times New Roman"/>
          <w:szCs w:val="24"/>
          <w:lang w:val="en-US"/>
        </w:rPr>
        <w:t>(</w:t>
      </w:r>
      <w:bookmarkStart w:id="549" w:name="__Fieldmark__3852_427358540"/>
      <w:r>
        <w:rPr>
          <w:rFonts w:eastAsia="Calibri" w:cs="Times New Roman"/>
          <w:szCs w:val="24"/>
          <w:lang w:val="en-US"/>
        </w:rPr>
        <w:t>“European Commission-RIO,” 2016)</w:t>
      </w:r>
      <w:r>
        <w:rPr>
          <w:rFonts w:eastAsia="Calibri" w:cs="Times New Roman"/>
          <w:lang w:val="en-US"/>
        </w:rPr>
      </w:r>
      <w:r>
        <w:fldChar w:fldCharType="end"/>
      </w:r>
      <w:bookmarkEnd w:id="548"/>
      <w:bookmarkEnd w:id="549"/>
      <w:r>
        <w:rPr>
          <w:rFonts w:eastAsia="Calibri"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fldChar w:fldCharType="begin"/>
      </w:r>
      <w:r>
        <w:instrText>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w:instrText>
      </w:r>
      <w:r>
        <w:fldChar w:fldCharType="separate"/>
      </w:r>
      <w:bookmarkStart w:id="550" w:name="__Fieldmark__3446_783673585"/>
      <w:r>
        <w:rPr>
          <w:rFonts w:eastAsia="Calibri" w:cs="Times New Roman"/>
          <w:lang w:val="en-US"/>
        </w:rPr>
      </w:r>
      <w:r>
        <w:rPr>
          <w:rFonts w:eastAsia="Calibri" w:cs="Times New Roman"/>
          <w:szCs w:val="24"/>
          <w:lang w:val="en-US"/>
        </w:rPr>
        <w:t>(</w:t>
      </w:r>
      <w:bookmarkStart w:id="551" w:name="__Fieldmark__3857_427358540"/>
      <w:r>
        <w:rPr>
          <w:rFonts w:eastAsia="Calibri" w:cs="Times New Roman"/>
          <w:szCs w:val="24"/>
          <w:lang w:val="en-US"/>
        </w:rPr>
        <w:t>“European Commission-RIO,” 2016)</w:t>
      </w:r>
      <w:bookmarkEnd w:id="550"/>
      <w:bookmarkEnd w:id="551"/>
      <w:r>
        <w:rPr>
          <w:rFonts w:eastAsia="Calibri" w:cs="Times New Roman"/>
          <w:lang w:val="en-US"/>
        </w:rPr>
      </w:r>
      <w:r>
        <w:fldChar w:fldCharType="end"/>
      </w:r>
    </w:p>
    <w:p>
      <w:pPr>
        <w:pStyle w:val="Normal"/>
        <w:spacing w:lineRule="auto" w:line="360"/>
        <w:rPr/>
      </w:pPr>
      <w:r>
        <w:rPr>
          <w:rFonts w:eastAsia="Calibri" w:cs="Times New Roman"/>
          <w:lang w:val="en-US"/>
        </w:rPr>
        <w:t>Danish government has set up initiatives to strength the nation’s competitive advantages in three pillars. Initiatives that target private R&amp;D investments and public research commercialization are supported by the Innovation Fund Denmark with its InnoBooster program for SMEs to interact with public science, and innovation networks to support demonstration facilities</w:t>
      </w:r>
      <w:r>
        <w:fldChar w:fldCharType="begin"/>
      </w:r>
      <w:r>
        <w:instrText>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w:instrText>
      </w:r>
      <w:r>
        <w:fldChar w:fldCharType="separate"/>
      </w:r>
      <w:bookmarkStart w:id="552" w:name="__Fieldmark__3454_783673585"/>
      <w:r>
        <w:rPr>
          <w:rFonts w:eastAsia="Calibri" w:cs="Times New Roman"/>
          <w:lang w:val="en-US"/>
        </w:rPr>
      </w:r>
      <w:r>
        <w:rPr>
          <w:rFonts w:eastAsia="Calibri" w:cs="Times New Roman"/>
          <w:szCs w:val="24"/>
          <w:lang w:val="en-US"/>
        </w:rPr>
        <w:t>(</w:t>
      </w:r>
      <w:bookmarkStart w:id="553" w:name="__Fieldmark__3863_427358540"/>
      <w:r>
        <w:rPr>
          <w:rFonts w:eastAsia="Calibri" w:cs="Times New Roman"/>
          <w:szCs w:val="24"/>
          <w:lang w:val="en-US"/>
        </w:rPr>
        <w:t>“European Commission-RIO,” 2016)</w:t>
      </w:r>
      <w:r>
        <w:rPr>
          <w:rFonts w:eastAsia="Calibri" w:cs="Times New Roman"/>
          <w:lang w:val="en-US"/>
        </w:rPr>
      </w:r>
      <w:r>
        <w:fldChar w:fldCharType="end"/>
      </w:r>
      <w:bookmarkEnd w:id="552"/>
      <w:bookmarkEnd w:id="553"/>
      <w:r>
        <w:rPr>
          <w:rFonts w:eastAsia="Calibri" w:cs="Times New Roman"/>
          <w:lang w:val="en-US"/>
        </w:rPr>
        <w:t>. CorePath robotics the university spin off company participated in the InnoBooster program receiving funds of 1 million Danish kroner. SensoHive got also into national financial support from the program Entrepreneurial Pilots for young graduates who wish to explore the possibility of creating a start-up under the Innovation Fund Denmark.</w:t>
      </w:r>
    </w:p>
    <w:p>
      <w:pPr>
        <w:pStyle w:val="Normal"/>
        <w:spacing w:lineRule="auto" w:line="360"/>
        <w:rPr/>
      </w:pPr>
      <w:r>
        <w:rPr>
          <w:rFonts w:eastAsia="Calibri"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fldChar w:fldCharType="begin"/>
      </w:r>
      <w:r>
        <w:instrText>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w:instrText>
      </w:r>
      <w:r>
        <w:fldChar w:fldCharType="separate"/>
      </w:r>
      <w:bookmarkStart w:id="554" w:name="__Fieldmark__3463_783673585"/>
      <w:r>
        <w:rPr>
          <w:rFonts w:eastAsia="Calibri" w:cs="Times New Roman"/>
          <w:lang w:val="en-US"/>
        </w:rPr>
      </w:r>
      <w:r>
        <w:rPr>
          <w:rFonts w:eastAsia="Calibri" w:cs="Times New Roman"/>
          <w:szCs w:val="24"/>
          <w:lang w:val="en-US"/>
        </w:rPr>
        <w:t>(</w:t>
      </w:r>
      <w:bookmarkStart w:id="555" w:name="__Fieldmark__3870_427358540"/>
      <w:r>
        <w:rPr>
          <w:rFonts w:eastAsia="Calibri" w:cs="Times New Roman"/>
          <w:szCs w:val="24"/>
          <w:lang w:val="en-US"/>
        </w:rPr>
        <w:t>“ICDK,” n.d.)</w:t>
      </w:r>
      <w:r>
        <w:rPr>
          <w:rFonts w:eastAsia="Calibri" w:cs="Times New Roman"/>
          <w:lang w:val="en-US"/>
        </w:rPr>
      </w:r>
      <w:r>
        <w:fldChar w:fldCharType="end"/>
      </w:r>
      <w:bookmarkEnd w:id="554"/>
      <w:bookmarkEnd w:id="555"/>
      <w:r>
        <w:rPr>
          <w:rFonts w:eastAsia="Calibri" w:cs="Times New Roman"/>
          <w:lang w:val="en-US"/>
        </w:rPr>
        <w:t>.</w:t>
      </w:r>
    </w:p>
    <w:p>
      <w:pPr>
        <w:pStyle w:val="Normal"/>
        <w:spacing w:lineRule="auto" w:line="360"/>
        <w:rPr/>
      </w:pPr>
      <w:r>
        <w:rPr>
          <w:rFonts w:eastAsia="Calibri"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fldChar w:fldCharType="begin"/>
      </w:r>
      <w:r>
        <w:instrText>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w:instrText>
      </w:r>
      <w:r>
        <w:fldChar w:fldCharType="separate"/>
      </w:r>
      <w:bookmarkStart w:id="556" w:name="__Fieldmark__3472_783673585"/>
      <w:r>
        <w:rPr>
          <w:rFonts w:eastAsia="Calibri" w:cs="Times New Roman"/>
          <w:lang w:val="en-US"/>
        </w:rPr>
      </w:r>
      <w:r>
        <w:rPr>
          <w:rFonts w:eastAsia="Calibri" w:cs="Times New Roman"/>
          <w:szCs w:val="24"/>
          <w:lang w:val="en-US"/>
        </w:rPr>
        <w:t>(</w:t>
      </w:r>
      <w:bookmarkStart w:id="557" w:name="__Fieldmark__3877_427358540"/>
      <w:r>
        <w:rPr>
          <w:rFonts w:eastAsia="Calibri" w:cs="Times New Roman"/>
          <w:szCs w:val="24"/>
          <w:lang w:val="en-US"/>
        </w:rPr>
        <w:t>“European Commission-RIO,” 2016)</w:t>
      </w:r>
      <w:bookmarkEnd w:id="556"/>
      <w:bookmarkEnd w:id="557"/>
      <w:r>
        <w:rPr>
          <w:rFonts w:eastAsia="Calibri" w:cs="Times New Roman"/>
          <w:lang w:val="en-US"/>
        </w:rPr>
      </w:r>
      <w:r>
        <w:fldChar w:fldCharType="end"/>
      </w:r>
    </w:p>
    <w:p>
      <w:pPr>
        <w:pStyle w:val="Normal"/>
        <w:spacing w:lineRule="auto" w:line="360"/>
        <w:rPr/>
      </w:pPr>
      <w:r>
        <w:rPr>
          <w:rFonts w:eastAsia="Calibri"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Edquist, 2001). The region of Southern Denmark is capturing Odense robotics cluster as the main businesses are located around the island of Fynen. The region of Southern Denmark has a population of 1.2 million people, which corresponds to 21% of the Danish population </w:t>
      </w:r>
      <w:r>
        <w:fldChar w:fldCharType="begin"/>
      </w:r>
      <w:r>
        <w:instrText>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w:instrText>
      </w:r>
      <w:r>
        <w:fldChar w:fldCharType="separate"/>
      </w:r>
      <w:bookmarkStart w:id="558" w:name="__Fieldmark__3480_783673585"/>
      <w:r>
        <w:rPr>
          <w:rFonts w:eastAsia="Calibri" w:cs="Times New Roman"/>
          <w:lang w:val="en-US"/>
        </w:rPr>
        <w:t>(</w:t>
      </w:r>
      <w:bookmarkStart w:id="559" w:name="__Fieldmark__3887_427358540"/>
      <w:r>
        <w:rPr>
          <w:rFonts w:eastAsia="Calibri" w:cs="Times New Roman"/>
          <w:lang w:val="en-US"/>
        </w:rPr>
        <w:t>CamillaHansen, 2012)</w:t>
      </w:r>
      <w:r>
        <w:rPr>
          <w:rFonts w:eastAsia="Calibri" w:cs="Times New Roman"/>
          <w:lang w:val="en-US"/>
        </w:rPr>
      </w:r>
      <w:r>
        <w:fldChar w:fldCharType="end"/>
      </w:r>
      <w:bookmarkEnd w:id="558"/>
      <w:bookmarkEnd w:id="559"/>
      <w:r>
        <w:rPr>
          <w:rFonts w:eastAsia="Calibri" w:cs="Times New Roman"/>
          <w:lang w:val="en-US"/>
        </w:rPr>
        <w:t xml:space="preserve">. The most important organization for developing and implementing the regional strategies is the Southern Denmark Growth Forum targeting to influence the commercial development of the region. According to Region Syddanmark, the regional business development strategy is financed with 75% from the central government and 25% from the municipalities. This fact shows the link between national and regional innovation system. </w:t>
      </w:r>
    </w:p>
    <w:p>
      <w:pPr>
        <w:pStyle w:val="Normal"/>
        <w:spacing w:lineRule="auto" w:line="360"/>
        <w:rPr>
          <w:rFonts w:ascii="Times New Roman" w:hAnsi="Times New Roman" w:eastAsia="Calibri" w:cs="Times New Roman"/>
          <w:lang w:val="en-US"/>
        </w:rPr>
      </w:pPr>
      <w:commentRangeStart w:id="67"/>
      <w:r>
        <w:rPr>
          <w:rFonts w:eastAsia="Calibri" w:cs="Times New Roman"/>
          <w:lang w:val="en-US"/>
        </w:rPr>
        <w:t>The growth forum has prepared a development strategy and an action plan that focuses on initiatives within areas such as sustainable energy, experience economy and welfare and health innovation. Developing Fyn (Udvikling Fyn) and SDTI (Syddansk Innovation) are two entities focused in the regional competitive advantages trying to facilitate the procedures for growth and innovation in specific areas of interest where local industries meet high potentials</w:t>
      </w:r>
      <w:r>
        <w:rPr>
          <w:rFonts w:eastAsia="Calibri" w:cs="Times New Roman"/>
          <w:lang w:val="en-US"/>
        </w:rPr>
      </w:r>
      <w:commentRangeEnd w:id="67"/>
      <w:r>
        <w:commentReference w:id="67"/>
      </w:r>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 xml:space="preserve">A sectoral innovation system is a system constituted by parts of a RIS or NIS and it is delimited to a specific technology field or product area as well as a geographical delimitation (C. Edquist,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coming from the central government’s national innovation system. </w:t>
      </w:r>
    </w:p>
    <w:p>
      <w:pPr>
        <w:pStyle w:val="Normal"/>
        <w:spacing w:lineRule="auto" w:line="360"/>
        <w:rPr>
          <w:rFonts w:ascii="Times New Roman" w:hAnsi="Times New Roman" w:eastAsia="Calibri" w:cs="Times New Roman"/>
          <w:lang w:val="en-US"/>
        </w:rPr>
      </w:pPr>
      <w:r>
        <w:rPr>
          <w:rFonts w:eastAsia="Calibri" w:cs="Times New Roman"/>
          <w:lang w:val="en-US"/>
        </w:rPr>
        <w:t>The distinction between the three innovation systems and the interdependencies among them helps the study to understand the value creation that is driven by the top policies. A sectoral innovation system is formulated by using resources and policy initiatives that are pre-constructed. The national innovation system can explain the rapid funding that Sensohive awarded only one month after its foundation. The regional innovation system identified early the potentials of Universal Robots facilitating its growth progress also by providing funds through SDTI in 2005. Sectoral innovation systems have a more specialized role as they capture the unique attributes of a specific technology building on that a framework for growth and development.</w:t>
      </w:r>
    </w:p>
    <w:p>
      <w:pPr>
        <w:pStyle w:val="Heading1"/>
        <w:rPr>
          <w:rFonts w:eastAsia="Times New Roman"/>
          <w:lang w:val="en-US"/>
        </w:rPr>
      </w:pPr>
      <w:bookmarkStart w:id="560" w:name="_Toc459977516"/>
      <w:bookmarkStart w:id="561" w:name="__RefHeading___Toc5818_427358540"/>
      <w:bookmarkEnd w:id="561"/>
      <w:r>
        <w:rPr>
          <w:rFonts w:eastAsia="Times New Roman"/>
          <w:lang w:val="en-US"/>
        </w:rPr>
        <w:t>4.3 The Triple Helix Model</w:t>
      </w:r>
      <w:bookmarkEnd w:id="560"/>
      <w:r>
        <w:rPr>
          <w:rFonts w:eastAsia="Times New Roman"/>
          <w:lang w:val="en-US"/>
        </w:rPr>
        <w:t xml:space="preserve"> </w:t>
      </w:r>
    </w:p>
    <w:p>
      <w:pPr>
        <w:pStyle w:val="Normal"/>
        <w:spacing w:lineRule="auto" w:line="360"/>
        <w:rPr/>
      </w:pPr>
      <w:r>
        <w:rPr>
          <w:lang w:val="en-US"/>
        </w:rPr>
        <w:t xml:space="preserve">The Triple Helix model is functioning in Odense Robotics cluster. It adopts the configuration that is depicted in Figure 9 in which the innovative environment consists of university spin-offs, tri-lateral initiatives, and strategic alliances between the actors </w:t>
      </w:r>
      <w:r>
        <w:fldChar w:fldCharType="begin"/>
      </w:r>
      <w:r>
        <w:instrText>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562" w:name="__Fieldmark__3503_783673585"/>
      <w:r>
        <w:rPr>
          <w:lang w:val="en-US"/>
        </w:rPr>
      </w:r>
      <w:r>
        <w:rPr>
          <w:rFonts w:cs="Times New Roman"/>
          <w:lang w:val="en-US"/>
        </w:rPr>
        <w:t>(</w:t>
      </w:r>
      <w:bookmarkStart w:id="563" w:name="__Fieldmark__3925_427358540"/>
      <w:r>
        <w:rPr>
          <w:rFonts w:cs="Times New Roman"/>
          <w:lang w:val="en-US"/>
        </w:rPr>
        <w:t>Etzkowitz &amp; Leydesdorff, 2000)</w:t>
      </w:r>
      <w:r>
        <w:rPr>
          <w:lang w:val="en-US"/>
        </w:rPr>
      </w:r>
      <w:r>
        <w:fldChar w:fldCharType="end"/>
      </w:r>
      <w:bookmarkEnd w:id="562"/>
      <w:bookmarkEnd w:id="563"/>
      <w:r>
        <w:rPr>
          <w:lang w:val="en-US"/>
        </w:rPr>
        <w:t>.</w:t>
      </w:r>
    </w:p>
    <w:p>
      <w:pPr>
        <w:pStyle w:val="Normal"/>
        <w:spacing w:lineRule="auto" w:line="360"/>
        <w:rPr>
          <w:lang w:val="en-US"/>
        </w:rPr>
      </w:pPr>
      <w:r>
        <w:rPr>
          <w:lang w:val="en-US"/>
        </w:rPr>
        <w:t>All the participants in the study, where moving inside the three Helices that the cycles of Academia, State and Industry create. Both the researchers (Lalrs-Peter and Mathias) in the helix of academia have strong collaboration with the industry helix as private companies are those which finance their research work. The Danish Technological institution, RoboCluster and Odense Robotics have their boarders inside the trilateral space in the core of the systems as they represent agreements between duo lateral or tri lateral initiatives. The 1990’s AMROSE project can be characterize as the first result of the collaboration between Industry, State and University showing that seeds for the tri-lateral networks and hybrid organizations adopted early in the cluster.</w:t>
      </w:r>
    </w:p>
    <w:p>
      <w:pPr>
        <w:pStyle w:val="Normal"/>
        <w:spacing w:lineRule="auto" w:line="360"/>
        <w:rPr>
          <w:lang w:val="en-US"/>
        </w:rPr>
      </w:pPr>
      <w:r>
        <w:rPr>
          <w:lang w:val="en-US"/>
        </w:rPr>
      </w:r>
    </w:p>
    <w:p>
      <w:pPr>
        <w:pStyle w:val="Normal"/>
        <w:spacing w:lineRule="auto" w:line="360"/>
        <w:rPr>
          <w:lang w:val="en-US"/>
        </w:rPr>
      </w:pPr>
      <w:r>
        <w:rPr>
          <w:lang w:val="en-US"/>
        </w:rPr>
      </w:r>
    </w:p>
    <w:p>
      <w:pPr>
        <w:pStyle w:val="Normal"/>
        <w:keepNext/>
        <w:spacing w:lineRule="auto" w:line="360"/>
        <w:rPr/>
      </w:pPr>
      <w:r>
        <w:rPr/>
        <w:drawing>
          <wp:inline distT="0" distB="0" distL="0" distR="0" wp14:anchorId="14102CBB">
            <wp:extent cx="5279390" cy="3080385"/>
            <wp:effectExtent l="0" t="0" r="0" b="0"/>
            <wp:docPr id="10" name="Diagram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8</w:t>
      </w:r>
      <w:r>
        <w:fldChar w:fldCharType="end"/>
      </w:r>
      <w:r>
        <w:rPr>
          <w:lang w:val="en-US"/>
        </w:rPr>
        <w:t xml:space="preserve"> Odense Robotics Triple Helix</w:t>
      </w:r>
    </w:p>
    <w:p>
      <w:pPr>
        <w:pStyle w:val="Normal"/>
        <w:spacing w:lineRule="auto" w:line="360"/>
        <w:rPr>
          <w:lang w:val="en-US"/>
        </w:rPr>
      </w:pPr>
      <w:r>
        <w:rPr>
          <w:lang w:val="en-US"/>
        </w:rPr>
        <w:t xml:space="preserve">Despite the diversity of the participants in the study all of them have cooperation with other Helices where ever they were belonging. They either got soft funding from state financing organization, private funding, mentoring from ICTs or they used knowledge resources from the university to develop their ideas into innovative products. CorePath robotics is a university’s spin off company that born in the core of Odense Robotic cluster. The company used resources from the trilateral space being based in University of Southern Denmark and financed by public and private organizations. Mikel in our interview stated that Odense Robotics cluster is a true example of Triple Helix collaboration. </w:t>
      </w:r>
    </w:p>
    <w:p>
      <w:pPr>
        <w:pStyle w:val="Normal"/>
        <w:spacing w:lineRule="auto" w:line="360"/>
        <w:rPr>
          <w:lang w:val="en-US"/>
        </w:rPr>
      </w:pPr>
      <w:r>
        <w:rPr>
          <w:i/>
          <w:lang w:val="en-US"/>
        </w:rPr>
        <w:t xml:space="preserve">Mikkel: </w:t>
      </w:r>
      <w:r>
        <w:rPr>
          <w:i/>
          <w:u w:val="single"/>
          <w:lang w:val="en-US"/>
        </w:rPr>
        <w:t xml:space="preserve">So we actually have a lot of innovative companies. We have strong educational research and we have public sector the municipality primary which supports this triple helix. </w:t>
      </w:r>
      <w:r>
        <w:rPr>
          <w:lang w:val="en-US"/>
        </w:rPr>
        <w:t>So</w:t>
      </w:r>
      <w:r>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Pr>
          <w:lang w:val="en-US"/>
        </w:rPr>
        <w:t>.</w:t>
      </w:r>
    </w:p>
    <w:p>
      <w:pPr>
        <w:pStyle w:val="Normal"/>
        <w:spacing w:lineRule="auto" w:line="360"/>
        <w:rPr>
          <w:lang w:val="en-US"/>
        </w:rPr>
      </w:pPr>
      <w:r>
        <w:rPr>
          <w:lang w:val="en-US"/>
        </w:rPr>
        <w:t>Each of these entities may have strong preposition in their field and the key to innovation comes through the communication between them. When I asked Bjarke what innovation is in his opinion he answered that innovation is to bring together University and Private company persons as they very seldom interact with each other. As a consequence of this collaboration new technologies will raise as the knowledge transfer will be facilitated. Bjarke despite the fact that does not include the state sphere in his words connects innovation with the collaboration of University with industry persons. RoboCluster as a ‘glue’ organization have the target to bring those entities together with their frictions to produce innovations. The government is the one that produces this ‘glue’ bringing its innovation policy with the other Helices of Triple Helix model.</w:t>
      </w:r>
    </w:p>
    <w:p>
      <w:pPr>
        <w:pStyle w:val="Normal"/>
        <w:spacing w:lineRule="auto" w:line="360"/>
        <w:rPr>
          <w:i/>
          <w:i/>
          <w:u w:val="single"/>
          <w:lang w:val="en-US"/>
        </w:rPr>
      </w:pPr>
      <w:r>
        <w:rPr>
          <w:i/>
          <w:lang w:val="en-US"/>
        </w:rPr>
        <w:t>Bjarke: The easy answer is the society helps the environment in Odense, the cluster because of the large donation of innovation projects. The whole innovative environment that Robocluster is a part of--  We are seeking money in a region and in a national foundation and they are providing money for lifting the innovation</w:t>
      </w:r>
      <w:r>
        <w:rPr>
          <w:i/>
          <w:u w:val="single"/>
          <w:lang w:val="en-US"/>
        </w:rPr>
        <w:t xml:space="preserve"> But also--This is more like--This is the core of innovation projects is that the government and the region provide money to it.</w:t>
      </w:r>
    </w:p>
    <w:p>
      <w:pPr>
        <w:pStyle w:val="Normal"/>
        <w:spacing w:lineRule="auto" w:line="360"/>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pPr>
        <w:pStyle w:val="Normal"/>
        <w:spacing w:lineRule="auto" w:line="360"/>
        <w:rPr>
          <w:i/>
          <w:i/>
          <w:lang w:val="en-US"/>
        </w:rPr>
      </w:pPr>
      <w:r>
        <w:rPr>
          <w:lang w:val="en-US"/>
        </w:rPr>
        <w:t xml:space="preserve">Anders: </w:t>
      </w:r>
      <w:r>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Close the missing gaps between what's coming from research and what are the needs and requirements from the Industry. Make sure that the whole thing works. So in that sense we are bringing commercialization.</w:t>
      </w:r>
    </w:p>
    <w:p>
      <w:pPr>
        <w:pStyle w:val="Normal"/>
        <w:spacing w:lineRule="auto" w:line="360"/>
        <w:rPr>
          <w:lang w:val="en-US"/>
        </w:rPr>
      </w:pPr>
      <w:r>
        <w:rPr>
          <w:lang w:val="en-US"/>
        </w:rPr>
        <w:t xml:space="preserve">With the focus on Triple Helix model in Odense Robotics cluster the interaction between University and Industry can produce innovative results and government organizations fosters the trilateral collaboration. </w:t>
      </w:r>
    </w:p>
    <w:p>
      <w:pPr>
        <w:pStyle w:val="Heading1"/>
        <w:rPr>
          <w:rFonts w:eastAsia="Times New Roman"/>
          <w:lang w:val="en-US"/>
        </w:rPr>
      </w:pPr>
      <w:bookmarkStart w:id="564" w:name="_Toc459977517"/>
      <w:bookmarkStart w:id="565" w:name="__RefHeading___Toc5820_427358540"/>
      <w:bookmarkEnd w:id="565"/>
      <w:r>
        <w:rPr>
          <w:rFonts w:eastAsia="Times New Roman"/>
          <w:lang w:val="en-US"/>
        </w:rPr>
        <w:t>4.4 Odense Robotics Cluster</w:t>
      </w:r>
      <w:bookmarkEnd w:id="564"/>
      <w:r>
        <w:rPr>
          <w:rFonts w:eastAsia="Times New Roman"/>
          <w:lang w:val="en-US"/>
        </w:rPr>
        <w:t xml:space="preserve"> </w:t>
      </w:r>
    </w:p>
    <w:p>
      <w:pPr>
        <w:pStyle w:val="Heading1"/>
        <w:rPr>
          <w:rFonts w:eastAsia="Times New Roman"/>
          <w:lang w:val="en-US"/>
        </w:rPr>
      </w:pPr>
      <w:bookmarkStart w:id="566" w:name="_Toc459977518"/>
      <w:bookmarkStart w:id="567" w:name="__RefHeading___Toc5822_427358540"/>
      <w:bookmarkEnd w:id="566"/>
      <w:bookmarkEnd w:id="567"/>
      <w:r>
        <w:rPr>
          <w:rFonts w:eastAsia="Times New Roman"/>
          <w:lang w:val="en-US"/>
        </w:rPr>
        <w:t>4.4.1 Actors and their role in Odense Robotics cluster</w:t>
      </w:r>
    </w:p>
    <w:p>
      <w:pPr>
        <w:pStyle w:val="Normal"/>
        <w:spacing w:lineRule="auto" w:line="360"/>
        <w:rPr/>
      </w:pPr>
      <w:r>
        <w:rPr>
          <w:rFonts w:eastAsia="Calibri" w:cs="Times New Roman"/>
          <w:lang w:val="en-US"/>
        </w:rPr>
        <w:t xml:space="preserve">The analysis of the Odense robotics cluster will be based on the design that Odense Robotics frontier provided in February 2016(Appendix 4). The cluster actors will be divided into five categories according to </w:t>
      </w:r>
      <w:r>
        <w:fldChar w:fldCharType="begin"/>
      </w:r>
      <w:r>
        <w:instrText>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w:instrText>
      </w:r>
      <w:r>
        <w:fldChar w:fldCharType="separate"/>
      </w:r>
      <w:bookmarkStart w:id="568" w:name="__Fieldmark__3548_783673585"/>
      <w:r>
        <w:rPr>
          <w:rFonts w:eastAsia="Calibri" w:cs="Times New Roman"/>
          <w:lang w:val="en-US"/>
        </w:rPr>
        <w:t>(</w:t>
      </w:r>
      <w:bookmarkStart w:id="569" w:name="__Fieldmark__4005_427358540"/>
      <w:r>
        <w:rPr>
          <w:rFonts w:eastAsia="Calibri" w:cs="Times New Roman"/>
          <w:lang w:val="en-US"/>
        </w:rPr>
        <w:t>Andersson et al., 2004)</w:t>
      </w:r>
      <w:r>
        <w:rPr>
          <w:rFonts w:eastAsia="Calibri" w:cs="Times New Roman"/>
          <w:lang w:val="en-US"/>
        </w:rPr>
      </w:r>
      <w:r>
        <w:fldChar w:fldCharType="end"/>
      </w:r>
      <w:bookmarkEnd w:id="568"/>
      <w:bookmarkEnd w:id="569"/>
      <w:r>
        <w:rPr>
          <w:rFonts w:eastAsia="Calibri"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to this specific question that will be analyzed together with the snowball stemma of the next chapter.</w:t>
      </w:r>
    </w:p>
    <w:p>
      <w:pPr>
        <w:pStyle w:val="Normal"/>
        <w:spacing w:lineRule="auto" w:line="360"/>
        <w:rPr>
          <w:rFonts w:ascii="Times New Roman" w:hAnsi="Times New Roman" w:eastAsia="Calibri" w:cs="Times New Roman"/>
          <w:lang w:val="en-US"/>
        </w:rPr>
      </w:pPr>
      <w:r>
        <w:rPr>
          <w:rFonts w:eastAsia="Calibri"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p>
    <w:p>
      <w:pPr>
        <w:pStyle w:val="Normal"/>
        <w:keepNext/>
        <w:jc w:val="left"/>
        <w:rPr/>
      </w:pPr>
      <w:r>
        <w:rPr/>
        <w:drawing>
          <wp:inline distT="0" distB="0" distL="0" distR="0" wp14:anchorId="232953B7">
            <wp:extent cx="5259070" cy="4792345"/>
            <wp:effectExtent l="0" t="0" r="0" b="0"/>
            <wp:docPr id="25" name="Diagram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mc:AlternateContent>
          <mc:Choice Requires="wps">
            <w:drawing>
              <wp:anchor behindDoc="0" distT="0" distB="0" distL="114300" distR="114300" simplePos="0" locked="0" layoutInCell="1" allowOverlap="1" relativeHeight="3" wp14:anchorId="02D64893">
                <wp:simplePos x="0" y="0"/>
                <wp:positionH relativeFrom="column">
                  <wp:posOffset>935355</wp:posOffset>
                </wp:positionH>
                <wp:positionV relativeFrom="paragraph">
                  <wp:posOffset>1065530</wp:posOffset>
                </wp:positionV>
                <wp:extent cx="1582420" cy="3277870"/>
                <wp:effectExtent l="0" t="0" r="19050" b="19050"/>
                <wp:wrapNone/>
                <wp:docPr id="11" name="Ευθύγραμμο βέλος σύνδεσης 13"/>
                <a:graphic xmlns:a="http://schemas.openxmlformats.org/drawingml/2006/main">
                  <a:graphicData uri="http://schemas.microsoft.com/office/word/2010/wordprocessingShape">
                    <wps:wsp>
                      <wps:cNvSpPr/>
                      <wps:spPr>
                        <a:xfrm>
                          <a:off x="0" y="0"/>
                          <a:ext cx="1581840" cy="32770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 wp14:anchorId="430B2C35">
                <wp:simplePos x="0" y="0"/>
                <wp:positionH relativeFrom="column">
                  <wp:posOffset>2514600</wp:posOffset>
                </wp:positionH>
                <wp:positionV relativeFrom="paragraph">
                  <wp:posOffset>1044575</wp:posOffset>
                </wp:positionV>
                <wp:extent cx="1430020" cy="3296285"/>
                <wp:effectExtent l="0" t="0" r="19050" b="19685"/>
                <wp:wrapNone/>
                <wp:docPr id="12" name="Ευθύγραμμο βέλος σύνδεσης 12"/>
                <a:graphic xmlns:a="http://schemas.openxmlformats.org/drawingml/2006/main">
                  <a:graphicData uri="http://schemas.microsoft.com/office/word/2010/wordprocessingShape">
                    <wps:wsp>
                      <wps:cNvSpPr/>
                      <wps:spPr>
                        <a:xfrm flipV="1">
                          <a:off x="0" y="0"/>
                          <a:ext cx="1429560" cy="32958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 wp14:anchorId="4C8453D2">
                <wp:simplePos x="0" y="0"/>
                <wp:positionH relativeFrom="column">
                  <wp:posOffset>3208020</wp:posOffset>
                </wp:positionH>
                <wp:positionV relativeFrom="paragraph">
                  <wp:posOffset>2067560</wp:posOffset>
                </wp:positionV>
                <wp:extent cx="1001395" cy="820420"/>
                <wp:effectExtent l="0" t="0" r="47625" b="57150"/>
                <wp:wrapNone/>
                <wp:docPr id="13" name="Διάγραμμα ροής: Παραπομπή 18"/>
                <a:graphic xmlns:a="http://schemas.openxmlformats.org/drawingml/2006/main">
                  <a:graphicData uri="http://schemas.microsoft.com/office/word/2010/wordprocessingShape">
                    <wps:wsp>
                      <wps:cNvSpPr/>
                      <wps:spPr>
                        <a:xfrm>
                          <a:off x="0" y="0"/>
                          <a:ext cx="1000800" cy="819720"/>
                        </a:xfrm>
                        <a:prstGeom prst="flowChartConnector">
                          <a:avLst/>
                        </a:prstGeom>
                        <a:solidFill>
                          <a:srgbClr val="0070c0"/>
                        </a:solidFill>
                        <a:ln w="15840">
                          <a:solidFill>
                            <a:schemeClr val="lt1">
                              <a:lumMod val="95000"/>
                              <a:lumOff val="0"/>
                            </a:schemeClr>
                          </a:solidFill>
                          <a:round/>
                        </a:ln>
                        <a:effectLst>
                          <a:outerShdw algn="ctr" dir="3806097" dist="28398" rotWithShape="0">
                            <a:schemeClr val="accent1">
                              <a:lumMod val="50000"/>
                              <a:lumOff val="0"/>
                              <a:alpha val="50000"/>
                            </a:schemeClr>
                          </a:outerShdw>
                        </a:effectLst>
                      </wps:spPr>
                      <wps:style>
                        <a:lnRef idx="0"/>
                        <a:fillRef idx="0"/>
                        <a:effectRef idx="0"/>
                        <a:fontRef idx="minor"/>
                      </wps:style>
                      <wps:txbx>
                        <w:txbxContent>
                          <w:p>
                            <w:pPr>
                              <w:pStyle w:val="FrameContents"/>
                              <w:spacing w:lineRule="auto" w:line="240" w:before="0" w:after="0"/>
                              <w:rPr>
                                <w:sz w:val="18"/>
                                <w:szCs w:val="18"/>
                                <w:lang w:val="en-US"/>
                              </w:rPr>
                            </w:pPr>
                            <w:r>
                              <w:rPr>
                                <w:sz w:val="18"/>
                                <w:szCs w:val="18"/>
                                <w:lang w:val="en-US"/>
                              </w:rPr>
                            </w:r>
                          </w:p>
                          <w:p>
                            <w:pPr>
                              <w:pStyle w:val="FrameContents"/>
                              <w:spacing w:lineRule="auto" w:line="240" w:before="0" w:after="0"/>
                              <w:rPr/>
                            </w:pPr>
                            <w:r>
                              <w:rPr>
                                <w:b/>
                                <w:color w:val="FFFFFF" w:themeColor="background1"/>
                                <w:sz w:val="18"/>
                                <w:szCs w:val="18"/>
                                <w:lang w:val="en-US"/>
                              </w:rPr>
                              <w:t>Financing</w:t>
                            </w:r>
                          </w:p>
                        </w:txbxContent>
                      </wps:txbx>
                      <wps:bodyPr>
                        <a:noAutofit/>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Διάγραμμα ροής: Παραπομπή 18" fillcolor="#0070c0" stroked="t" style="position:absolute;margin-left:252.6pt;margin-top:162.8pt;width:78.75pt;height:64.5pt" wp14:anchorId="4C8453D2" type="shapetype_120">
                <w10:wrap type="square"/>
                <v:fill o:detectmouseclick="t" type="solid" color2="#ff8f3f"/>
                <v:stroke color="#f2f2f2" weight="15840" joinstyle="round" endcap="flat"/>
                <v:shadow on="t" obscured="f" color="black"/>
                <v:textbox>
                  <w:txbxContent>
                    <w:p>
                      <w:pPr>
                        <w:pStyle w:val="FrameContents"/>
                        <w:spacing w:lineRule="auto" w:line="240" w:before="0" w:after="0"/>
                        <w:rPr>
                          <w:sz w:val="18"/>
                          <w:szCs w:val="18"/>
                          <w:lang w:val="en-US"/>
                        </w:rPr>
                      </w:pPr>
                      <w:r>
                        <w:rPr>
                          <w:sz w:val="18"/>
                          <w:szCs w:val="18"/>
                          <w:lang w:val="en-US"/>
                        </w:rPr>
                      </w:r>
                    </w:p>
                    <w:p>
                      <w:pPr>
                        <w:pStyle w:val="FrameContents"/>
                        <w:spacing w:lineRule="auto" w:line="240" w:before="0" w:after="0"/>
                        <w:rPr/>
                      </w:pPr>
                      <w:r>
                        <w:rPr>
                          <w:b/>
                          <w:color w:val="FFFFFF" w:themeColor="background1"/>
                          <w:sz w:val="18"/>
                          <w:szCs w:val="18"/>
                          <w:lang w:val="en-US"/>
                        </w:rPr>
                        <w:t>Financing</w:t>
                      </w:r>
                    </w:p>
                  </w:txbxContent>
                </v:textbox>
              </v:shape>
            </w:pict>
          </mc:Fallback>
        </mc:AlternateContent>
        <mc:AlternateContent>
          <mc:Choice Requires="wps">
            <w:drawing>
              <wp:anchor behindDoc="0" distT="0" distB="0" distL="114300" distR="114300" simplePos="0" locked="0" layoutInCell="1" allowOverlap="1" relativeHeight="6" wp14:anchorId="43ED9158">
                <wp:simplePos x="0" y="0"/>
                <wp:positionH relativeFrom="column">
                  <wp:posOffset>3629025</wp:posOffset>
                </wp:positionH>
                <wp:positionV relativeFrom="paragraph">
                  <wp:posOffset>173355</wp:posOffset>
                </wp:positionV>
                <wp:extent cx="1363345" cy="1210945"/>
                <wp:effectExtent l="0" t="0" r="47625" b="66675"/>
                <wp:wrapNone/>
                <wp:docPr id="15" name="Διάγραμμα ροής: Παραπομπή 21"/>
                <a:graphic xmlns:a="http://schemas.openxmlformats.org/drawingml/2006/main">
                  <a:graphicData uri="http://schemas.microsoft.com/office/word/2010/wordprocessingShape">
                    <wps:wsp>
                      <wps:cNvSpPr/>
                      <wps:spPr>
                        <a:xfrm>
                          <a:off x="0" y="0"/>
                          <a:ext cx="1362600" cy="1210320"/>
                        </a:xfrm>
                        <a:prstGeom prst="flowChartConnector">
                          <a:avLst/>
                        </a:prstGeom>
                        <a:solidFill>
                          <a:srgbClr val="0070c0"/>
                        </a:solidFill>
                        <a:ln w="15840">
                          <a:solidFill>
                            <a:schemeClr val="lt1">
                              <a:lumMod val="95000"/>
                              <a:lumOff val="0"/>
                            </a:schemeClr>
                          </a:solidFill>
                          <a:round/>
                        </a:ln>
                        <a:effectLst>
                          <a:outerShdw algn="ctr" dir="3806097" dist="28398" rotWithShape="0">
                            <a:schemeClr val="accent1">
                              <a:lumMod val="50000"/>
                              <a:lumOff val="0"/>
                              <a:alpha val="50000"/>
                            </a:schemeClr>
                          </a:outerShdw>
                        </a:effectLst>
                      </wps:spPr>
                      <wps:style>
                        <a:lnRef idx="0"/>
                        <a:fillRef idx="0"/>
                        <a:effectRef idx="0"/>
                        <a:fontRef idx="minor"/>
                      </wps:style>
                      <wps:txbx>
                        <w:txbxContent>
                          <w:p>
                            <w:pPr>
                              <w:pStyle w:val="FrameContents"/>
                              <w:spacing w:lineRule="auto" w:line="240" w:before="0" w:after="0"/>
                              <w:rPr>
                                <w:b/>
                                <w:b/>
                                <w:sz w:val="24"/>
                                <w:szCs w:val="24"/>
                                <w:lang w:val="en-US"/>
                              </w:rPr>
                            </w:pPr>
                            <w:r>
                              <w:rPr>
                                <w:b/>
                                <w:sz w:val="24"/>
                                <w:szCs w:val="24"/>
                                <w:lang w:val="en-US"/>
                              </w:rPr>
                            </w:r>
                          </w:p>
                          <w:p>
                            <w:pPr>
                              <w:pStyle w:val="FrameContents"/>
                              <w:spacing w:lineRule="auto" w:line="240" w:before="0" w:after="0"/>
                              <w:rPr/>
                            </w:pPr>
                            <w:r>
                              <w:rPr>
                                <w:b/>
                                <w:color w:val="FFFFFF" w:themeColor="background1"/>
                                <w:sz w:val="24"/>
                                <w:szCs w:val="24"/>
                                <w:lang w:val="en-US"/>
                              </w:rPr>
                              <w:t>Academia</w:t>
                            </w:r>
                          </w:p>
                        </w:txbxContent>
                      </wps:txbx>
                      <wps:bodyPr>
                        <a:noAutofit/>
                      </wps:bodyPr>
                    </wps:wsp>
                  </a:graphicData>
                </a:graphic>
              </wp:anchor>
            </w:drawing>
          </mc:Choice>
          <mc:Fallback>
            <w:pict>
              <v:shape id="shape_0" ID="Διάγραμμα ροής: Παραπομπή 21" fillcolor="#0070c0" stroked="t" style="position:absolute;margin-left:285.75pt;margin-top:13.65pt;width:107.25pt;height:95.25pt" wp14:anchorId="43ED9158" type="shapetype_120">
                <w10:wrap type="square"/>
                <v:fill o:detectmouseclick="t" type="solid" color2="#ff8f3f"/>
                <v:stroke color="#f2f2f2" weight="15840" joinstyle="round" endcap="flat"/>
                <v:shadow on="t" obscured="f" color="black"/>
                <v:textbox>
                  <w:txbxContent>
                    <w:p>
                      <w:pPr>
                        <w:pStyle w:val="FrameContents"/>
                        <w:spacing w:lineRule="auto" w:line="240" w:before="0" w:after="0"/>
                        <w:rPr>
                          <w:b/>
                          <w:b/>
                          <w:sz w:val="24"/>
                          <w:szCs w:val="24"/>
                          <w:lang w:val="en-US"/>
                        </w:rPr>
                      </w:pPr>
                      <w:r>
                        <w:rPr>
                          <w:b/>
                          <w:sz w:val="24"/>
                          <w:szCs w:val="24"/>
                          <w:lang w:val="en-US"/>
                        </w:rPr>
                      </w:r>
                    </w:p>
                    <w:p>
                      <w:pPr>
                        <w:pStyle w:val="FrameContents"/>
                        <w:spacing w:lineRule="auto" w:line="240" w:before="0" w:after="0"/>
                        <w:rPr/>
                      </w:pPr>
                      <w:r>
                        <w:rPr>
                          <w:b/>
                          <w:color w:val="FFFFFF" w:themeColor="background1"/>
                          <w:sz w:val="24"/>
                          <w:szCs w:val="24"/>
                          <w:lang w:val="en-US"/>
                        </w:rPr>
                        <w:t>Academia</w:t>
                      </w:r>
                    </w:p>
                  </w:txbxContent>
                </v:textbox>
              </v:shape>
            </w:pict>
          </mc:Fallback>
        </mc:AlternateContent>
        <mc:AlternateContent>
          <mc:Choice Requires="wps">
            <w:drawing>
              <wp:anchor behindDoc="1" distT="0" distB="0" distL="114300" distR="114300" simplePos="0" locked="0" layoutInCell="1" allowOverlap="1" relativeHeight="7" wp14:anchorId="318EC361">
                <wp:simplePos x="0" y="0"/>
                <wp:positionH relativeFrom="column">
                  <wp:posOffset>954405</wp:posOffset>
                </wp:positionH>
                <wp:positionV relativeFrom="paragraph">
                  <wp:posOffset>2065655</wp:posOffset>
                </wp:positionV>
                <wp:extent cx="994410" cy="820420"/>
                <wp:effectExtent l="0" t="0" r="35560" b="57150"/>
                <wp:wrapNone/>
                <wp:docPr id="17" name="Διάγραμμα ροής: Παραπομπή 17"/>
                <a:graphic xmlns:a="http://schemas.openxmlformats.org/drawingml/2006/main">
                  <a:graphicData uri="http://schemas.microsoft.com/office/word/2010/wordprocessingShape">
                    <wps:wsp>
                      <wps:cNvSpPr/>
                      <wps:spPr>
                        <a:xfrm>
                          <a:off x="0" y="0"/>
                          <a:ext cx="993600" cy="819720"/>
                        </a:xfrm>
                        <a:prstGeom prst="flowChartConnector">
                          <a:avLst/>
                        </a:prstGeom>
                        <a:solidFill>
                          <a:srgbClr val="0070c0"/>
                        </a:solidFill>
                        <a:ln w="15840">
                          <a:solidFill>
                            <a:schemeClr val="bg1">
                              <a:lumMod val="100000"/>
                              <a:lumOff val="0"/>
                            </a:schemeClr>
                          </a:solidFill>
                          <a:round/>
                        </a:ln>
                        <a:effectLst>
                          <a:outerShdw algn="ctr" dir="3806097" dist="28398" rotWithShape="0">
                            <a:schemeClr val="accent1">
                              <a:lumMod val="50000"/>
                              <a:lumOff val="0"/>
                              <a:alpha val="50000"/>
                            </a:schemeClr>
                          </a:outerShdw>
                        </a:effectLst>
                      </wps:spPr>
                      <wps:style>
                        <a:lnRef idx="0"/>
                        <a:fillRef idx="0"/>
                        <a:effectRef idx="0"/>
                        <a:fontRef idx="minor"/>
                      </wps:style>
                      <wps:txbx>
                        <w:txbxContent>
                          <w:p>
                            <w:pPr>
                              <w:pStyle w:val="FrameContents"/>
                              <w:spacing w:lineRule="auto" w:line="240" w:before="0" w:after="0"/>
                              <w:jc w:val="center"/>
                              <w:rPr>
                                <w:b/>
                                <w:b/>
                                <w:lang w:val="en-US"/>
                              </w:rPr>
                            </w:pPr>
                            <w:r>
                              <w:rPr>
                                <w:b/>
                                <w:lang w:val="en-US"/>
                              </w:rPr>
                            </w:r>
                          </w:p>
                          <w:p>
                            <w:pPr>
                              <w:pStyle w:val="FrameContents"/>
                              <w:spacing w:lineRule="auto" w:line="240" w:before="0" w:after="0"/>
                              <w:jc w:val="center"/>
                              <w:rPr/>
                            </w:pPr>
                            <w:r>
                              <w:rPr>
                                <w:b/>
                                <w:color w:val="FFFFFF" w:themeColor="background1"/>
                                <w:lang w:val="en-US"/>
                              </w:rPr>
                              <w:t>IFC</w:t>
                            </w:r>
                          </w:p>
                        </w:txbxContent>
                      </wps:txbx>
                      <wps:bodyPr>
                        <a:noAutofit/>
                      </wps:bodyPr>
                    </wps:wsp>
                  </a:graphicData>
                </a:graphic>
              </wp:anchor>
            </w:drawing>
          </mc:Choice>
          <mc:Fallback>
            <w:pict>
              <v:shape id="shape_0" ID="Διάγραμμα ροής: Παραπομπή 17" fillcolor="#0070c0" stroked="t" style="position:absolute;margin-left:75.15pt;margin-top:162.65pt;width:78.2pt;height:64.5pt" wp14:anchorId="318EC361" type="shapetype_120">
                <w10:wrap type="square"/>
                <v:fill o:detectmouseclick="t" type="solid" color2="#ff8f3f"/>
                <v:stroke color="white" weight="15840" joinstyle="round" endcap="flat"/>
                <v:shadow on="t" obscured="f" color="black"/>
                <v:textbox>
                  <w:txbxContent>
                    <w:p>
                      <w:pPr>
                        <w:pStyle w:val="FrameContents"/>
                        <w:spacing w:lineRule="auto" w:line="240" w:before="0" w:after="0"/>
                        <w:jc w:val="center"/>
                        <w:rPr>
                          <w:b/>
                          <w:b/>
                          <w:lang w:val="en-US"/>
                        </w:rPr>
                      </w:pPr>
                      <w:r>
                        <w:rPr>
                          <w:b/>
                          <w:lang w:val="en-US"/>
                        </w:rPr>
                      </w:r>
                    </w:p>
                    <w:p>
                      <w:pPr>
                        <w:pStyle w:val="FrameContents"/>
                        <w:spacing w:lineRule="auto" w:line="240" w:before="0" w:after="0"/>
                        <w:jc w:val="center"/>
                        <w:rPr/>
                      </w:pPr>
                      <w:r>
                        <w:rPr>
                          <w:b/>
                          <w:color w:val="FFFFFF" w:themeColor="background1"/>
                          <w:lang w:val="en-US"/>
                        </w:rPr>
                        <w:t>IFC</w:t>
                      </w:r>
                    </w:p>
                  </w:txbxContent>
                </v:textbox>
              </v:shape>
            </w:pict>
          </mc:Fallback>
        </mc:AlternateContent>
        <mc:AlternateContent>
          <mc:Choice Requires="wps">
            <w:drawing>
              <wp:anchor behindDoc="0" distT="0" distB="0" distL="114300" distR="114300" simplePos="0" locked="0" layoutInCell="1" allowOverlap="1" relativeHeight="8" wp14:anchorId="3B739EE3">
                <wp:simplePos x="0" y="0"/>
                <wp:positionH relativeFrom="column">
                  <wp:posOffset>-76200</wp:posOffset>
                </wp:positionH>
                <wp:positionV relativeFrom="paragraph">
                  <wp:posOffset>287655</wp:posOffset>
                </wp:positionV>
                <wp:extent cx="1363345" cy="1210945"/>
                <wp:effectExtent l="0" t="0" r="47625" b="66675"/>
                <wp:wrapNone/>
                <wp:docPr id="19" name="Διάγραμμα ροής: Παραπομπή 20"/>
                <a:graphic xmlns:a="http://schemas.openxmlformats.org/drawingml/2006/main">
                  <a:graphicData uri="http://schemas.microsoft.com/office/word/2010/wordprocessingShape">
                    <wps:wsp>
                      <wps:cNvSpPr/>
                      <wps:spPr>
                        <a:xfrm>
                          <a:off x="0" y="0"/>
                          <a:ext cx="1362600" cy="1210320"/>
                        </a:xfrm>
                        <a:prstGeom prst="flowChartConnector">
                          <a:avLst/>
                        </a:prstGeom>
                        <a:solidFill>
                          <a:srgbClr val="0070c0"/>
                        </a:solidFill>
                        <a:ln w="15840">
                          <a:solidFill>
                            <a:schemeClr val="lt1">
                              <a:lumMod val="95000"/>
                              <a:lumOff val="0"/>
                            </a:schemeClr>
                          </a:solidFill>
                          <a:round/>
                        </a:ln>
                        <a:effectLst>
                          <a:outerShdw algn="ctr" dir="3806097" dist="28398" rotWithShape="0">
                            <a:schemeClr val="accent1">
                              <a:lumMod val="50000"/>
                              <a:lumOff val="0"/>
                              <a:alpha val="50000"/>
                            </a:schemeClr>
                          </a:outerShdw>
                        </a:effectLst>
                      </wps:spPr>
                      <wps:style>
                        <a:lnRef idx="0"/>
                        <a:fillRef idx="0"/>
                        <a:effectRef idx="0"/>
                        <a:fontRef idx="minor"/>
                      </wps:style>
                      <wps:txbx>
                        <w:txbxContent>
                          <w:p>
                            <w:pPr>
                              <w:pStyle w:val="FrameContents"/>
                              <w:spacing w:before="0" w:after="0"/>
                              <w:rPr>
                                <w:b/>
                                <w:b/>
                                <w:sz w:val="24"/>
                                <w:szCs w:val="24"/>
                                <w:lang w:val="en-US"/>
                              </w:rPr>
                            </w:pPr>
                            <w:r>
                              <w:rPr>
                                <w:b/>
                                <w:sz w:val="24"/>
                                <w:szCs w:val="24"/>
                                <w:lang w:val="en-US"/>
                              </w:rPr>
                            </w:r>
                          </w:p>
                          <w:p>
                            <w:pPr>
                              <w:pStyle w:val="FrameContents"/>
                              <w:spacing w:before="0" w:after="0"/>
                              <w:rPr/>
                            </w:pPr>
                            <w:r>
                              <w:rPr>
                                <w:b/>
                                <w:color w:val="FFFFFF" w:themeColor="background1"/>
                                <w:sz w:val="24"/>
                                <w:szCs w:val="24"/>
                                <w:lang w:val="en-US"/>
                              </w:rPr>
                              <w:t>Companies</w:t>
                            </w:r>
                          </w:p>
                        </w:txbxContent>
                      </wps:txbx>
                      <wps:bodyPr>
                        <a:noAutofit/>
                      </wps:bodyPr>
                    </wps:wsp>
                  </a:graphicData>
                </a:graphic>
              </wp:anchor>
            </w:drawing>
          </mc:Choice>
          <mc:Fallback>
            <w:pict>
              <v:shape id="shape_0" ID="Διάγραμμα ροής: Παραπομπή 20" fillcolor="#0070c0" stroked="t" style="position:absolute;margin-left:-6pt;margin-top:22.65pt;width:107.25pt;height:95.25pt" wp14:anchorId="3B739EE3" type="shapetype_120">
                <w10:wrap type="square"/>
                <v:fill o:detectmouseclick="t" type="solid" color2="#ff8f3f"/>
                <v:stroke color="#f2f2f2" weight="15840" joinstyle="round" endcap="flat"/>
                <v:shadow on="t" obscured="f" color="black"/>
                <v:textbox>
                  <w:txbxContent>
                    <w:p>
                      <w:pPr>
                        <w:pStyle w:val="FrameContents"/>
                        <w:spacing w:before="0" w:after="0"/>
                        <w:rPr>
                          <w:b/>
                          <w:b/>
                          <w:sz w:val="24"/>
                          <w:szCs w:val="24"/>
                          <w:lang w:val="en-US"/>
                        </w:rPr>
                      </w:pPr>
                      <w:r>
                        <w:rPr>
                          <w:b/>
                          <w:sz w:val="24"/>
                          <w:szCs w:val="24"/>
                          <w:lang w:val="en-US"/>
                        </w:rPr>
                      </w:r>
                    </w:p>
                    <w:p>
                      <w:pPr>
                        <w:pStyle w:val="FrameContents"/>
                        <w:spacing w:before="0" w:after="0"/>
                        <w:rPr/>
                      </w:pPr>
                      <w:r>
                        <w:rPr>
                          <w:b/>
                          <w:color w:val="FFFFFF" w:themeColor="background1"/>
                          <w:sz w:val="24"/>
                          <w:szCs w:val="24"/>
                          <w:lang w:val="en-US"/>
                        </w:rPr>
                        <w:t>Companies</w:t>
                      </w:r>
                    </w:p>
                  </w:txbxContent>
                </v:textbox>
              </v:shape>
            </w:pict>
          </mc:Fallback>
        </mc:AlternateContent>
        <mc:AlternateContent>
          <mc:Choice Requires="wps">
            <w:drawing>
              <wp:anchor behindDoc="0" distT="0" distB="0" distL="114300" distR="114300" simplePos="0" locked="0" layoutInCell="1" allowOverlap="1" relativeHeight="9" wp14:anchorId="3E60BCA2">
                <wp:simplePos x="0" y="0"/>
                <wp:positionH relativeFrom="column">
                  <wp:posOffset>935355</wp:posOffset>
                </wp:positionH>
                <wp:positionV relativeFrom="paragraph">
                  <wp:posOffset>1046480</wp:posOffset>
                </wp:positionV>
                <wp:extent cx="3011170" cy="0"/>
                <wp:effectExtent l="0" t="0" r="19050" b="19050"/>
                <wp:wrapNone/>
                <wp:docPr id="21" name="Ευθύγραμμο βέλος σύνδεσης 24"/>
                <a:graphic xmlns:a="http://schemas.openxmlformats.org/drawingml/2006/main">
                  <a:graphicData uri="http://schemas.microsoft.com/office/word/2010/wordprocessingShape">
                    <wps:wsp>
                      <wps:cNvSpPr/>
                      <wps:spPr>
                        <a:xfrm>
                          <a:off x="0" y="0"/>
                          <a:ext cx="3010680" cy="3600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0" wp14:anchorId="16C2E251">
                <wp:simplePos x="0" y="0"/>
                <wp:positionH relativeFrom="column">
                  <wp:posOffset>1630680</wp:posOffset>
                </wp:positionH>
                <wp:positionV relativeFrom="paragraph">
                  <wp:posOffset>2446655</wp:posOffset>
                </wp:positionV>
                <wp:extent cx="1734820" cy="0"/>
                <wp:effectExtent l="0" t="0" r="19050" b="19050"/>
                <wp:wrapNone/>
                <wp:docPr id="22" name="Ευθύγραμμο βέλος σύνδεσης 25"/>
                <a:graphic xmlns:a="http://schemas.openxmlformats.org/drawingml/2006/main">
                  <a:graphicData uri="http://schemas.microsoft.com/office/word/2010/wordprocessingShape">
                    <wps:wsp>
                      <wps:cNvSpPr/>
                      <wps:spPr>
                        <a:xfrm>
                          <a:off x="0" y="0"/>
                          <a:ext cx="1734120" cy="3600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1" wp14:anchorId="5E48A4BC">
                <wp:simplePos x="0" y="0"/>
                <wp:positionH relativeFrom="column">
                  <wp:posOffset>935355</wp:posOffset>
                </wp:positionH>
                <wp:positionV relativeFrom="paragraph">
                  <wp:posOffset>1065530</wp:posOffset>
                </wp:positionV>
                <wp:extent cx="2449195" cy="1383030"/>
                <wp:effectExtent l="0" t="0" r="28575" b="27940"/>
                <wp:wrapNone/>
                <wp:docPr id="23" name="Ευθύγραμμο βέλος σύνδεσης 26"/>
                <a:graphic xmlns:a="http://schemas.openxmlformats.org/drawingml/2006/main">
                  <a:graphicData uri="http://schemas.microsoft.com/office/word/2010/wordprocessingShape">
                    <wps:wsp>
                      <wps:cNvSpPr/>
                      <wps:spPr>
                        <a:xfrm>
                          <a:off x="0" y="0"/>
                          <a:ext cx="2448720" cy="13824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2" wp14:anchorId="59EDC81D">
                <wp:simplePos x="0" y="0"/>
                <wp:positionH relativeFrom="column">
                  <wp:posOffset>1628775</wp:posOffset>
                </wp:positionH>
                <wp:positionV relativeFrom="paragraph">
                  <wp:posOffset>1062355</wp:posOffset>
                </wp:positionV>
                <wp:extent cx="2315845" cy="1383030"/>
                <wp:effectExtent l="0" t="0" r="28575" b="27940"/>
                <wp:wrapNone/>
                <wp:docPr id="24" name="Ευθύγραμμο βέλος σύνδεσης 27"/>
                <a:graphic xmlns:a="http://schemas.openxmlformats.org/drawingml/2006/main">
                  <a:graphicData uri="http://schemas.microsoft.com/office/word/2010/wordprocessingShape">
                    <wps:wsp>
                      <wps:cNvSpPr/>
                      <wps:spPr>
                        <a:xfrm flipV="1">
                          <a:off x="0" y="0"/>
                          <a:ext cx="2315160" cy="13824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Caption1"/>
        <w:jc w:val="left"/>
        <w:rPr/>
      </w:pPr>
      <w:r>
        <w:rPr>
          <w:lang w:val="en-US"/>
        </w:rPr>
        <w:t xml:space="preserve">Figure </w:t>
      </w:r>
      <w:r>
        <w:rPr>
          <w:lang w:val="en-US"/>
        </w:rPr>
        <w:fldChar w:fldCharType="begin"/>
      </w:r>
      <w:r>
        <w:instrText> SEQ Figure \* ARABIC </w:instrText>
      </w:r>
      <w:r>
        <w:fldChar w:fldCharType="separate"/>
      </w:r>
      <w:r>
        <w:t>9</w:t>
      </w:r>
      <w:r>
        <w:fldChar w:fldCharType="end"/>
      </w:r>
      <w:r>
        <w:rPr>
          <w:lang w:val="en-US"/>
        </w:rPr>
        <w:t xml:space="preserve"> Odense Robotics Cluster actors</w:t>
      </w:r>
    </w:p>
    <w:p>
      <w:pPr>
        <w:pStyle w:val="Normal"/>
        <w:jc w:val="left"/>
        <w:rPr>
          <w:rFonts w:ascii="Calibri" w:hAnsi="Calibri" w:eastAsia="Calibri" w:cs="Times New Roman"/>
          <w:lang w:val="en-US"/>
        </w:rPr>
      </w:pPr>
      <w:r>
        <w:rPr>
          <w:rFonts w:eastAsia="Calibri" w:cs="Times New Roman" w:ascii="Calibri" w:hAnsi="Calibri"/>
          <w:lang w:val="en-US"/>
        </w:rPr>
      </w:r>
    </w:p>
    <w:p>
      <w:pPr>
        <w:pStyle w:val="Normal"/>
        <w:spacing w:lineRule="auto" w:line="360"/>
        <w:rPr/>
      </w:pPr>
      <w:r>
        <w:rPr>
          <w:rFonts w:eastAsia="Calibri" w:cs="Times New Roman"/>
          <w:lang w:val="en-US"/>
        </w:rPr>
        <w:t>The Research community or Academia has as the main knowledge resource the University of Southern Denmark. The university provides education in robot technologies with a number of offered degrees but also provides research programs for specialization in the field. The Maersk Mc-Kinney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fldChar w:fldCharType="begin"/>
      </w:r>
      <w:r>
        <w:instrText>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70" w:name="__Fieldmark__3593_783673585"/>
      <w:r>
        <w:rPr>
          <w:rFonts w:eastAsia="Calibri" w:cs="Times New Roman"/>
          <w:lang w:val="en-US"/>
        </w:rPr>
        <w:t>(</w:t>
      </w:r>
      <w:bookmarkStart w:id="571" w:name="__Fieldmark__4056_427358540"/>
      <w:r>
        <w:rPr>
          <w:rFonts w:eastAsia="Calibri" w:cs="Times New Roman"/>
          <w:lang w:val="en-US"/>
        </w:rPr>
        <w:t>Steno, 2016)</w:t>
      </w:r>
      <w:r>
        <w:rPr>
          <w:rFonts w:eastAsia="Calibri" w:cs="Times New Roman"/>
          <w:lang w:val="en-US"/>
        </w:rPr>
      </w:r>
      <w:r>
        <w:fldChar w:fldCharType="end"/>
      </w:r>
      <w:bookmarkEnd w:id="570"/>
      <w:bookmarkEnd w:id="571"/>
      <w:r>
        <w:rPr>
          <w:rFonts w:eastAsia="Calibri" w:cs="Times New Roman"/>
          <w:lang w:val="en-US"/>
        </w:rPr>
        <w:t>. Moreover the Lillebaelt Academy, the largest business academy in the Region of Southern Denmark</w:t>
      </w:r>
      <w:r>
        <w:fldChar w:fldCharType="begin"/>
      </w:r>
      <w:r>
        <w:instrText>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w:instrText>
      </w:r>
      <w:r>
        <w:fldChar w:fldCharType="separate"/>
      </w:r>
      <w:bookmarkStart w:id="572" w:name="__Fieldmark__3600_783673585"/>
      <w:r>
        <w:rPr>
          <w:rFonts w:eastAsia="Calibri" w:cs="Times New Roman"/>
          <w:lang w:val="en-US"/>
        </w:rPr>
      </w:r>
      <w:r>
        <w:rPr>
          <w:rFonts w:eastAsia="Calibri" w:cs="Times New Roman"/>
          <w:szCs w:val="24"/>
          <w:lang w:val="en-US"/>
        </w:rPr>
        <w:t>(</w:t>
      </w:r>
      <w:bookmarkStart w:id="573" w:name="__Fieldmark__4061_427358540"/>
      <w:r>
        <w:rPr>
          <w:rFonts w:eastAsia="Calibri" w:cs="Times New Roman"/>
          <w:szCs w:val="24"/>
          <w:lang w:val="en-US"/>
        </w:rPr>
        <w:t>“EAL. About us,” n.d.)</w:t>
      </w:r>
      <w:r>
        <w:rPr>
          <w:rFonts w:eastAsia="Calibri" w:cs="Times New Roman"/>
          <w:lang w:val="en-US"/>
        </w:rPr>
      </w:r>
      <w:r>
        <w:fldChar w:fldCharType="end"/>
      </w:r>
      <w:bookmarkEnd w:id="572"/>
      <w:bookmarkEnd w:id="573"/>
      <w:r>
        <w:rPr>
          <w:rFonts w:eastAsia="Calibri" w:cs="Times New Roman"/>
          <w:lang w:val="en-US"/>
        </w:rPr>
        <w:t xml:space="preserve"> is an important actor for the cluster having 10 relevant bachelor programs in automation manufacturing and IT. </w:t>
      </w:r>
    </w:p>
    <w:p>
      <w:pPr>
        <w:pStyle w:val="Normal"/>
        <w:spacing w:lineRule="auto" w:line="360"/>
        <w:rPr/>
      </w:pPr>
      <w:r>
        <w:rPr>
          <w:rFonts w:eastAsia="Calibri" w:cs="Times New Roman"/>
          <w:lang w:val="en-US"/>
        </w:rPr>
        <w:t xml:space="preserve">My presentation of the cluster actors in Figure 8 deviates from the one that </w:t>
      </w:r>
      <w:r>
        <w:fldChar w:fldCharType="begin"/>
      </w:r>
      <w:r>
        <w:instrText>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w:instrText>
      </w:r>
      <w:r>
        <w:fldChar w:fldCharType="separate"/>
      </w:r>
      <w:bookmarkStart w:id="574" w:name="__Fieldmark__3609_783673585"/>
      <w:r>
        <w:rPr>
          <w:rFonts w:eastAsia="Calibri" w:cs="Times New Roman"/>
          <w:lang w:val="en-US"/>
        </w:rPr>
      </w:r>
      <w:r>
        <w:rPr>
          <w:rFonts w:eastAsia="Calibri" w:cs="Times New Roman"/>
          <w:szCs w:val="24"/>
          <w:lang w:val="en-US"/>
        </w:rPr>
        <w:t>(</w:t>
      </w:r>
      <w:bookmarkStart w:id="575" w:name="__Fieldmark__4072_427358540"/>
      <w:r>
        <w:rPr>
          <w:rFonts w:eastAsia="Calibri" w:cs="Times New Roman"/>
          <w:szCs w:val="24"/>
          <w:lang w:val="en-US"/>
        </w:rPr>
        <w:t>Andersson et al., 2004; Sölvell et al., 2003)</w:t>
      </w:r>
      <w:r>
        <w:rPr>
          <w:rFonts w:eastAsia="Calibri" w:cs="Times New Roman"/>
          <w:lang w:val="en-US"/>
        </w:rPr>
      </w:r>
      <w:r>
        <w:fldChar w:fldCharType="end"/>
      </w:r>
      <w:bookmarkEnd w:id="574"/>
      <w:bookmarkEnd w:id="575"/>
      <w:r>
        <w:rPr>
          <w:rFonts w:eastAsia="Calibri"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 the Figure 8 and can be either the municipality Odense in the sectoral level, the county of Southern Denmark regionally or the Danish government nationally as presented in Figure 7 on Danish innovation systems analysis. The state creates organizations positing in IFCs and financing to explain its involvement in the cluster as a bridge to reach industry and Academia.</w:t>
      </w:r>
    </w:p>
    <w:p>
      <w:pPr>
        <w:pStyle w:val="Normal"/>
        <w:spacing w:lineRule="auto" w:line="360"/>
        <w:rPr/>
      </w:pPr>
      <w:r>
        <w:rPr>
          <w:rFonts w:eastAsia="Calibri" w:cs="Times New Roman"/>
          <w:lang w:val="en-US"/>
        </w:rPr>
        <w:t xml:space="preserve">A great example is RoboCluster the first network organization that put officially the word ‘cluster’ in the Odense robotics ecosystem. Probably the Robocluster establishment in 2002 was the moment that the cluster recognized as ‘cluster’ in the robotic environment. The initiative was supported by the University of Southern Denmark, Odense Technical College, the former County of Funen, Odense Municipality and the Ministry of Science as a so-called growth environment based at the Maersk Mc-Kinney Moller Institute (“History- RoboCluster,” n.d.). The theory is confirmed here that public initiatives more frequently promote cluster development </w:t>
      </w:r>
      <w:r>
        <w:fldChar w:fldCharType="begin"/>
      </w:r>
      <w:r>
        <w:instrText>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w:instrText>
      </w:r>
      <w:r>
        <w:fldChar w:fldCharType="separate"/>
      </w:r>
      <w:bookmarkStart w:id="576" w:name="__Fieldmark__3618_783673585"/>
      <w:r>
        <w:rPr>
          <w:rFonts w:eastAsia="Calibri" w:cs="Times New Roman"/>
          <w:lang w:val="en-US"/>
        </w:rPr>
      </w:r>
      <w:r>
        <w:rPr>
          <w:rFonts w:eastAsia="Calibri" w:cs="Times New Roman"/>
          <w:szCs w:val="24"/>
          <w:lang w:val="en-US"/>
        </w:rPr>
        <w:t>(</w:t>
      </w:r>
      <w:bookmarkStart w:id="577" w:name="__Fieldmark__4087_427358540"/>
      <w:r>
        <w:rPr>
          <w:rFonts w:eastAsia="Calibri" w:cs="Times New Roman"/>
          <w:szCs w:val="24"/>
          <w:lang w:val="en-US"/>
        </w:rPr>
        <w:t>Andersson et al., 2004; Sölvell et al., 2003)</w:t>
      </w:r>
      <w:r>
        <w:rPr>
          <w:rFonts w:eastAsia="Calibri" w:cs="Times New Roman"/>
          <w:lang w:val="en-US"/>
        </w:rPr>
      </w:r>
      <w:r>
        <w:fldChar w:fldCharType="end"/>
      </w:r>
      <w:bookmarkEnd w:id="576"/>
      <w:bookmarkEnd w:id="577"/>
      <w:r>
        <w:rPr>
          <w:rFonts w:eastAsia="Calibri" w:cs="Times New Roman"/>
          <w:lang w:val="en-US"/>
        </w:rPr>
        <w:t xml:space="preserve"> but also the three innovation systems(sectoral, regional and national) cooperate to form the first IFC. Following the example, in 2006 RoboCluster added regional partners to the group processing from sectoral to regional level and in 2008 until today is recognized as a national innovation network for robots, automation and intelligent systems </w:t>
      </w:r>
      <w:r>
        <w:fldChar w:fldCharType="begin"/>
      </w:r>
      <w:r>
        <w:instrText>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w:instrText>
      </w:r>
      <w:r>
        <w:fldChar w:fldCharType="separate"/>
      </w:r>
      <w:bookmarkStart w:id="578" w:name="__Fieldmark__3625_783673585"/>
      <w:r>
        <w:rPr>
          <w:rFonts w:eastAsia="Calibri" w:cs="Times New Roman"/>
          <w:lang w:val="en-US"/>
        </w:rPr>
      </w:r>
      <w:r>
        <w:rPr>
          <w:rFonts w:eastAsia="Calibri" w:cs="Times New Roman"/>
          <w:szCs w:val="24"/>
          <w:lang w:val="en-US"/>
        </w:rPr>
        <w:t>(</w:t>
      </w:r>
      <w:bookmarkStart w:id="579" w:name="__Fieldmark__4092_427358540"/>
      <w:r>
        <w:rPr>
          <w:rFonts w:eastAsia="Calibri" w:cs="Times New Roman"/>
          <w:szCs w:val="24"/>
          <w:lang w:val="en-US"/>
        </w:rPr>
        <w:t>“History- RoboCluster,” n.d.)</w:t>
      </w:r>
      <w:r>
        <w:rPr>
          <w:rFonts w:eastAsia="Calibri" w:cs="Times New Roman"/>
          <w:lang w:val="en-US"/>
        </w:rPr>
      </w:r>
      <w:r>
        <w:fldChar w:fldCharType="end"/>
      </w:r>
      <w:bookmarkEnd w:id="578"/>
      <w:bookmarkEnd w:id="579"/>
      <w:r>
        <w:rPr>
          <w:rFonts w:eastAsia="Calibri" w:cs="Times New Roman"/>
          <w:lang w:val="en-US"/>
        </w:rPr>
        <w:t xml:space="preserve"> that connects the Danes.</w:t>
      </w:r>
    </w:p>
    <w:p>
      <w:pPr>
        <w:pStyle w:val="Normal"/>
        <w:spacing w:lineRule="auto" w:line="360"/>
        <w:rPr/>
      </w:pPr>
      <w:r>
        <w:rPr>
          <w:rFonts w:eastAsia="Calibri" w:cs="Times New Roman"/>
          <w:lang w:val="en-US"/>
        </w:rPr>
        <w:t xml:space="preserve">The state put also the foundations for constant capital flow in the cluster. In 2005 the Advanced Technology foundation started to promote application focused research  allocating 1 billion kroner per year (500million public and 500 million private)  in research projects </w:t>
      </w:r>
      <w:r>
        <w:fldChar w:fldCharType="begin"/>
      </w:r>
      <w:r>
        <w:instrText>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580" w:name="__Fieldmark__3634_783673585"/>
      <w:r>
        <w:rPr>
          <w:rFonts w:eastAsia="Calibri" w:cs="Times New Roman"/>
          <w:lang w:val="en-US"/>
        </w:rPr>
        <w:t>(</w:t>
      </w:r>
      <w:bookmarkStart w:id="581" w:name="__Fieldmark__4099_427358540"/>
      <w:r>
        <w:rPr>
          <w:rFonts w:eastAsia="Calibri" w:cs="Times New Roman"/>
          <w:lang w:val="en-US"/>
        </w:rPr>
        <w:t>Steno, 2016)</w:t>
      </w:r>
      <w:r>
        <w:rPr>
          <w:rFonts w:eastAsia="Calibri" w:cs="Times New Roman"/>
          <w:lang w:val="en-US"/>
        </w:rPr>
      </w:r>
      <w:r>
        <w:fldChar w:fldCharType="end"/>
      </w:r>
      <w:bookmarkEnd w:id="580"/>
      <w:bookmarkEnd w:id="581"/>
      <w:r>
        <w:rPr>
          <w:rFonts w:eastAsia="Calibri" w:cs="Times New Roman"/>
          <w:lang w:val="en-US"/>
        </w:rPr>
        <w:t xml:space="preserve">. Advanced Technology foundation was one of the three national funding bodies that formed Innovation Fund Denmark (IFD) in 2014 </w:t>
      </w:r>
      <w:r>
        <w:fldChar w:fldCharType="begin"/>
      </w:r>
      <w:r>
        <w:instrText>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w:instrText>
      </w:r>
      <w:r>
        <w:fldChar w:fldCharType="separate"/>
      </w:r>
      <w:bookmarkStart w:id="582" w:name="__Fieldmark__3641_783673585"/>
      <w:r>
        <w:rPr>
          <w:rFonts w:eastAsia="Calibri" w:cs="Times New Roman"/>
          <w:lang w:val="en-US"/>
        </w:rPr>
      </w:r>
      <w:r>
        <w:rPr>
          <w:rFonts w:eastAsia="Calibri" w:cs="Times New Roman"/>
          <w:szCs w:val="24"/>
          <w:lang w:val="en-US"/>
        </w:rPr>
        <w:t>(</w:t>
      </w:r>
      <w:bookmarkStart w:id="583" w:name="__Fieldmark__4104_427358540"/>
      <w:r>
        <w:rPr>
          <w:rFonts w:eastAsia="Calibri" w:cs="Times New Roman"/>
          <w:szCs w:val="24"/>
          <w:lang w:val="en-US"/>
        </w:rPr>
        <w:t>“Innovation Fund Denmark’s strategy,” 2015)</w:t>
      </w:r>
      <w:r>
        <w:rPr>
          <w:rFonts w:eastAsia="Calibri" w:cs="Times New Roman"/>
          <w:lang w:val="en-US"/>
        </w:rPr>
      </w:r>
      <w:r>
        <w:fldChar w:fldCharType="end"/>
      </w:r>
      <w:bookmarkEnd w:id="582"/>
      <w:bookmarkEnd w:id="583"/>
      <w:r>
        <w:rPr>
          <w:rFonts w:eastAsia="Calibri"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Vaekstfonden are the most recognized foundations nationally that support a broader range of related industries within Denmark. </w:t>
      </w:r>
    </w:p>
    <w:p>
      <w:pPr>
        <w:pStyle w:val="Normal"/>
        <w:spacing w:lineRule="auto" w:line="360"/>
        <w:rPr>
          <w:rFonts w:ascii="Times New Roman" w:hAnsi="Times New Roman" w:eastAsia="Calibri" w:cs="Times New Roman"/>
          <w:lang w:val="en-US"/>
        </w:rPr>
      </w:pPr>
      <w:r>
        <w:rPr>
          <w:rFonts w:eastAsia="Calibri" w:cs="Times New Roman"/>
          <w:lang w:val="en-US"/>
        </w:rPr>
        <w:t>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Bjarke claimed that University and integrators are the key players in the cluster despite that he finds core of innovation projects is that the government and the region provide money and to it. His opinion about the government is interesting:</w:t>
      </w:r>
    </w:p>
    <w:p>
      <w:pPr>
        <w:pStyle w:val="Normal"/>
        <w:spacing w:lineRule="auto" w:line="360"/>
        <w:rPr>
          <w:rFonts w:ascii="Times New Roman" w:hAnsi="Times New Roman" w:eastAsia="Calibri" w:cs="Times New Roman"/>
          <w:lang w:val="en-US"/>
        </w:rPr>
      </w:pPr>
      <w:r>
        <w:rPr>
          <w:rFonts w:eastAsia="Calibri" w:cs="Times New Roman"/>
          <w:i/>
          <w:lang w:val="en-US"/>
        </w:rPr>
        <w:t>Bjarke: The government is not a receiver. The government is more like a supporter. For me, the government is you know, few persons sitting in Copenhagen. It is in the second role</w:t>
      </w:r>
      <w:r>
        <w:rPr>
          <w:rFonts w:eastAsia="Calibri" w:cs="Times New Roman"/>
          <w:lang w:val="en-US"/>
        </w:rPr>
        <w:t>.</w:t>
      </w:r>
    </w:p>
    <w:p>
      <w:pPr>
        <w:pStyle w:val="Normal"/>
        <w:spacing w:lineRule="auto" w:line="360"/>
        <w:rPr>
          <w:rFonts w:ascii="Times New Roman" w:hAnsi="Times New Roman" w:eastAsia="Calibri" w:cs="Times New Roman"/>
          <w:lang w:val="en-US"/>
        </w:rPr>
      </w:pPr>
      <w:r>
        <w:rPr>
          <w:rFonts w:eastAsia="Calibri" w:cs="Times New Roman"/>
          <w:lang w:val="en-US"/>
        </w:rPr>
        <w:t xml:space="preserve">Tommy finds that Odense Robotics frontier is the heart of the cluster as an organ that makes work. </w:t>
      </w:r>
    </w:p>
    <w:p>
      <w:pPr>
        <w:pStyle w:val="Normal"/>
        <w:spacing w:lineRule="auto" w:line="360"/>
        <w:rPr>
          <w:rFonts w:ascii="Times New Roman" w:hAnsi="Times New Roman" w:eastAsia="Calibri" w:cs="Times New Roman"/>
          <w:i/>
          <w:i/>
          <w:lang w:val="en-US"/>
        </w:rPr>
      </w:pPr>
      <w:r>
        <w:rPr>
          <w:rFonts w:eastAsia="Calibri" w:cs="Times New Roman"/>
          <w:i/>
          <w:lang w:val="en-US"/>
        </w:rPr>
        <w:t xml:space="preserve">Ioannis: Which are the main components of the cluster? </w:t>
      </w:r>
    </w:p>
    <w:p>
      <w:pPr>
        <w:pStyle w:val="Normal"/>
        <w:spacing w:lineRule="auto" w:line="360"/>
        <w:rPr>
          <w:rFonts w:ascii="Times New Roman" w:hAnsi="Times New Roman" w:eastAsia="Calibri" w:cs="Times New Roman"/>
          <w:i/>
          <w:i/>
          <w:lang w:val="en-US"/>
        </w:rPr>
      </w:pPr>
      <w:r>
        <w:rPr>
          <w:rFonts w:eastAsia="Calibri" w:cs="Times New Roman"/>
          <w:i/>
          <w:lang w:val="en-US"/>
        </w:rPr>
        <w:t>Tommy: Well there is--. Odense Robotics is actually kind of a--. Do you know Mikkel Christoffersen?</w:t>
      </w:r>
    </w:p>
    <w:p>
      <w:pPr>
        <w:pStyle w:val="Normal"/>
        <w:spacing w:lineRule="auto" w:line="360"/>
        <w:rPr>
          <w:rFonts w:ascii="Times New Roman" w:hAnsi="Times New Roman" w:eastAsia="Calibri" w:cs="Times New Roman"/>
          <w:i/>
          <w:i/>
          <w:lang w:val="en-US"/>
        </w:rPr>
      </w:pPr>
      <w:r>
        <w:rPr>
          <w:rFonts w:eastAsia="Calibri" w:cs="Times New Roman"/>
          <w:i/>
          <w:lang w:val="en-US"/>
        </w:rPr>
        <w:t>Ioannis: Yes. I had an interview with him before.</w:t>
      </w:r>
    </w:p>
    <w:p>
      <w:pPr>
        <w:pStyle w:val="Normal"/>
        <w:spacing w:lineRule="auto" w:line="360"/>
        <w:rPr>
          <w:rFonts w:ascii="Times New Roman" w:hAnsi="Times New Roman" w:eastAsia="Calibri" w:cs="Times New Roman"/>
          <w:i/>
          <w:i/>
          <w:lang w:val="en-US"/>
        </w:rPr>
      </w:pPr>
      <w:r>
        <w:rPr>
          <w:rFonts w:eastAsia="Calibri"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Pr>
          <w:rFonts w:eastAsia="Calibri" w:cs="Times New Roman"/>
          <w:i/>
          <w:u w:val="single"/>
          <w:lang w:val="en-US"/>
        </w:rPr>
        <w:t>So the cluster has a kind of organ that makes sure that the cluster stays alive</w:t>
      </w:r>
      <w:r>
        <w:rPr>
          <w:rFonts w:eastAsia="Calibri" w:cs="Times New Roman"/>
          <w:i/>
          <w:lang w:val="en-US"/>
        </w:rPr>
        <w:t xml:space="preserve">. And then there are all the companies that get into the cluster. </w:t>
      </w:r>
      <w:r>
        <w:rPr>
          <w:rFonts w:eastAsia="Calibri" w:cs="Times New Roman"/>
          <w:i/>
          <w:u w:val="single"/>
          <w:lang w:val="en-US"/>
        </w:rPr>
        <w:t xml:space="preserve">Mikkel and his team are also the ones who makes sure that there is financing </w:t>
      </w:r>
      <w:r>
        <w:rPr>
          <w:rFonts w:eastAsia="Calibri"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pPr>
        <w:pStyle w:val="Normal"/>
        <w:spacing w:lineRule="auto" w:line="360"/>
        <w:rPr>
          <w:rFonts w:ascii="Times New Roman" w:hAnsi="Times New Roman" w:eastAsia="Calibri" w:cs="Times New Roman"/>
          <w:lang w:val="en-US"/>
        </w:rPr>
      </w:pPr>
      <w:r>
        <w:rPr>
          <w:rFonts w:eastAsia="Calibri" w:cs="Times New Roman"/>
          <w:lang w:val="en-US"/>
        </w:rPr>
        <w:t>University and Industry appeared as the main key players of the cluster. Mathias for instance, finds MMMI the most important actor as it set the research bases for the cluster as a Lindo Shipyard’s descendant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pPr>
        <w:pStyle w:val="Normal"/>
        <w:spacing w:lineRule="auto" w:line="360"/>
        <w:rPr>
          <w:rFonts w:ascii="Times New Roman" w:hAnsi="Times New Roman" w:eastAsia="Calibri" w:cs="Times New Roman"/>
          <w:i/>
          <w:i/>
          <w:lang w:val="en-US"/>
        </w:rPr>
      </w:pPr>
      <w:r>
        <w:rPr>
          <w:rFonts w:eastAsia="Calibri"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 and that is probably a key driver to filling up the University with new promising students that I can see that now there is really  a market and a workplace within Robotics. And the of course we have quite recently, Udvikling Fyn, and always we have Odense Robotics has been established to help facilitating the efforts as well. So to me, these are some other really key players.</w:t>
      </w:r>
    </w:p>
    <w:p>
      <w:pPr>
        <w:pStyle w:val="Normal"/>
        <w:spacing w:lineRule="auto" w:line="360"/>
        <w:rPr>
          <w:rFonts w:ascii="Times New Roman" w:hAnsi="Times New Roman" w:eastAsia="Calibri" w:cs="Times New Roman"/>
          <w:lang w:val="en-US"/>
        </w:rPr>
      </w:pPr>
      <w:r>
        <w:rPr>
          <w:rFonts w:eastAsia="Calibri" w:cs="Times New Roman"/>
          <w:lang w:val="en-US"/>
        </w:rPr>
        <w:t>Anders description of the cluster actors includes University, Industry (the UR example) and after that the facilitators DTI, Odense Robotics frontier and Udvikling Fyn. Institutes for collaboration can give directions and mentoring for financial support either private or public. Government again appears in the system as an undercover agent behind collaboration facilitator organizations.</w:t>
      </w:r>
    </w:p>
    <w:p>
      <w:pPr>
        <w:pStyle w:val="Heading1"/>
        <w:rPr>
          <w:rFonts w:eastAsia="Times New Roman"/>
          <w:lang w:val="en-US"/>
        </w:rPr>
      </w:pPr>
      <w:bookmarkStart w:id="584" w:name="_Toc459977519"/>
      <w:bookmarkStart w:id="585" w:name="__RefHeading___Toc5824_427358540"/>
      <w:bookmarkEnd w:id="584"/>
      <w:bookmarkEnd w:id="585"/>
      <w:r>
        <w:rPr>
          <w:rFonts w:eastAsia="Times New Roman"/>
          <w:lang w:val="en-US"/>
        </w:rPr>
        <w:t>4.4.2 Odense robotics Cluster and Innovation</w:t>
      </w:r>
    </w:p>
    <w:p>
      <w:pPr>
        <w:pStyle w:val="Normal"/>
        <w:spacing w:lineRule="auto" w:line="360"/>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pPr>
        <w:pStyle w:val="Normal"/>
        <w:spacing w:lineRule="auto" w:line="360"/>
        <w:rPr>
          <w:i/>
          <w:i/>
          <w:lang w:val="en-US"/>
        </w:rPr>
      </w:pPr>
      <w:r>
        <w:rPr>
          <w:i/>
          <w:lang w:val="en-US"/>
        </w:rPr>
        <w:t>Ioannis: Do you find your product innovative?</w:t>
      </w:r>
    </w:p>
    <w:p>
      <w:pPr>
        <w:pStyle w:val="Normal"/>
        <w:spacing w:lineRule="auto" w:line="360"/>
        <w:rPr>
          <w:i/>
          <w:i/>
          <w:lang w:val="en-US"/>
        </w:rPr>
      </w:pPr>
      <w:r>
        <w:rPr>
          <w:i/>
          <w:lang w:val="en-US"/>
        </w:rPr>
        <w:t>Jimmy: Definitely.</w:t>
      </w:r>
    </w:p>
    <w:p>
      <w:pPr>
        <w:pStyle w:val="Normal"/>
        <w:spacing w:lineRule="auto" w:line="360"/>
        <w:rPr>
          <w:i/>
          <w:i/>
          <w:lang w:val="en-US"/>
        </w:rPr>
      </w:pPr>
      <w:r>
        <w:rPr>
          <w:i/>
          <w:lang w:val="en-US"/>
        </w:rPr>
        <w:t>Ioannis: For which reasons let's say?</w:t>
      </w:r>
    </w:p>
    <w:p>
      <w:pPr>
        <w:pStyle w:val="Normal"/>
        <w:spacing w:lineRule="auto" w:line="360"/>
        <w:rPr>
          <w:i/>
          <w:i/>
          <w:lang w:val="en-US"/>
        </w:rPr>
      </w:pPr>
      <w:r>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But in a traditional way. So we are trying to combine online programming with very strong offline software which is really the innovative part here. We are not really--. It's in the software and -- Sort of a concept, a new concept of combining these things with this kind of online planning, because--. Well offline planning-- Offline software has been for many many years. The sensors have been used for many years tools that we use are the same. </w:t>
      </w:r>
      <w:r>
        <w:rPr>
          <w:i/>
          <w:u w:val="single"/>
          <w:lang w:val="en-US"/>
        </w:rPr>
        <w:t>So it's not-- We didn't create a new piece of hardware but it's a new way to use robots and to think of robots. And also the idea of creating intuitive robotics is not new.</w:t>
      </w:r>
      <w:r>
        <w:rPr>
          <w:i/>
          <w:lang w:val="en-US"/>
        </w:rPr>
        <w:t xml:space="preserve"> Like Universal Robots and MiR that are also here in Odense have that kind of approach. I think On Robots also has this approach that it should be programmed play and everybody should be able to use that robots. This is the same of what we are seeing.</w:t>
      </w:r>
    </w:p>
    <w:p>
      <w:pPr>
        <w:pStyle w:val="Normal"/>
        <w:spacing w:lineRule="auto" w:line="360"/>
        <w:rPr>
          <w:lang w:val="en-US"/>
        </w:rPr>
      </w:pPr>
      <w:r>
        <w:rPr>
          <w:lang w:val="en-US"/>
        </w:rPr>
        <w:t xml:space="preserve">For Jimmy in the above quotation was difficult to describe why the CorePath product is innovative that depends on the match between new and existing technologies used in an innovative way.  Mathias on the other hand stretches the need to distinguish the line between technology development and innovation. He </w:t>
      </w:r>
      <w:commentRangeStart w:id="68"/>
      <w:r>
        <w:rPr>
          <w:lang w:val="en-US"/>
        </w:rPr>
        <w:t>explains</w:t>
      </w:r>
      <w:r>
        <w:rPr>
          <w:lang w:val="en-US"/>
        </w:rPr>
      </w:r>
      <w:commentRangeEnd w:id="68"/>
      <w:r>
        <w:commentReference w:id="68"/>
      </w:r>
      <w:r>
        <w:rPr>
          <w:lang w:val="en-US"/>
        </w:rPr>
        <w:t>:</w:t>
      </w:r>
    </w:p>
    <w:p>
      <w:pPr>
        <w:pStyle w:val="Normal"/>
        <w:spacing w:lineRule="auto" w:line="360"/>
        <w:rPr>
          <w:i/>
          <w:i/>
          <w:u w:val="single"/>
          <w:lang w:val="en-US"/>
        </w:rPr>
      </w:pPr>
      <w:r>
        <w:rPr>
          <w:i/>
          <w:lang w:val="en-US"/>
        </w:rPr>
        <w:t>Mathias: For my perspective, it (the line between innovation and technical development) is when the new technologies and the ideas take into the commercial world, where it is commercialized and because it is a lot of big ideas and a lot of interesting stuff going on in engineering areas here to University,</w:t>
      </w:r>
      <w:r>
        <w:rPr>
          <w:i/>
          <w:u w:val="single"/>
          <w:lang w:val="en-US"/>
        </w:rPr>
        <w:t xml:space="preserve"> but innovation is..- in my opinion, is when it's used in real world for something in a new way on new technologies used to.</w:t>
      </w:r>
    </w:p>
    <w:p>
      <w:pPr>
        <w:pStyle w:val="Normal"/>
        <w:spacing w:lineRule="auto" w:line="360"/>
        <w:rPr>
          <w:lang w:val="en-US"/>
        </w:rPr>
      </w:pPr>
      <w:r>
        <w:rPr>
          <w:lang w:val="en-US"/>
        </w:rPr>
        <w:t xml:space="preserve">Lars-Peter that innovation is a fancy word for coming up with something new and for Anders innovation is created by having new ideas on what to do with technology. The success of Universal Robots influence the cluster participant’s perception in innovation as it is used as an anchor role model for their product types as also is obvious in Jimmy’s above statement. The robot in a box that Universal Robot created with the series of robotic arms made visible for the cluster members to realize that the combination of technologies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pPr>
        <w:pStyle w:val="Normal"/>
        <w:spacing w:lineRule="auto" w:line="360"/>
        <w:rPr>
          <w:lang w:val="en-US"/>
        </w:rPr>
      </w:pPr>
      <w:r>
        <w:rPr>
          <w:lang w:val="en-US"/>
        </w:rPr>
        <w:t>Details about Universal robots effect on innovation. and MiR</w:t>
      </w:r>
    </w:p>
    <w:p>
      <w:pPr>
        <w:pStyle w:val="Normal"/>
        <w:numPr>
          <w:ilvl w:val="0"/>
          <w:numId w:val="6"/>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mention how innovation is in general in odense robotics</w:t>
      </w:r>
    </w:p>
    <w:p>
      <w:pPr>
        <w:pStyle w:val="Normal"/>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 xml:space="preserve">Innovation in Odense Robotics cluster is seen to be a combination of existing technologies to new applications that can be commercialized into a final product. </w:t>
      </w:r>
    </w:p>
    <w:p>
      <w:pPr>
        <w:pStyle w:val="Normal"/>
        <w:numPr>
          <w:ilvl w:val="0"/>
          <w:numId w:val="6"/>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For example: universal robots</w:t>
      </w:r>
      <w:r>
        <w:rPr>
          <w:rFonts w:eastAsia="Wingdings" w:cs="Wingdings" w:ascii="Wingdings" w:hAnsi="Wingdings"/>
          <w:lang w:val="en-US"/>
        </w:rPr>
        <w:t></w:t>
      </w:r>
      <w:r>
        <w:rPr>
          <w:rFonts w:eastAsia="Calibri" w:cs="Times New Roman" w:ascii="Calibri" w:hAnsi="Calibri"/>
          <w:lang w:val="en-US"/>
        </w:rPr>
        <w:t>leader in cobots</w:t>
      </w:r>
    </w:p>
    <w:p>
      <w:pPr>
        <w:pStyle w:val="Normal"/>
        <w:numPr>
          <w:ilvl w:val="0"/>
          <w:numId w:val="6"/>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Maybe study some products from the company</w:t>
      </w:r>
    </w:p>
    <w:p>
      <w:pPr>
        <w:pStyle w:val="Normal"/>
        <w:numPr>
          <w:ilvl w:val="0"/>
          <w:numId w:val="6"/>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Mention their opinions concerning their products and innovation</w:t>
      </w:r>
    </w:p>
    <w:p>
      <w:pPr>
        <w:pStyle w:val="Heading1"/>
        <w:rPr>
          <w:rFonts w:eastAsia="Calibri"/>
          <w:lang w:val="en-US"/>
        </w:rPr>
      </w:pPr>
      <w:bookmarkStart w:id="586" w:name="_Toc459977520"/>
      <w:bookmarkStart w:id="587" w:name="__RefHeading___Toc5826_427358540"/>
      <w:bookmarkEnd w:id="586"/>
      <w:bookmarkEnd w:id="587"/>
      <w:r>
        <w:rPr>
          <w:rFonts w:eastAsia="Calibri"/>
          <w:lang w:val="en-US"/>
        </w:rPr>
        <w:t>4.5 Odense Robotics cluster Characteristics</w:t>
      </w:r>
    </w:p>
    <w:p>
      <w:pPr>
        <w:pStyle w:val="Heading1"/>
        <w:rPr>
          <w:lang w:val="en-US"/>
        </w:rPr>
      </w:pPr>
      <w:bookmarkStart w:id="588" w:name="_Toc459977521"/>
      <w:bookmarkStart w:id="589" w:name="__RefHeading___Toc5828_427358540"/>
      <w:bookmarkEnd w:id="588"/>
      <w:bookmarkEnd w:id="589"/>
      <w:r>
        <w:rPr>
          <w:lang w:val="en-US"/>
        </w:rPr>
        <w:t>4.5.1 Geographical proximity</w:t>
      </w:r>
    </w:p>
    <w:p>
      <w:pPr>
        <w:pStyle w:val="Normal"/>
        <w:spacing w:lineRule="auto" w:line="360"/>
        <w:rPr>
          <w:rFonts w:ascii="Calibri" w:hAnsi="Calibri" w:eastAsia="Calibri" w:cs="Times New Roman"/>
          <w:bCs/>
          <w:i/>
          <w:i/>
          <w:lang w:val="en-US"/>
        </w:rPr>
      </w:pPr>
      <w:r>
        <w:rPr>
          <w:rFonts w:eastAsia="Calibri"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pPr>
        <w:pStyle w:val="Normal"/>
        <w:spacing w:lineRule="auto" w:line="360"/>
        <w:rPr>
          <w:rFonts w:ascii="Calibri" w:hAnsi="Calibri" w:eastAsia="Calibri" w:cs="Times New Roman"/>
          <w:bCs/>
          <w:lang w:val="en-US"/>
        </w:rPr>
      </w:pPr>
      <w:r>
        <w:rPr>
          <w:rFonts w:eastAsia="Calibri" w:cs="Times New Roman" w:ascii="Calibri" w:hAnsi="Calibri"/>
          <w:bCs/>
          <w:lang w:val="en-US"/>
        </w:rPr>
        <w:t>Figure 10 shows the proximity of the Odense Robotics companies in Denmark. Most of them are located around the city of Odense and the other in the broad region of Southern Denmark inside the borders of Fynen Island.</w:t>
      </w:r>
    </w:p>
    <w:p>
      <w:pPr>
        <w:pStyle w:val="Normal"/>
        <w:keepNext/>
        <w:spacing w:lineRule="auto" w:line="360"/>
        <w:rPr/>
      </w:pPr>
      <w:r>
        <w:rPr/>
        <w:drawing>
          <wp:inline distT="0" distB="0" distL="0" distR="0">
            <wp:extent cx="6294755" cy="3443605"/>
            <wp:effectExtent l="0" t="0" r="0" b="0"/>
            <wp:docPr id="26" name="Εικόνα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15" descr=""/>
                    <pic:cNvPicPr>
                      <a:picLocks noChangeAspect="1" noChangeArrowheads="1"/>
                    </pic:cNvPicPr>
                  </pic:nvPicPr>
                  <pic:blipFill>
                    <a:blip r:embed="rId33"/>
                    <a:stretch>
                      <a:fillRect/>
                    </a:stretch>
                  </pic:blipFill>
                  <pic:spPr bwMode="auto">
                    <a:xfrm>
                      <a:off x="0" y="0"/>
                      <a:ext cx="6294755" cy="3443605"/>
                    </a:xfrm>
                    <a:prstGeom prst="rect">
                      <a:avLst/>
                    </a:prstGeom>
                  </pic:spPr>
                </pic:pic>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10</w:t>
      </w:r>
      <w:r>
        <w:fldChar w:fldCharType="end"/>
      </w:r>
      <w:r>
        <w:rPr>
          <w:lang w:val="en-US"/>
        </w:rPr>
        <w:t>. Odense Robotics industry proximity</w:t>
      </w:r>
    </w:p>
    <w:p>
      <w:pPr>
        <w:pStyle w:val="Normal"/>
        <w:spacing w:lineRule="auto" w:line="360"/>
        <w:rPr>
          <w:rFonts w:eastAsia="Calibri"/>
          <w:lang w:val="en-US"/>
        </w:rPr>
      </w:pPr>
      <w:r>
        <w:rPr>
          <w:rFonts w:eastAsia="Calibri"/>
          <w:lang w:val="en-US"/>
        </w:rPr>
        <w:t xml:space="preserve">The proximity of the cluster member was a sensation that I received through the research but was also a profound characteristic. In the procedure of data collection eight out of nine of my interviewees where locating in facilities around the university of Southern Denmark. Those eight interviews were conducted in either the campus of SDU or in the two facilities Forskerparker and Videnbyen the power centers for welfare, robot technology and business. Those three places are located less than 1km far from each other giving me the opportunity to feel that this geographical triangle is the heart of the cluster. </w:t>
      </w:r>
    </w:p>
    <w:p>
      <w:pPr>
        <w:pStyle w:val="Normal"/>
        <w:spacing w:lineRule="auto" w:line="360"/>
        <w:rPr>
          <w:rFonts w:eastAsia="Calibri"/>
          <w:lang w:val="en-US"/>
        </w:rPr>
      </w:pPr>
      <w:r>
        <w:rPr>
          <w:rFonts w:eastAsia="Calibri"/>
          <w:lang w:val="en-US"/>
        </w:rPr>
        <w:t>My meeting with Bilge was the only interview that was out from the above borders. Despite the fact that OnRobots is located 3km far for the Odense city center, the talk with Bilge let me understand that clustering was not in a big focus for his company. As he admitted it was hard for him to elaborate with terms around clustering as they were not in a close collaboration with it. It was tough for high to give a definition for the cluster as also to describe the main cluster actors. When I asked him the question about the actors Bilge replied:</w:t>
      </w:r>
    </w:p>
    <w:p>
      <w:pPr>
        <w:pStyle w:val="Normal"/>
        <w:spacing w:lineRule="auto" w:line="360"/>
        <w:rPr>
          <w:rFonts w:eastAsia="Calibri"/>
          <w:i/>
          <w:i/>
          <w:lang w:val="en-US"/>
        </w:rPr>
      </w:pPr>
      <w:r>
        <w:rPr>
          <w:rFonts w:eastAsia="Calibri"/>
          <w:i/>
          <w:lang w:val="en-US"/>
        </w:rPr>
        <w:t>Bilge: I'm sorry I don't know. We don't use the Cluster a lot. We are our own company.</w:t>
      </w:r>
    </w:p>
    <w:p>
      <w:pPr>
        <w:pStyle w:val="Normal"/>
        <w:spacing w:lineRule="auto" w:line="360"/>
        <w:rPr>
          <w:rFonts w:eastAsia="Calibri"/>
          <w:lang w:val="en-US"/>
        </w:rPr>
      </w:pPr>
      <w:r>
        <w:rPr>
          <w:rFonts w:eastAsia="Calibri"/>
          <w:lang w:val="en-US"/>
        </w:rPr>
        <w:t>Geographical proximity matters in Odense Robotics cluster as communication and collaboration is facilitated when moving in the core of it. The Odense Robotics Frontier Startup Hub fosters startup companies to house their business and laboratories but also exploits the advantages of proximity to the technology side. CorePath Robotics found a new application in their neighbor company RoboAtWork. But also the Science Parks infrastructures (forskerparker and Videnbyen) take advantage of the geographical proximity as in one building they are hosting a large number of different entities. Forskerparker for example houses 60 companies, institutions and centers with over 500 employees but also hosts the Odense robotics startup hub. Jimmy gives his sense for being located in the Science Park:</w:t>
      </w:r>
    </w:p>
    <w:p>
      <w:pPr>
        <w:pStyle w:val="Normal"/>
        <w:spacing w:lineRule="auto" w:line="360"/>
        <w:rPr>
          <w:rFonts w:eastAsia="Calibri"/>
          <w:i/>
          <w:i/>
          <w:lang w:val="en-US"/>
        </w:rPr>
      </w:pPr>
      <w:r>
        <w:rPr>
          <w:rFonts w:eastAsia="Calibri"/>
          <w:i/>
          <w:lang w:val="en-US"/>
        </w:rPr>
        <w:t>Jimmy: Yeah. So I think it's-- Right now we are sitting in this takeoff and there is everything from companies that does homepage for pregnant women to companies that do robotics or does sensors or whatever. And that's actually very nice [laughs].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p>
    <w:p>
      <w:pPr>
        <w:pStyle w:val="Normal"/>
        <w:spacing w:lineRule="auto" w:line="360"/>
        <w:rPr>
          <w:rFonts w:eastAsia="Calibri"/>
          <w:lang w:val="en-US"/>
        </w:rPr>
      </w:pPr>
      <w:r>
        <w:rPr>
          <w:rFonts w:eastAsia="Calibri"/>
          <w:lang w:val="en-US"/>
        </w:rPr>
        <w:t xml:space="preserve">The positive effects of proximity let Universal Robot to hold its headquarters in Odense after the acquisition of the U.S Teradyne. The company that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pPr>
        <w:pStyle w:val="Heading1"/>
        <w:rPr>
          <w:rFonts w:eastAsia="Times New Roman"/>
          <w:lang w:val="en-US"/>
        </w:rPr>
      </w:pPr>
      <w:bookmarkStart w:id="590" w:name="_Toc459977522"/>
      <w:bookmarkStart w:id="591" w:name="__RefHeading___Toc5830_427358540"/>
      <w:bookmarkEnd w:id="590"/>
      <w:bookmarkEnd w:id="591"/>
      <w:r>
        <w:rPr>
          <w:rFonts w:eastAsia="Times New Roman"/>
          <w:lang w:val="en-US"/>
        </w:rPr>
        <w:t>4.5.2 Internal versus external linkages</w:t>
      </w:r>
    </w:p>
    <w:p>
      <w:pPr>
        <w:pStyle w:val="Normal"/>
        <w:spacing w:lineRule="auto" w:line="360"/>
        <w:rPr/>
      </w:pPr>
      <w:r>
        <w:rPr>
          <w:lang w:val="en-US"/>
        </w:rPr>
        <w:t xml:space="preserve">In Odense Robotics cluster the linkages that the players are formulating with the internal and external cluster environment target to easier knowledge sharing. Geographical proximity enables cluster participants to understand the local networking in a meaningful way but globalization and the complexity of robot technology make external linkages as important as local. Internal and external linkages are useful for the actors as a mean to gain and create knowledge </w:t>
      </w:r>
      <w:r>
        <w:fldChar w:fldCharType="begin"/>
      </w:r>
      <w:r>
        <w:instrText>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592" w:name="__Fieldmark__3731_783673585"/>
      <w:r>
        <w:rPr>
          <w:lang w:val="en-US"/>
        </w:rPr>
      </w:r>
      <w:r>
        <w:rPr>
          <w:rFonts w:cs="Times New Roman"/>
          <w:lang w:val="en-US"/>
        </w:rPr>
        <w:t>(</w:t>
      </w:r>
      <w:bookmarkStart w:id="593" w:name="__Fieldmark__4255_427358540"/>
      <w:r>
        <w:rPr>
          <w:rFonts w:cs="Times New Roman"/>
          <w:lang w:val="en-US"/>
        </w:rPr>
        <w:t>Bathelt et al., 2004)</w:t>
      </w:r>
      <w:r>
        <w:rPr>
          <w:lang w:val="en-US"/>
        </w:rPr>
      </w:r>
      <w:r>
        <w:fldChar w:fldCharType="end"/>
      </w:r>
      <w:bookmarkEnd w:id="592"/>
      <w:bookmarkEnd w:id="593"/>
      <w:r>
        <w:rPr>
          <w:lang w:val="en-US"/>
        </w:rPr>
        <w:t>.</w:t>
      </w:r>
    </w:p>
    <w:p>
      <w:pPr>
        <w:pStyle w:val="Normal"/>
        <w:spacing w:lineRule="auto" w:line="360"/>
        <w:rPr>
          <w:lang w:val="en-US"/>
        </w:rPr>
      </w:pPr>
      <w:r>
        <w:rPr>
          <w:lang w:val="en-US"/>
        </w:rPr>
        <w:t>Odense Robotics holds a combination of local learning processes and distant interactions. I find that the participants exploit their network interactions to the direction that serves their organization’s vision.  With being located in the same place many actors’ especially young organizations take advantage of the effortless communication and information sharing. Especially being located in the triangle of University, Foskerparker and Videnbyen in the heart of the cluster, interactions are becoming routine. My interview with Tommy for example was arranged in the canteen of Foskerparker at 12 o’clock on June 29</w:t>
      </w:r>
      <w:r>
        <w:rPr>
          <w:vertAlign w:val="superscript"/>
          <w:lang w:val="en-US"/>
        </w:rPr>
        <w:t>th</w:t>
      </w:r>
      <w:r>
        <w:rPr>
          <w:lang w:val="en-US"/>
        </w:rPr>
        <w:t xml:space="preserve">. The tables in front of the cafeteria were half full with people from the offices around. I could recognize Mikkel the business manager of Odense Robotics frontier having lunch break with three other persons. It was the moment that information flows, gossip and news could move frictionless in the network environment. </w:t>
      </w:r>
    </w:p>
    <w:p>
      <w:pPr>
        <w:pStyle w:val="Normal"/>
        <w:spacing w:lineRule="auto" w:line="360"/>
        <w:rPr>
          <w:lang w:val="en-US"/>
        </w:rPr>
      </w:pPr>
      <w:r>
        <w:rPr>
          <w:lang w:val="en-US"/>
        </w:rPr>
        <w:t xml:space="preserve">Actors especially those working in institutes for collaboration hold an amount of connection that can facilitate the network flow.  They are becoming connectors for problem-solving and mentors providing information to their surroundings. Casper in our talk was impressed of the second level network size of the cluster that is the connections that your connections have. </w:t>
      </w:r>
    </w:p>
    <w:p>
      <w:pPr>
        <w:pStyle w:val="Normal"/>
        <w:spacing w:lineRule="auto" w:line="360"/>
        <w:rPr>
          <w:i/>
          <w:i/>
          <w:lang w:val="en-US"/>
        </w:rPr>
      </w:pPr>
      <w:r>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Odense Robotics (frontier) that they mentioned: Hey why not to talk with, here? There is an electronic company 15 km far from here in the office! And we have found a supplier 20.000 km from here.[…]</w:t>
      </w:r>
      <w:r>
        <w:rPr>
          <w:i/>
          <w:u w:val="single"/>
          <w:lang w:val="en-US"/>
        </w:rPr>
        <w:t>That was what it surprises me most about the Odense Robotics network is how large the network is behind the network.</w:t>
      </w:r>
      <w:r>
        <w:rPr>
          <w:i/>
          <w:lang w:val="en-US"/>
        </w:rPr>
        <w:t xml:space="preserve"> And not just the 80 companies within robotics but that is the entire second level suppliers. For example our plastic supplier is 5 km from here and we are actually working together with also companies in China. When some people from OR said why you haven't spoken with them and we say why should we know them from?</w:t>
      </w:r>
    </w:p>
    <w:p>
      <w:pPr>
        <w:pStyle w:val="Normal"/>
        <w:spacing w:lineRule="auto" w:line="360"/>
        <w:rPr>
          <w:lang w:val="en-US"/>
        </w:rPr>
      </w:pPr>
      <w:r>
        <w:rPr>
          <w:lang w:val="en-US"/>
        </w:rPr>
        <w:t>The above quotation of Casper shows also the importance of both internal and external linkages. His company was free to address its attention in the global market in order to find the propriety resources to build its product. Sensohive first use the global pipelines to find suppliers abroad and after local buzz let them return locally as was the most profitable choice. I noticed the opposite example in the interview with Tommy.</w:t>
      </w:r>
    </w:p>
    <w:p>
      <w:pPr>
        <w:pStyle w:val="Normal"/>
        <w:spacing w:lineRule="auto" w:line="360"/>
        <w:rPr>
          <w:i/>
          <w:i/>
          <w:lang w:val="en-US"/>
        </w:rPr>
      </w:pPr>
      <w:r>
        <w:rPr>
          <w:i/>
          <w:lang w:val="en-US"/>
        </w:rPr>
        <w:t xml:space="preserve">Tommy: For mass production we had to customize our electronic board and then we spoke with another company within the cluster called Sensohive. Because they had already passed that step and so they helped us to find some guy who could design the board for us and a manufacturer in Thailand that could give us 10 examples of the board before we ordered 5000.And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Pr>
          <w:i/>
          <w:u w:val="single"/>
          <w:lang w:val="en-US"/>
        </w:rPr>
        <w:t xml:space="preserve">would probably never have found the guy in Thailand if we didn't use the network. </w:t>
      </w:r>
      <w:r>
        <w:rPr>
          <w:i/>
          <w:lang w:val="en-US"/>
        </w:rPr>
        <w:t xml:space="preserve">So that's one way that we learn from the other startups. The other one is that the cluster has a kind of a group of people that are here to support us. And especially on the business development they gave us a lot of support. </w:t>
      </w:r>
    </w:p>
    <w:p>
      <w:pPr>
        <w:pStyle w:val="Normal"/>
        <w:spacing w:lineRule="auto" w:line="360"/>
        <w:rPr>
          <w:lang w:val="en-US"/>
        </w:rPr>
      </w:pPr>
      <w:r>
        <w:rPr>
          <w:lang w:val="en-US"/>
        </w:rPr>
        <w:t xml:space="preserve">KuboRobot first use the local linkages to find a supplier that fits to the company needs. Those local buzzes showed the direction for a match in the cheaper global market. Another point that both Tommy and Casper stressed is the involvement of people in IFCs in giving directions to cluster actors. They are mentoring companies and organizations on where they should steer their attention. </w:t>
      </w:r>
    </w:p>
    <w:p>
      <w:pPr>
        <w:pStyle w:val="Normal"/>
        <w:spacing w:lineRule="auto" w:line="360"/>
        <w:rPr>
          <w:lang w:val="en-US"/>
        </w:rPr>
      </w:pPr>
      <w:r>
        <w:rPr>
          <w:lang w:val="en-US"/>
        </w:rPr>
        <w:t xml:space="preserve">Odense robotics as an emerging cluster fosters new business creation consisting of many small and startup companies. Those companies employ few people that are mainly engineers that build new robotic technologies. From this point of view, engineers in a new company have also the role to manage their company but naturally they miss knowledge and experience on how to handle administrative and managerial skills for commercialization. IFCs try to fulfil this gap by providing business mentoring in those companies. The interviewees claimed that it is unique in the cluster to have the right business model for a new company’s strategy and ‘glue’ organizations provide knowledge and connections to steer them in the right path. </w:t>
      </w:r>
    </w:p>
    <w:p>
      <w:pPr>
        <w:pStyle w:val="Normal"/>
        <w:spacing w:lineRule="auto" w:line="360"/>
        <w:rPr>
          <w:lang w:val="en-US"/>
        </w:rPr>
      </w:pPr>
      <w:r>
        <w:rPr>
          <w:lang w:val="en-US"/>
        </w:rPr>
        <w:t>Mentoring combines a diversified mix of tools that can help companies, especially startups, to achieve sustainable growth. Those tools are mainly internal and external linkages that participants can use for their business development. Connectors from IFCs match competences between cluster actors providing maintenance is sectors that companies need. They provide resources to young firms to apply for public funding or to find private investors but also to set partnerships with existing companies or research institutes for acquiring fit to the ecosystem. In this way cluster participants spread knowledge and information constructed from the local buzz and from the strong role models that Odense Robotics has created from the success of existing companies such as UR and MiR. Mikkel explains how Odense Robotics frontier facilitates the use of internal cluster linkages from new established companies in the ecosystem.</w:t>
      </w:r>
    </w:p>
    <w:p>
      <w:pPr>
        <w:pStyle w:val="Normal"/>
        <w:spacing w:lineRule="auto" w:line="360"/>
        <w:rPr>
          <w:i/>
          <w:i/>
          <w:lang w:val="en-US"/>
        </w:rPr>
      </w:pPr>
      <w:r>
        <w:rPr>
          <w:i/>
          <w:lang w:val="en-US"/>
        </w:rPr>
        <w:t>Mikkel: And then we set them up with partnerships and we help them to build the business plan. So when they have the prototype working and they have the right business plan we send them to investors.</w:t>
      </w:r>
    </w:p>
    <w:p>
      <w:pPr>
        <w:pStyle w:val="Normal"/>
        <w:spacing w:lineRule="auto" w:line="360"/>
        <w:rPr/>
      </w:pPr>
      <w:r>
        <w:rPr>
          <w:lang w:val="en-US"/>
        </w:rPr>
        <w:t>Internal linkages aid cluster firms in knowledge transition in a wide range of fields. Odense Robotics frontier holds strategic and organizational knowledge but also the connections for funding guidance. Moreover DTI-RT can act as a consultancy company and as a private research organization filling the gap of getting new technologies into the market. RoboCluster as well has a task to distribute the right projects to the right teams but also to seek the right mix of money for that innovation projects. As a result the internal cluster linkages are strong to some extend in the Odense Robotics environment. The existence of high quality and relevance local buzz leads to a more dynamic cluster</w:t>
      </w:r>
      <w:r>
        <w:fldChar w:fldCharType="begin"/>
      </w:r>
      <w:r>
        <w:instrText>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594" w:name="__Fieldmark__3755_783673585"/>
      <w:r>
        <w:rPr>
          <w:lang w:val="en-US"/>
        </w:rPr>
      </w:r>
      <w:r>
        <w:rPr>
          <w:rFonts w:cs="Times New Roman"/>
          <w:lang w:val="en-US"/>
        </w:rPr>
        <w:t>(</w:t>
      </w:r>
      <w:bookmarkStart w:id="595" w:name="__Fieldmark__4396_427358540"/>
      <w:r>
        <w:rPr>
          <w:rFonts w:cs="Times New Roman"/>
          <w:lang w:val="en-US"/>
        </w:rPr>
        <w:t>Bathelt et al., 2004)</w:t>
      </w:r>
      <w:r>
        <w:rPr>
          <w:lang w:val="en-US"/>
        </w:rPr>
      </w:r>
      <w:r>
        <w:fldChar w:fldCharType="end"/>
      </w:r>
      <w:bookmarkEnd w:id="594"/>
      <w:bookmarkEnd w:id="595"/>
      <w:r>
        <w:rPr>
          <w:lang w:val="en-US"/>
        </w:rPr>
        <w:t xml:space="preserve">. The network behind the network that Casper mentioned is probably the external linkages that internal cluster participants hold that can solve many limitations that companies face. The actors in Odense Robotics cluster are surrounded by other actors with relevant or irrelevant skills and competences. </w:t>
      </w:r>
    </w:p>
    <w:p>
      <w:pPr>
        <w:pStyle w:val="Normal"/>
        <w:spacing w:lineRule="auto" w:line="360"/>
        <w:rPr/>
      </w:pPr>
      <w:r>
        <w:rPr>
          <w:lang w:val="en-US"/>
        </w:rPr>
        <w:t xml:space="preserve">Knowledge is also created in other parts of the world and firms in Odense Robotics cluster build pipelines to such sites to gain competitive advantage. KuboRobot will use Indegogo crowdfunding solution to finance their production parts. OnRobot create its sales network based on linkages that Universal Robots have developed with their distributors. CorePath Robotics is attending conferences and meetings with local and international players in order to increase its network capabilities. Companies generally do not innovate in isolation </w:t>
      </w:r>
      <w:r>
        <w:fldChar w:fldCharType="begin"/>
      </w:r>
      <w:r>
        <w:instrText>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w:instrText>
      </w:r>
      <w:r>
        <w:fldChar w:fldCharType="separate"/>
      </w:r>
      <w:bookmarkStart w:id="596" w:name="__Fieldmark__3764_783673585"/>
      <w:r>
        <w:rPr>
          <w:lang w:val="en-US"/>
        </w:rPr>
      </w:r>
      <w:r>
        <w:rPr>
          <w:rFonts w:cs="Times New Roman"/>
          <w:lang w:val="en-US"/>
        </w:rPr>
        <w:t>(</w:t>
      </w:r>
      <w:bookmarkStart w:id="597" w:name="__Fieldmark__4414_427358540"/>
      <w:r>
        <w:rPr>
          <w:rFonts w:cs="Times New Roman"/>
          <w:lang w:val="en-US"/>
        </w:rPr>
        <w:t>Edquist, 1997)</w:t>
      </w:r>
      <w:r>
        <w:rPr>
          <w:lang w:val="en-US"/>
        </w:rPr>
      </w:r>
      <w:r>
        <w:fldChar w:fldCharType="end"/>
      </w:r>
      <w:bookmarkEnd w:id="596"/>
      <w:bookmarkEnd w:id="597"/>
      <w:r>
        <w:rPr>
          <w:lang w:val="en-US"/>
        </w:rPr>
        <w:t xml:space="preserve"> and information that one cluster firm can acquire through its pipelines will spill over to other firms in the cluster through local buzz </w:t>
      </w:r>
      <w:r>
        <w:fldChar w:fldCharType="begin"/>
      </w:r>
      <w:r>
        <w:instrText>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w:instrText>
      </w:r>
      <w:r>
        <w:fldChar w:fldCharType="separate"/>
      </w:r>
      <w:bookmarkStart w:id="598" w:name="__Fieldmark__3771_783673585"/>
      <w:r>
        <w:rPr>
          <w:lang w:val="en-US"/>
        </w:rPr>
      </w:r>
      <w:r>
        <w:rPr>
          <w:rFonts w:cs="Times New Roman"/>
          <w:lang w:val="en-US"/>
        </w:rPr>
        <w:t>(</w:t>
      </w:r>
      <w:bookmarkStart w:id="599" w:name="__Fieldmark__4423_427358540"/>
      <w:r>
        <w:rPr>
          <w:rFonts w:cs="Times New Roman"/>
          <w:lang w:val="en-US"/>
        </w:rPr>
        <w:t>Bathelt et al., 2004)</w:t>
      </w:r>
      <w:r>
        <w:rPr>
          <w:lang w:val="en-US"/>
        </w:rPr>
      </w:r>
      <w:r>
        <w:fldChar w:fldCharType="end"/>
      </w:r>
      <w:bookmarkEnd w:id="598"/>
      <w:bookmarkEnd w:id="599"/>
      <w:r>
        <w:rPr>
          <w:lang w:val="en-US"/>
        </w:rPr>
        <w:t xml:space="preserve">. </w:t>
      </w:r>
    </w:p>
    <w:p>
      <w:pPr>
        <w:pStyle w:val="Normal"/>
        <w:spacing w:lineRule="auto" w:line="360"/>
        <w:rPr>
          <w:lang w:val="en-US"/>
        </w:rPr>
      </w:pPr>
      <w:r>
        <w:rPr>
          <w:lang w:val="en-US"/>
        </w:rPr>
        <w:t xml:space="preserve">Most of the interactions observed in Odense Robotics cluster had a target to commercialize knowledge. The cluster cannot be characterized as too much inward looking or a too much outward-looking structure. Odense Robotics seems to have a well-structured technological knowledge on robotics. Technological based knowledge resources are those used in framing a technology and in that part the cluster superiors with its academic wisdom around robotics. One the commercialization part external linkages, the pipelines, dominate as the knowledge on how to get a product in the market need missing competences. </w:t>
      </w:r>
    </w:p>
    <w:p>
      <w:pPr>
        <w:pStyle w:val="Normal"/>
        <w:numPr>
          <w:ilvl w:val="0"/>
          <w:numId w:val="4"/>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 xml:space="preserve">Local buzz local face to face interactions </w:t>
      </w:r>
    </w:p>
    <w:p>
      <w:pPr>
        <w:pStyle w:val="Normal"/>
        <w:numPr>
          <w:ilvl w:val="0"/>
          <w:numId w:val="4"/>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global pipelines</w:t>
      </w:r>
      <w:r>
        <w:rPr>
          <w:rFonts w:eastAsia="Wingdings" w:cs="Wingdings" w:ascii="Wingdings" w:hAnsi="Wingdings"/>
          <w:lang w:val="en-US"/>
        </w:rPr>
        <w:t></w:t>
      </w:r>
      <w:r>
        <w:rPr>
          <w:rFonts w:eastAsia="Calibri" w:cs="Times New Roman" w:ascii="Calibri" w:hAnsi="Calibri"/>
          <w:lang w:val="en-US"/>
        </w:rPr>
        <w:t>startups have cooperation with China</w:t>
      </w:r>
    </w:p>
    <w:p>
      <w:pPr>
        <w:pStyle w:val="Heading1"/>
        <w:rPr>
          <w:rFonts w:eastAsia="Times New Roman"/>
          <w:lang w:val="en-US"/>
        </w:rPr>
      </w:pPr>
      <w:bookmarkStart w:id="600" w:name="_Toc459977523"/>
      <w:bookmarkStart w:id="601" w:name="__RefHeading___Toc5832_427358540"/>
      <w:bookmarkEnd w:id="600"/>
      <w:bookmarkEnd w:id="601"/>
      <w:r>
        <w:rPr>
          <w:rFonts w:eastAsia="Times New Roman"/>
          <w:lang w:val="en-US"/>
        </w:rPr>
        <w:t>4.5.3 Capital and trust</w:t>
      </w:r>
    </w:p>
    <w:p>
      <w:pPr>
        <w:pStyle w:val="Normal"/>
        <w:spacing w:lineRule="auto" w:line="360"/>
        <w:rPr>
          <w:lang w:val="en-US"/>
        </w:rPr>
      </w:pPr>
      <w:r>
        <w:rPr>
          <w:lang w:val="en-US"/>
        </w:rPr>
        <w:t>The interviewees mentioned all the according to Sölvell et al. (2003), three types of capital physical, human and social capital as to be presented in Odense Robotics cluster. Human capital resources around robotics Physical resources such as machinery, components, and digitized information are available in the university’s facilities or in the O.R startup hub in Forskerparken. Many spin offs start developing robots in university facilities before have a reasonable size to go out. 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pPr>
        <w:pStyle w:val="Normal"/>
        <w:spacing w:lineRule="auto" w:line="360"/>
        <w:rPr>
          <w:i/>
          <w:i/>
          <w:u w:val="single"/>
          <w:lang w:val="en-US"/>
        </w:rPr>
      </w:pPr>
      <w:r>
        <w:rPr>
          <w:i/>
          <w:lang w:val="en-US"/>
        </w:rPr>
        <w:t xml:space="preserve">Casper: We have found a professor within electronics called him and say: Hey i guess you are the right person that maybe can help us. We are a young startup here from university and we used that a couple of times. </w:t>
      </w:r>
      <w:r>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pPr>
        <w:pStyle w:val="Normal"/>
        <w:spacing w:lineRule="auto" w:line="360"/>
        <w:rPr>
          <w:lang w:val="en-US"/>
        </w:rPr>
      </w:pPr>
      <w:r>
        <w:rPr>
          <w:lang w:val="en-US"/>
        </w:rPr>
        <w:t>Casper illustrates the open community environment that the participants in the cluster share resources. The scientific personnel from the university is becoming knowledge resource to benefit the participants. The role of academia in social capital is increased and connected with the local linkages. As it seems the university can facilitate knowledge transition. The other point Casper was the limitations that the university organizational structure poses to cluster actors.</w:t>
      </w:r>
      <w:commentRangeStart w:id="69"/>
      <w:r>
        <w:rPr>
          <w:lang w:val="en-US"/>
        </w:rPr>
        <w:t xml:space="preserve"> Jimmy elaborates more on this point and concludes that in the industrial world there is more freedom because the flow of capital resources in higher.</w:t>
      </w:r>
    </w:p>
    <w:p>
      <w:pPr>
        <w:pStyle w:val="Normal"/>
        <w:spacing w:lineRule="auto" w:line="360"/>
        <w:rPr>
          <w:i/>
          <w:i/>
          <w:lang w:val="en-US"/>
        </w:rPr>
      </w:pPr>
      <w:r>
        <w:rPr>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freedom it not really worth much.</w:t>
      </w:r>
      <w:commentRangeEnd w:id="69"/>
      <w:r>
        <w:commentReference w:id="69"/>
      </w:r>
      <w:r>
        <w:rPr>
          <w:i/>
          <w:lang w:val="en-US"/>
        </w:rPr>
      </w:r>
    </w:p>
    <w:p>
      <w:pPr>
        <w:pStyle w:val="Normal"/>
        <w:spacing w:lineRule="auto" w:line="360"/>
        <w:rPr/>
      </w:pPr>
      <w:r>
        <w:rPr>
          <w:lang w:val="en-US"/>
        </w:rPr>
        <w:t xml:space="preserve">Key aspect of cluster success is the existence of facilitative social networks, social capital and institutional structures. (Porter, 1998). Social capital is the information, trust and norms of reciprocity inherent in one’s social networks </w:t>
      </w:r>
      <w:r>
        <w:fldChar w:fldCharType="begin"/>
      </w:r>
      <w:r>
        <w:instrText>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w:instrText>
      </w:r>
      <w:r>
        <w:fldChar w:fldCharType="separate"/>
      </w:r>
      <w:bookmarkStart w:id="602" w:name="__Fieldmark__3801_783673585"/>
      <w:r>
        <w:rPr>
          <w:lang w:val="en-US"/>
        </w:rPr>
      </w:r>
      <w:r>
        <w:rPr>
          <w:rFonts w:cs="Times New Roman"/>
          <w:lang w:val="en-US"/>
        </w:rPr>
        <w:t>(</w:t>
      </w:r>
      <w:bookmarkStart w:id="603" w:name="__Fieldmark__4482_427358540"/>
      <w:r>
        <w:rPr>
          <w:rFonts w:cs="Times New Roman"/>
          <w:lang w:val="en-US"/>
        </w:rPr>
        <w:t>Woolcock, 1998)</w:t>
      </w:r>
      <w:r>
        <w:rPr>
          <w:lang w:val="en-US"/>
        </w:rPr>
      </w:r>
      <w:r>
        <w:fldChar w:fldCharType="end"/>
      </w:r>
      <w:bookmarkEnd w:id="602"/>
      <w:bookmarkEnd w:id="603"/>
      <w:r>
        <w:rPr>
          <w:lang w:val="en-US"/>
        </w:rPr>
        <w:t xml:space="preserve">. Clusters are ‘social technologies’ that enable and support knowledge generation and diffusion between economic actors </w:t>
      </w:r>
      <w:r>
        <w:fldChar w:fldCharType="begin"/>
      </w:r>
      <w:r>
        <w:instrText>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w:instrText>
      </w:r>
      <w:r>
        <w:fldChar w:fldCharType="separate"/>
      </w:r>
      <w:bookmarkStart w:id="604" w:name="__Fieldmark__3808_783673585"/>
      <w:r>
        <w:rPr>
          <w:lang w:val="en-US"/>
        </w:rPr>
      </w:r>
      <w:r>
        <w:rPr>
          <w:rFonts w:cs="Times New Roman"/>
          <w:lang w:val="en-US"/>
        </w:rPr>
        <w:t>(</w:t>
      </w:r>
      <w:bookmarkStart w:id="605" w:name="__Fieldmark__4491_427358540"/>
      <w:r>
        <w:rPr>
          <w:rFonts w:cs="Times New Roman"/>
          <w:lang w:val="en-US"/>
        </w:rPr>
        <w:t>Steiner &amp; Hartmann, 2006)</w:t>
      </w:r>
      <w:r>
        <w:rPr>
          <w:lang w:val="en-US"/>
        </w:rPr>
      </w:r>
      <w:r>
        <w:fldChar w:fldCharType="end"/>
      </w:r>
      <w:bookmarkEnd w:id="604"/>
      <w:bookmarkEnd w:id="605"/>
      <w:r>
        <w:rPr>
          <w:lang w:val="en-US"/>
        </w:rPr>
        <w:t>. Mikkel describes Odense Robotics cluster social capital interactions:</w:t>
      </w:r>
    </w:p>
    <w:p>
      <w:pPr>
        <w:pStyle w:val="Normal"/>
        <w:spacing w:lineRule="auto" w:line="360"/>
        <w:rPr>
          <w:i/>
          <w:i/>
          <w:u w:val="single"/>
          <w:lang w:val="en-US"/>
        </w:rPr>
      </w:pPr>
      <w:r>
        <w:rPr>
          <w:i/>
          <w:lang w:val="en-US"/>
        </w:rPr>
        <w:t xml:space="preserve">Mikkel : If we ask the companies in the cluster about collaboration with other companies,85% will say we are really open to collaborate with other companies. And 94 % of the companies will say it is very easy to find partners in Odense. </w:t>
      </w:r>
      <w:r>
        <w:rPr>
          <w:i/>
          <w:u w:val="single"/>
          <w:lang w:val="en-US"/>
        </w:rPr>
        <w:t>So there is a culture of openness.</w:t>
      </w:r>
      <w:r>
        <w:rPr>
          <w:i/>
          <w:lang w:val="en-US"/>
        </w:rPr>
        <w:t xml:space="preserve"> All the companies have core development object core products. Which is secret and they are not sharing that with anybody. </w:t>
      </w:r>
      <w:r>
        <w:rPr>
          <w:i/>
          <w:u w:val="single"/>
          <w:lang w:val="en-US"/>
        </w:rPr>
        <w:t>But they have shared vision about creating an ecosystem of companies whose products are valuating to other companies product.</w:t>
      </w:r>
    </w:p>
    <w:p>
      <w:pPr>
        <w:pStyle w:val="Normal"/>
        <w:spacing w:lineRule="auto" w:line="360"/>
        <w:rPr>
          <w:lang w:val="en-US"/>
        </w:rPr>
      </w:pPr>
      <w:r>
        <w:rPr>
          <w:lang w:val="en-US"/>
        </w:rPr>
        <w:t xml:space="preserve">Trust is high among Odense Robotics cluster participants being eager to share knowledge. The willingness to talk to each other in conferences or in informal interactions improves communication channels. Most of the participants highlighted that they are open to share a large amount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pPr>
        <w:pStyle w:val="Normal"/>
        <w:spacing w:lineRule="auto" w:line="360"/>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 The fact that were a lot of educated people in Robotics but also Universal Robots that made the success visible cultivated this culture. Actors are active in sharing marketing material and learning experiences with their periphery. Below is Bjarke’s opinion about trust in the cluster.</w:t>
      </w:r>
    </w:p>
    <w:p>
      <w:pPr>
        <w:pStyle w:val="Normal"/>
        <w:spacing w:lineRule="auto" w:line="360"/>
        <w:rPr>
          <w:i/>
          <w:i/>
          <w:lang w:val="en-US"/>
        </w:rPr>
      </w:pPr>
      <w:r>
        <w:rPr>
          <w:i/>
          <w:lang w:val="en-US"/>
        </w:rPr>
        <w:t>Bjarke : The trust is very high among the cluster participants .Very high. Of course, some things must be kept to their own of course but general they are very eager to share knowledge. They are very eager to talk to each other to come if we have a conference and talk here in Robocluster we can just call them and they will gladly come and tell how they have done things</w:t>
      </w:r>
    </w:p>
    <w:p>
      <w:pPr>
        <w:pStyle w:val="Normal"/>
        <w:numPr>
          <w:ilvl w:val="0"/>
          <w:numId w:val="5"/>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when they talk to each other, they are open to  discussing but up until one point</w:t>
      </w:r>
    </w:p>
    <w:p>
      <w:pPr>
        <w:pStyle w:val="Normal"/>
        <w:numPr>
          <w:ilvl w:val="0"/>
          <w:numId w:val="5"/>
        </w:numPr>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t>startups are more open to discussion</w:t>
      </w:r>
    </w:p>
    <w:p>
      <w:pPr>
        <w:pStyle w:val="Heading1"/>
        <w:rPr>
          <w:rFonts w:eastAsia="Times New Roman"/>
          <w:lang w:val="en-US"/>
        </w:rPr>
      </w:pPr>
      <w:bookmarkStart w:id="606" w:name="_Toc459977524"/>
      <w:bookmarkStart w:id="607" w:name="__RefHeading___Toc5834_427358540"/>
      <w:bookmarkEnd w:id="606"/>
      <w:bookmarkEnd w:id="607"/>
      <w:r>
        <w:rPr>
          <w:rFonts w:eastAsia="Times New Roman"/>
          <w:lang w:val="en-US"/>
        </w:rPr>
        <w:t>4.5.4 Internal competition and cooperation</w:t>
      </w:r>
    </w:p>
    <w:p>
      <w:pPr>
        <w:pStyle w:val="Normal"/>
        <w:spacing w:lineRule="auto" w:line="360"/>
        <w:rPr/>
      </w:pPr>
      <w:r>
        <w:rPr>
          <w:lang w:val="en-US"/>
        </w:rPr>
        <w:t xml:space="preserve">As far as the subject goes internal cooperation dominates competition in Odense Robotics cluster. This presents a disadvantage in the cluster, as the theory mentions that competition and rivalry is vital for cluster development </w:t>
      </w:r>
      <w:r>
        <w:fldChar w:fldCharType="begin"/>
      </w:r>
      <w:r>
        <w:instrText>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w:instrText>
      </w:r>
      <w:r>
        <w:fldChar w:fldCharType="separate"/>
      </w:r>
      <w:bookmarkStart w:id="608" w:name="__Fieldmark__3833_783673585"/>
      <w:r>
        <w:rPr>
          <w:lang w:val="en-US"/>
        </w:rPr>
        <w:t>(</w:t>
      </w:r>
      <w:bookmarkStart w:id="609" w:name="__Fieldmark__4523_427358540"/>
      <w:r>
        <w:rPr>
          <w:lang w:val="en-US"/>
        </w:rPr>
        <w:t>M E Porter, 1998)</w:t>
      </w:r>
      <w:r>
        <w:rPr>
          <w:lang w:val="en-US"/>
        </w:rPr>
      </w:r>
      <w:r>
        <w:fldChar w:fldCharType="end"/>
      </w:r>
      <w:bookmarkEnd w:id="608"/>
      <w:bookmarkEnd w:id="609"/>
      <w:r>
        <w:rPr>
          <w:lang w:val="en-US"/>
        </w:rPr>
        <w:t>.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qualified personnel as Anders states:</w:t>
      </w:r>
    </w:p>
    <w:p>
      <w:pPr>
        <w:pStyle w:val="Normal"/>
        <w:spacing w:lineRule="auto" w:line="360"/>
        <w:rPr>
          <w:i/>
          <w:i/>
          <w:lang w:val="en-US"/>
        </w:rPr>
      </w:pPr>
      <w:r>
        <w:rPr>
          <w:i/>
          <w:lang w:val="en-US"/>
        </w:rPr>
        <w:t>Ioannis: Do you see competition inside the Industry?</w:t>
      </w:r>
    </w:p>
    <w:p>
      <w:pPr>
        <w:pStyle w:val="Normal"/>
        <w:spacing w:lineRule="auto" w:line="360"/>
        <w:rPr>
          <w:i/>
          <w:i/>
          <w:lang w:val="en-US"/>
        </w:rPr>
      </w:pPr>
      <w:r>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pPr>
        <w:pStyle w:val="Normal"/>
        <w:spacing w:lineRule="auto" w:line="360"/>
        <w:rPr>
          <w:lang w:val="en-US"/>
        </w:rPr>
      </w:pPr>
      <w:r>
        <w:rPr>
          <w:lang w:val="en-US"/>
        </w:rPr>
        <w:t xml:space="preserve">The robotic industry in Odense does not have also the volume to support high competition as a developing cluster. According to Andersson et al.,(2004) in developing cluster new actors in the same or related activities emerge or are attracted to the region, new linkages develop between all these actors and formal or informal IFCs may enter the field.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pPr>
        <w:pStyle w:val="Normal"/>
        <w:spacing w:lineRule="auto" w:line="360"/>
        <w:rPr>
          <w:lang w:val="en-US"/>
        </w:rPr>
      </w:pPr>
      <w:r>
        <w:rPr>
          <w:lang w:val="en-US"/>
        </w:rPr>
        <w:t>The few examples of high growth firms in the study support the view of diminishing competition. However, there must have been competition among the companies, as they operate in the same industry and are based in the same geographical area. The research must have not gone that far because of the limited number of participants in the medium sized firms that are also those established many years in the robot environment around Odense. Bilge in his try to formulate a definition for the cluster states:</w:t>
      </w:r>
    </w:p>
    <w:p>
      <w:pPr>
        <w:pStyle w:val="Normal"/>
        <w:spacing w:lineRule="auto" w:line="360"/>
        <w:rPr>
          <w:i/>
          <w:i/>
          <w:lang w:val="en-US"/>
        </w:rPr>
      </w:pPr>
      <w:r>
        <w:rPr>
          <w:i/>
          <w:lang w:val="en-US"/>
        </w:rPr>
        <w:t xml:space="preserve">Bilge: I would define it (the cluster) as many groups that come together and work on a common </w:t>
      </w:r>
      <w:r>
        <w:rPr>
          <w:i/>
          <w:u w:val="single"/>
          <w:lang w:val="en-US"/>
        </w:rPr>
        <w:t>case but don't compete but help each other to grow</w:t>
      </w:r>
      <w:r>
        <w:rPr>
          <w:i/>
          <w:lang w:val="en-US"/>
        </w:rPr>
        <w:t>. (thinking) That's an effect, that's not the cluster itself. The cluster is a group of people. (laughing). A group of groups, if we can say so.</w:t>
      </w:r>
    </w:p>
    <w:p>
      <w:pPr>
        <w:pStyle w:val="Normal"/>
        <w:spacing w:lineRule="auto" w:line="360"/>
        <w:rPr>
          <w:lang w:val="en-US"/>
        </w:rPr>
      </w:pPr>
      <w:r>
        <w:rPr>
          <w:lang w:val="en-US"/>
        </w:rPr>
        <w:t xml:space="preserve">As I mentioned before for Bilge was difficult to elaborate in cluster terms as there are in common use in OnRobots.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arm that is designed to fit in that is irrelevant with direct competition. </w:t>
      </w:r>
    </w:p>
    <w:p>
      <w:pPr>
        <w:pStyle w:val="Normal"/>
        <w:spacing w:lineRule="auto" w:line="360"/>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target into translating knowledge to money. Collaboration could also be strengthening among participants and the university has specific role to that as the one that holds the majority of knowledge around the robot technology. As Lars-Peter states:</w:t>
      </w:r>
    </w:p>
    <w:p>
      <w:pPr>
        <w:pStyle w:val="Normal"/>
        <w:spacing w:lineRule="auto" w:line="360"/>
        <w:rPr>
          <w:i/>
          <w:i/>
          <w:lang w:val="en-US"/>
        </w:rPr>
      </w:pPr>
      <w:r>
        <w:rPr>
          <w:i/>
          <w:lang w:val="en-US"/>
        </w:rPr>
        <w:t>Lars-Peter: I think the role of the university could potentially increase. I think that we know each other as I mentioned before but we do not have any strong collaboration in anyways. For instance with defining projects for students.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p>
    <w:p>
      <w:pPr>
        <w:pStyle w:val="Normal"/>
        <w:spacing w:lineRule="auto" w:line="360"/>
        <w:rPr>
          <w:lang w:val="en-US"/>
        </w:rPr>
      </w:pPr>
      <w:r>
        <w:rPr>
          <w:lang w:val="en-US"/>
        </w:rPr>
        <w:t>Afterwards, many companies are acting as business angels to startups providing their collaboration for mutual development. KuboRobot has for example strong collaboration with Blue Ocean Robotics as they both find a match with each other. Companies such as Blue Ocean try to find companies in an early stage to provide them available resources that have in a big quantity. They have different competences teams that can help startups as Tommy mentions:</w:t>
      </w:r>
    </w:p>
    <w:p>
      <w:pPr>
        <w:pStyle w:val="Normal"/>
        <w:spacing w:lineRule="auto" w:line="360"/>
        <w:rPr>
          <w:i/>
          <w:i/>
          <w:lang w:val="en-US"/>
        </w:rPr>
      </w:pPr>
      <w:r>
        <w:rPr>
          <w:i/>
          <w:lang w:val="en-US"/>
        </w:rPr>
        <w:t>Tommy: Blue ocean robotics also tries to find companies that are in the early stage of startup. And they have a huge team of all kind of competencies. From marketing to product development and from project management to financing. Then we have a relationship where we work with them and they get some equity based on--. Then they give us access to their people. Because we are just two people and we cannot deal with everything on our own</w:t>
      </w:r>
    </w:p>
    <w:p>
      <w:pPr>
        <w:pStyle w:val="Normal"/>
        <w:spacing w:lineRule="auto" w:line="360"/>
        <w:rPr>
          <w:lang w:val="en-US"/>
        </w:rPr>
      </w:pPr>
      <w:r>
        <w:rPr>
          <w:lang w:val="en-US"/>
        </w:rPr>
        <w:t>Partnerships and strong collaboration between companies can in many times be difficult. The industrial interviewees highlighted that large organizations are too busy to devote time in mentoring an incubator. Casper stated that his company used a lot of energy on keeping up the collaboration with companies from the peripheral environment. The peripheral environment have high expectations for collaboration with a young company and for that reason the interviewees mentioned that they miss the industrial knowledge that established organizations acquire. Institutes for collaboration are driving the cluster into the ‘connect and develop’ principle. Acording to Mikkel the role of Odense Robotics frontier is:</w:t>
      </w:r>
    </w:p>
    <w:p>
      <w:pPr>
        <w:pStyle w:val="Normal"/>
        <w:spacing w:lineRule="auto" w:line="360"/>
        <w:rPr>
          <w:i/>
          <w:i/>
          <w:lang w:val="en-US"/>
        </w:rPr>
      </w:pPr>
      <w:r>
        <w:rPr>
          <w:i/>
          <w:lang w:val="en-US"/>
        </w:rPr>
        <w:t>Mikkel: So our role is real to be the starting point or the catalyst for a lot of cooperation between different partners in the cluster.</w:t>
      </w:r>
    </w:p>
    <w:p>
      <w:pPr>
        <w:pStyle w:val="Normal"/>
        <w:rPr>
          <w:lang w:val="en-US"/>
        </w:rPr>
      </w:pPr>
      <w:r>
        <w:rPr>
          <w:lang w:val="en-US"/>
        </w:rPr>
      </w:r>
    </w:p>
    <w:p>
      <w:pPr>
        <w:pStyle w:val="Normal"/>
        <w:numPr>
          <w:ilvl w:val="0"/>
          <w:numId w:val="3"/>
        </w:numPr>
        <w:spacing w:lineRule="auto" w:line="360" w:before="0" w:after="200"/>
        <w:contextualSpacing/>
        <w:jc w:val="left"/>
        <w:rPr>
          <w:rFonts w:ascii="Times New Roman" w:hAnsi="Times New Roman" w:eastAsia="Calibri" w:cs="Times New Roman"/>
          <w:lang w:val="en-US"/>
        </w:rPr>
      </w:pPr>
      <w:r>
        <w:rPr>
          <w:rFonts w:eastAsia="Calibri" w:cs="Times New Roman"/>
          <w:lang w:val="en-US"/>
        </w:rPr>
        <w:t>As far as this subject goes, internal competition was not mentioned by the interviewees This presents a disadvantage in the research, as the theory mentions that competition and rivalry is vital for cluster development.</w:t>
      </w:r>
    </w:p>
    <w:p>
      <w:pPr>
        <w:pStyle w:val="Normal"/>
        <w:numPr>
          <w:ilvl w:val="0"/>
          <w:numId w:val="3"/>
        </w:numPr>
        <w:spacing w:lineRule="auto" w:line="360" w:before="0" w:after="200"/>
        <w:contextualSpacing/>
        <w:jc w:val="left"/>
        <w:rPr>
          <w:rFonts w:ascii="Times New Roman" w:hAnsi="Times New Roman" w:eastAsia="Calibri" w:cs="Times New Roman"/>
          <w:lang w:val="en-US"/>
        </w:rPr>
      </w:pPr>
      <w:r>
        <w:rPr>
          <w:rFonts w:eastAsia="Calibri" w:cs="Times New Roman"/>
          <w:lang w:val="en-US"/>
        </w:rPr>
        <w:t>However , there must have been competition among the companies, as they operate in the same industry and are based in the same geographical area</w:t>
      </w:r>
      <w:r>
        <w:rPr>
          <w:rFonts w:eastAsia="Wingdings" w:cs="Wingdings" w:ascii="Wingdings" w:hAnsi="Wingdings"/>
          <w:lang w:val="en-US"/>
        </w:rPr>
        <w:t></w:t>
      </w:r>
      <w:r>
        <w:rPr>
          <w:rFonts w:eastAsia="Calibri" w:cs="Times New Roman"/>
          <w:lang w:val="en-US"/>
        </w:rPr>
        <w:t>research must have not gone that far because of startups and not big companies.</w:t>
      </w:r>
    </w:p>
    <w:p>
      <w:pPr>
        <w:pStyle w:val="Normal"/>
        <w:numPr>
          <w:ilvl w:val="0"/>
          <w:numId w:val="3"/>
        </w:numPr>
        <w:spacing w:lineRule="auto" w:line="360" w:before="0" w:after="200"/>
        <w:contextualSpacing/>
        <w:jc w:val="left"/>
        <w:rPr>
          <w:rFonts w:ascii="Times New Roman" w:hAnsi="Times New Roman" w:eastAsia="Calibri" w:cs="Times New Roman"/>
          <w:lang w:val="en-US"/>
        </w:rPr>
      </w:pPr>
      <w:r>
        <w:rPr>
          <w:rFonts w:eastAsia="Calibri" w:cs="Times New Roman"/>
          <w:lang w:val="en-US"/>
        </w:rPr>
        <w:t>Cooperation: the interviewees talked about cooperation. Example: ifcs cooperate because they have meetings and conferences together.</w:t>
      </w:r>
    </w:p>
    <w:p>
      <w:pPr>
        <w:pStyle w:val="Heading1"/>
        <w:rPr>
          <w:rFonts w:eastAsia="Times New Roman"/>
          <w:lang w:val="en-US"/>
        </w:rPr>
      </w:pPr>
      <w:bookmarkStart w:id="610" w:name="_Toc459977525"/>
      <w:bookmarkStart w:id="611" w:name="__RefHeading___Toc5836_427358540"/>
      <w:bookmarkEnd w:id="611"/>
      <w:r>
        <w:rPr>
          <w:rFonts w:eastAsia="Times New Roman"/>
          <w:lang w:val="en-US"/>
        </w:rPr>
        <w:t>4.5.5 Leadership-Entrepreneurship</w:t>
      </w:r>
      <w:bookmarkEnd w:id="610"/>
      <w:r>
        <w:rPr>
          <w:rFonts w:eastAsia="Times New Roman"/>
          <w:lang w:val="en-US"/>
        </w:rPr>
        <w:t xml:space="preserve"> </w:t>
      </w:r>
    </w:p>
    <w:p>
      <w:pPr>
        <w:pStyle w:val="Normal"/>
        <w:spacing w:lineRule="auto" w:line="360"/>
        <w:rPr>
          <w:rFonts w:eastAsia="Calibri"/>
          <w:lang w:val="en-US"/>
        </w:rPr>
      </w:pPr>
      <w:r>
        <w:rPr>
          <w:rFonts w:eastAsia="Calibri"/>
          <w:lang w:val="en-US"/>
        </w:rPr>
        <w:t xml:space="preserve">One of the factors that forces entrepreneurship in Odense Robotics cluster is the establishment of the O.R startup hub in Foskerparken Odense. The new robot startup accelerator hub support companies at an early stage to create the shortest route from prototyping to financing and commercialization. According to Odense Robotics Fortier the Hub is the world’s only robot startup accelerator that doesn’t take shares or ownership interests in a try to further push entrepreneurship. Both CorePath Robotics and KuboRobot were a member of the startup Hub receiving benefits from the program regarding free office space, soft funding, organization mentoring, the entrance in the cluster networks and their marketing exposal. </w:t>
      </w:r>
    </w:p>
    <w:p>
      <w:pPr>
        <w:pStyle w:val="Normal"/>
        <w:spacing w:lineRule="auto" w:line="360"/>
        <w:rPr>
          <w:rFonts w:eastAsia="Calibri"/>
          <w:lang w:val="en-US"/>
        </w:rPr>
      </w:pPr>
      <w:r>
        <w:rPr>
          <w:rFonts w:eastAsia="Calibri"/>
          <w:lang w:val="en-US"/>
        </w:rPr>
        <w:t xml:space="preserve">Entrepreneurship comes also from the university. Universal Robots was a university’s spin off and many other companies were established from teams based on the university research. In this study SensoHive is actually a company founded by students that haven’t still complete their studies. Tommy from KuboRobot had recently finished his master’s degree when we had our interview. His idea for the KuboRobot educational robot came after a project in social technology that he had through his studies. On the other hand CorePath Robotics is another form of an entrepreneurial idea as a university’s spin out. The research behind CorePath Robotics is created by SDU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pPr>
        <w:pStyle w:val="Normal"/>
        <w:spacing w:lineRule="auto" w:line="360"/>
        <w:rPr>
          <w:rFonts w:eastAsia="Calibri"/>
          <w:lang w:val="en-US"/>
        </w:rPr>
      </w:pPr>
      <w:r>
        <w:rPr>
          <w:rFonts w:eastAsia="Calibri"/>
          <w:lang w:val="en-US"/>
        </w:rPr>
        <w:t>Jimmy but also Lars Peter that have studied and worked in SDU robotics department both thinks that the university can potentially have stronger position in entrepreneurial process. Jimmy elaborates more on this point and concludes that in the industrial world there is more freedom because the flow of capital resources is higher. Moreover stresses his feelings in the comparison of his work in the University as a researcher and in the Industry as a manager.</w:t>
      </w:r>
    </w:p>
    <w:p>
      <w:pPr>
        <w:pStyle w:val="Normal"/>
        <w:spacing w:lineRule="auto" w:line="360"/>
        <w:rPr>
          <w:rFonts w:eastAsia="Calibri"/>
          <w:i/>
          <w:i/>
          <w:lang w:val="en-US"/>
        </w:rPr>
      </w:pPr>
      <w:r>
        <w:rPr>
          <w:rFonts w:eastAsia="Calibri"/>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freedom it not really worth much. […]If I had the freedom to hire some people to help me implement something. I didn't have the freedom at the university and I can take decision quite fast now that I couldn't take before. Because it needed to go passed several instances of something and then half year after you might ...</w:t>
      </w:r>
    </w:p>
    <w:p>
      <w:pPr>
        <w:pStyle w:val="Normal"/>
        <w:spacing w:lineRule="auto" w:line="360"/>
        <w:rPr>
          <w:rFonts w:eastAsia="Calibri"/>
          <w:lang w:val="en-US"/>
        </w:rPr>
      </w:pPr>
      <w:r>
        <w:rPr>
          <w:rFonts w:eastAsia="Calibri"/>
          <w:lang w:val="en-US"/>
        </w:rPr>
        <w:t xml:space="preserve">The interviewees gave examples of people that are moving inside the cluster in different positions and often found new companies. Bilge from OnRobots is an example of entrepreneurship that according to Andersson et al. (2004), took the role of a broker matching competencies to establish his own company. </w:t>
      </w:r>
    </w:p>
    <w:p>
      <w:pPr>
        <w:pStyle w:val="Normal"/>
        <w:spacing w:lineRule="auto" w:line="360"/>
        <w:rPr>
          <w:rFonts w:eastAsia="Calibri"/>
          <w:i/>
          <w:i/>
          <w:lang w:val="en-US"/>
        </w:rPr>
      </w:pPr>
      <w:r>
        <w:rPr>
          <w:rFonts w:eastAsia="Calibri"/>
          <w:i/>
          <w:lang w:val="en-US"/>
        </w:rPr>
        <w:t>Mikkel :What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pPr>
        <w:pStyle w:val="Normal"/>
        <w:spacing w:lineRule="auto" w:line="360"/>
        <w:rPr/>
      </w:pPr>
      <w:r>
        <w:rPr>
          <w:rFonts w:eastAsia="Calibri"/>
          <w:lang w:val="en-US"/>
        </w:rPr>
        <w:t>Entrepreneurship is also generated in Odense Robotics cluster by experts. Experts are people moving inside the cluster with knowledge and experience</w:t>
      </w:r>
      <w:r>
        <w:rPr>
          <w:lang w:val="en-US"/>
        </w:rPr>
        <w:t xml:space="preserve"> </w:t>
      </w:r>
      <w:r>
        <w:rPr>
          <w:rFonts w:eastAsia="Calibri"/>
          <w:lang w:val="en-US"/>
        </w:rPr>
        <w:t xml:space="preserve">in Robotic industry and technology. Those people have worked in different organizations inside the Robotic cluster in Odense capturing positions in University, Industry and IFCs. They act as clusterpreneurs and mentors interesting to invest resources into an idea. For example Claus Risager the now Co-founder and CEO of the Blue Ocean Robotics have had worked as a robotics engineer at Lindo shipyard but also was the head of DTI-RT until 2012 </w:t>
      </w:r>
      <w:r>
        <w:fldChar w:fldCharType="begin"/>
      </w:r>
      <w:r>
        <w:instrText>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w:instrText>
      </w:r>
      <w:r>
        <w:fldChar w:fldCharType="separate"/>
      </w:r>
      <w:bookmarkStart w:id="612" w:name="__Fieldmark__3876_783673585"/>
      <w:r>
        <w:rPr>
          <w:rFonts w:eastAsia="Calibri"/>
          <w:lang w:val="en-US"/>
        </w:rPr>
      </w:r>
      <w:r>
        <w:rPr>
          <w:rFonts w:eastAsia="Calibri" w:cs="Times New Roman"/>
          <w:szCs w:val="24"/>
          <w:lang w:val="en-US"/>
        </w:rPr>
        <w:t>(</w:t>
      </w:r>
      <w:bookmarkStart w:id="613" w:name="__Fieldmark__4654_427358540"/>
      <w:r>
        <w:rPr>
          <w:rFonts w:eastAsia="Calibri" w:cs="Times New Roman"/>
          <w:szCs w:val="24"/>
          <w:lang w:val="en-US"/>
        </w:rPr>
        <w:t>“Claus Risager | LinkedIn,” n.d.)</w:t>
      </w:r>
      <w:r>
        <w:rPr>
          <w:rFonts w:eastAsia="Calibri"/>
          <w:lang w:val="en-US"/>
        </w:rPr>
      </w:r>
      <w:r>
        <w:fldChar w:fldCharType="end"/>
      </w:r>
      <w:bookmarkEnd w:id="612"/>
      <w:bookmarkEnd w:id="613"/>
      <w:r>
        <w:rPr>
          <w:rFonts w:eastAsia="Calibri"/>
          <w:lang w:val="en-US"/>
        </w:rPr>
        <w:t xml:space="preserve">. Blue Ocean Robotics board of director’s team combines a cross-disciplinary research team that invests resources and capital into the exponentially growing robotics ideas. </w:t>
      </w:r>
    </w:p>
    <w:p>
      <w:pPr>
        <w:pStyle w:val="Heading1"/>
        <w:rPr>
          <w:i/>
          <w:i/>
          <w:lang w:val="en-US"/>
        </w:rPr>
      </w:pPr>
      <w:bookmarkStart w:id="614" w:name="_Toc459977526"/>
      <w:bookmarkStart w:id="615" w:name="__RefHeading___Toc5838_427358540"/>
      <w:bookmarkEnd w:id="614"/>
      <w:bookmarkEnd w:id="615"/>
      <w:r>
        <w:rPr>
          <w:lang w:val="en-US"/>
        </w:rPr>
        <w:t>4.6 Odense Robotics Global Cluster of innovation</w:t>
      </w:r>
    </w:p>
    <w:p>
      <w:pPr>
        <w:pStyle w:val="Normal"/>
        <w:spacing w:lineRule="auto" w:line="360"/>
        <w:rPr>
          <w:rFonts w:eastAsia="Calibri"/>
          <w:lang w:val="en-US"/>
        </w:rPr>
      </w:pPr>
      <w:r>
        <w:rPr>
          <w:rFonts w:eastAsia="Calibri"/>
          <w:lang w:val="en-US"/>
        </w:rPr>
        <w:t xml:space="preserve">Here I will analyze the linkages that Odense Robotics cluster has out of the national level.  The interviewees have identified the cluster’s ability to compete internationally and for that reason as it discussed in external linkages section, they form global pipelines to explore their potentials. The participants in the study recognized the global perspective of the cluster that is combined with the global perspective of the robot industry. </w:t>
      </w:r>
    </w:p>
    <w:p>
      <w:pPr>
        <w:pStyle w:val="Normal"/>
        <w:spacing w:lineRule="auto" w:line="360"/>
        <w:rPr>
          <w:rFonts w:eastAsia="Calibri"/>
          <w:lang w:val="en-US"/>
        </w:rPr>
      </w:pPr>
      <w:r>
        <w:rPr>
          <w:rFonts w:eastAsia="Calibri"/>
          <w:lang w:val="en-US"/>
        </w:rPr>
        <w:t>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n.d.). DTI-RT and SDU-RT cooperates with research centers from abroad as Anders mentions:</w:t>
      </w:r>
    </w:p>
    <w:p>
      <w:pPr>
        <w:pStyle w:val="Normal"/>
        <w:spacing w:lineRule="auto" w:line="360"/>
        <w:rPr>
          <w:rFonts w:eastAsia="Calibri"/>
          <w:i/>
          <w:i/>
          <w:lang w:val="en-US"/>
        </w:rPr>
      </w:pPr>
      <w:r>
        <w:rPr>
          <w:rFonts w:eastAsia="Calibri"/>
          <w:i/>
          <w:lang w:val="en-US"/>
        </w:rPr>
        <w:t>Ioannis: Which frictions will drive the cluster into that direction being globally competitive?</w:t>
      </w:r>
    </w:p>
    <w:p>
      <w:pPr>
        <w:pStyle w:val="Normal"/>
        <w:spacing w:lineRule="auto" w:line="360"/>
        <w:rPr>
          <w:rFonts w:eastAsia="Calibri"/>
          <w:i/>
          <w:i/>
          <w:lang w:val="en-US"/>
        </w:rPr>
      </w:pPr>
      <w:r>
        <w:rPr>
          <w:rFonts w:eastAsia="Calibri"/>
          <w:i/>
          <w:lang w:val="en-US"/>
        </w:rPr>
        <w:t>[00:24:57] Anders :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University the same that they are working on the international market. So the internationalization is definitely something that we are quite heavily involved in.</w:t>
      </w:r>
    </w:p>
    <w:p>
      <w:pPr>
        <w:pStyle w:val="Normal"/>
        <w:spacing w:lineRule="auto" w:line="360"/>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segmentation. OnRobot is an example of a company that born global through the use of that sales network. OnRobot produces an electrical industrial robot gripper that can handle a variation of different object sizes being compatible with UR robotic arms. OnRobot develop its sales network by setting partnerships with UR distributors as is illustrated in the photo in figure 11. </w:t>
      </w:r>
    </w:p>
    <w:p>
      <w:pPr>
        <w:pStyle w:val="Normal"/>
        <w:keepNext/>
        <w:spacing w:lineRule="auto" w:line="360"/>
        <w:rPr/>
      </w:pPr>
      <w:r>
        <w:rPr/>
        <w:drawing>
          <wp:inline distT="0" distB="0" distL="0" distR="0">
            <wp:extent cx="6082030" cy="4561205"/>
            <wp:effectExtent l="0" t="0" r="0" b="0"/>
            <wp:docPr id="27" name="Εικόνα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16" descr=""/>
                    <pic:cNvPicPr>
                      <a:picLocks noChangeAspect="1" noChangeArrowheads="1"/>
                    </pic:cNvPicPr>
                  </pic:nvPicPr>
                  <pic:blipFill>
                    <a:blip r:embed="rId34"/>
                    <a:stretch>
                      <a:fillRect/>
                    </a:stretch>
                  </pic:blipFill>
                  <pic:spPr bwMode="auto">
                    <a:xfrm>
                      <a:off x="0" y="0"/>
                      <a:ext cx="6082030" cy="4561205"/>
                    </a:xfrm>
                    <a:prstGeom prst="rect">
                      <a:avLst/>
                    </a:prstGeom>
                  </pic:spPr>
                </pic:pic>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11</w:t>
      </w:r>
      <w:r>
        <w:fldChar w:fldCharType="end"/>
      </w:r>
      <w:r>
        <w:rPr>
          <w:lang w:val="en-US"/>
        </w:rPr>
        <w:t xml:space="preserve"> OnRobot Distributors</w:t>
      </w:r>
    </w:p>
    <w:p>
      <w:pPr>
        <w:pStyle w:val="Normal"/>
        <w:spacing w:lineRule="auto" w:line="360"/>
        <w:rPr>
          <w:lang w:val="en-US"/>
        </w:rPr>
      </w:pPr>
      <w:r>
        <w:rPr>
          <w:lang w:val="en-US"/>
        </w:rPr>
        <w:t>The map is the first image that I observed when I met Bilge in OnRobot officies in the harbor of Odense. The pins in the map are agreements that OnRobot have fixed with distributors worldwide. All of these distributors are selling the UR arm and OnRobot is trying to gain market share providing a peripheral UR component as Mikkel comments for OnRobots:</w:t>
      </w:r>
    </w:p>
    <w:p>
      <w:pPr>
        <w:pStyle w:val="Normal"/>
        <w:spacing w:lineRule="auto" w:line="360"/>
        <w:rPr>
          <w:lang w:val="en-US"/>
        </w:rPr>
      </w:pPr>
      <w:r>
        <w:rPr>
          <w:i/>
          <w:lang w:val="en-US"/>
        </w:rPr>
        <w:t>Mikkel: They are sort of piggy begging on the UR global market access.</w:t>
      </w:r>
    </w:p>
    <w:p>
      <w:pPr>
        <w:pStyle w:val="Normal"/>
        <w:spacing w:lineRule="auto" w:line="360"/>
        <w:rPr>
          <w:lang w:val="en-US"/>
        </w:rPr>
      </w:pPr>
      <w:r>
        <w:rPr>
          <w:lang w:val="en-US"/>
        </w:rPr>
        <w:t>As Anders stated above the university is also working on the international market. Lars-Peter mentions the collaboration that SDU-RT is having with Universities around the word but also with projects that have international perspective. MADE is an initiative that targets to lift Danish production combining research, innovation and education having positive effects on the externality of the University as Lars-Peter states:</w:t>
      </w:r>
    </w:p>
    <w:p>
      <w:pPr>
        <w:pStyle w:val="Normal"/>
        <w:spacing w:lineRule="auto" w:line="360"/>
        <w:rPr>
          <w:i/>
          <w:i/>
          <w:lang w:val="en-US"/>
        </w:rPr>
      </w:pPr>
      <w:r>
        <w:rPr>
          <w:i/>
          <w:lang w:val="en-US"/>
        </w:rPr>
        <w:t xml:space="preserve">Lars-Peter: The University is a big entity in itself and it already has a network with the other universities and there are certain large research projects, for instance, the MADE project. And there is the MADE organization which is sort of manufacturing academy of Denmark which the university is part of. So, from there we get a lot of collaboration with companies and there are also the EU grants. Basically, European projects which the universities are involved with. </w:t>
      </w:r>
      <w:r>
        <w:rPr>
          <w:i/>
          <w:u w:val="single"/>
          <w:lang w:val="en-US"/>
        </w:rPr>
        <w:t>Odense Robotics they are locally focused where the university is more globally focused in some ways.</w:t>
      </w:r>
    </w:p>
    <w:p>
      <w:pPr>
        <w:pStyle w:val="Normal"/>
        <w:keepNext/>
        <w:keepLines/>
        <w:numPr>
          <w:ilvl w:val="0"/>
          <w:numId w:val="0"/>
        </w:numPr>
        <w:spacing w:before="480" w:after="0"/>
        <w:jc w:val="left"/>
        <w:outlineLvl w:val="0"/>
        <w:rPr>
          <w:rFonts w:ascii="Arial" w:hAnsi="Arial" w:eastAsia="" w:cs="" w:asciiTheme="majorHAnsi" w:cstheme="majorBidi" w:eastAsiaTheme="majorEastAsia" w:hAnsiTheme="majorHAnsi"/>
          <w:b/>
          <w:b/>
          <w:bCs/>
          <w:color w:val="000000" w:themeColor="accent1" w:themeShade="bf"/>
          <w:sz w:val="28"/>
          <w:szCs w:val="28"/>
          <w:lang w:val="en-US"/>
        </w:rPr>
      </w:pPr>
      <w:bookmarkStart w:id="616" w:name="_Toc457211278"/>
      <w:bookmarkStart w:id="617" w:name="_Toc459977527"/>
      <w:bookmarkStart w:id="618" w:name="__RefHeading___Toc5840_427358540"/>
      <w:bookmarkEnd w:id="618"/>
      <w:r>
        <w:rPr>
          <w:rFonts w:eastAsia="" w:cs="" w:ascii="Arial" w:hAnsi="Arial" w:asciiTheme="majorHAnsi" w:cstheme="majorBidi" w:eastAsiaTheme="majorEastAsia" w:hAnsiTheme="majorHAnsi"/>
          <w:b/>
          <w:bCs/>
          <w:color w:val="000000" w:themeColor="accent1" w:themeShade="bf"/>
          <w:sz w:val="28"/>
          <w:szCs w:val="28"/>
          <w:lang w:val="en-US"/>
        </w:rPr>
        <w:t>Chapter 5: Discussion</w:t>
      </w:r>
      <w:bookmarkEnd w:id="616"/>
      <w:bookmarkEnd w:id="617"/>
      <w:r>
        <w:rPr>
          <w:rFonts w:eastAsia="" w:cs="" w:ascii="Arial" w:hAnsi="Arial" w:asciiTheme="majorHAnsi" w:cstheme="majorBidi" w:eastAsiaTheme="majorEastAsia" w:hAnsiTheme="majorHAnsi"/>
          <w:b/>
          <w:bCs/>
          <w:color w:val="000000" w:themeColor="accent1" w:themeShade="bf"/>
          <w:sz w:val="28"/>
          <w:szCs w:val="28"/>
          <w:lang w:val="en-US"/>
        </w:rPr>
        <w:t xml:space="preserve"> </w:t>
      </w:r>
    </w:p>
    <w:p>
      <w:pPr>
        <w:pStyle w:val="Heading1"/>
        <w:rPr>
          <w:rFonts w:eastAsia="Times New Roman"/>
          <w:lang w:val="en-US"/>
        </w:rPr>
      </w:pPr>
      <w:bookmarkStart w:id="619" w:name="__RefHeading___Toc5842_427358540"/>
      <w:bookmarkStart w:id="620" w:name="_Toc459977528"/>
      <w:bookmarkEnd w:id="619"/>
      <w:bookmarkEnd w:id="620"/>
      <w:r>
        <w:rPr>
          <w:rFonts w:eastAsia="Times New Roman"/>
          <w:lang w:val="en-US"/>
        </w:rPr>
        <w:t>5.1 Odense Robotics Diamond</w:t>
      </w:r>
    </w:p>
    <w:p>
      <w:pPr>
        <w:pStyle w:val="Normal"/>
        <w:spacing w:lineRule="auto" w:line="360"/>
        <w:rPr>
          <w:lang w:val="en-US"/>
        </w:rPr>
      </w:pPr>
      <w:r>
        <w:rPr>
          <w:lang w:val="en-US"/>
        </w:rPr>
        <w:t xml:space="preserve">The nation of Denmark and the region around Odense have strong positions in the diamond analysis according to the data. Factor conditions and government have significant importance in the study according to the data. Government has an empowered influence in the system. The Danish national innovation policy is the reason why government has this role. Thus in the Diamond analysis Government position is strong because represents structured National, Regional or Sectoral Systems of Innovation. For this reason Government is separately analyzed in the chapter of Danish System of Innovation that this analysis represents the role of the Government in the Porter’s Diamond analysis. </w:t>
      </w:r>
    </w:p>
    <w:p>
      <w:pPr>
        <w:pStyle w:val="Normal"/>
        <w:spacing w:lineRule="auto" w:line="360"/>
        <w:rPr>
          <w:lang w:val="en-US"/>
        </w:rPr>
      </w:pPr>
      <w:r>
        <w:rPr>
          <w:lang w:val="en-US"/>
        </w:rPr>
        <w:t>From the four conditions that create the Diamond, factor conditions dominated the system according to the analysis. I find demand conditions to be positive in the system. Related and Supporting industries and firm’s strategy, structure and rivalry seems to be neutral having both advantages and disadvantages. Chance as always plays its own role in the system as it describes unpredictable conditions but in Odense Robotics chance is connected with timing. Further analysis of the chance condition is out of the study’s interest.</w:t>
      </w:r>
    </w:p>
    <w:p>
      <w:pPr>
        <w:pStyle w:val="Heading1"/>
        <w:rPr>
          <w:lang w:val="en-US"/>
        </w:rPr>
      </w:pPr>
      <w:bookmarkStart w:id="621" w:name="_Toc459977529"/>
      <w:bookmarkStart w:id="622" w:name="__RefHeading___Toc5844_427358540"/>
      <w:bookmarkEnd w:id="621"/>
      <w:bookmarkEnd w:id="622"/>
      <w:r>
        <w:rPr>
          <w:lang w:val="en-US"/>
        </w:rPr>
        <w:t>5.1.1 Factor Conditions</w:t>
      </w:r>
    </w:p>
    <w:p>
      <w:pPr>
        <w:pStyle w:val="Normal"/>
        <w:spacing w:lineRule="auto" w:line="360"/>
        <w:rPr/>
      </w:pPr>
      <w:r>
        <w:rPr>
          <w:lang w:val="en-US"/>
        </w:rPr>
        <w:t xml:space="preserve">Factor conditions are overall strong and positive for the Odense Robotics Cluster.  According to the data knowledge resources were strong both for Denmark and the cluster. Denmark spends among the highest percentage of GDP in education and research </w:t>
      </w:r>
      <w:r>
        <w:fldChar w:fldCharType="begin"/>
      </w:r>
      <w:r>
        <w:instrText>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w:instrText>
      </w:r>
      <w:r>
        <w:fldChar w:fldCharType="separate"/>
      </w:r>
      <w:bookmarkStart w:id="623" w:name="__Fieldmark__3933_783673585"/>
      <w:r>
        <w:rPr>
          <w:lang w:val="en-US"/>
        </w:rPr>
      </w:r>
      <w:r>
        <w:rPr>
          <w:rFonts w:cs="Times New Roman"/>
          <w:lang w:val="en-US"/>
        </w:rPr>
        <w:t>(</w:t>
      </w:r>
      <w:bookmarkStart w:id="624" w:name="__Fieldmark__4747_427358540"/>
      <w:r>
        <w:rPr>
          <w:rFonts w:cs="Times New Roman"/>
          <w:lang w:val="en-US"/>
        </w:rPr>
        <w:t>Eurostat, 2012)</w:t>
      </w:r>
      <w:r>
        <w:rPr>
          <w:lang w:val="en-US"/>
        </w:rPr>
      </w:r>
      <w:r>
        <w:fldChar w:fldCharType="end"/>
      </w:r>
      <w:bookmarkEnd w:id="623"/>
      <w:bookmarkEnd w:id="624"/>
      <w:r>
        <w:rPr>
          <w:lang w:val="en-US"/>
        </w:rPr>
        <w:t xml:space="preserve"> having a level of education above OECD average </w:t>
      </w:r>
      <w:r>
        <w:fldChar w:fldCharType="begin"/>
      </w:r>
      <w:r>
        <w:instrText>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w:instrText>
      </w:r>
      <w:r>
        <w:fldChar w:fldCharType="separate"/>
      </w:r>
      <w:bookmarkStart w:id="625" w:name="__Fieldmark__3940_783673585"/>
      <w:r>
        <w:rPr>
          <w:lang w:val="en-US"/>
        </w:rPr>
      </w:r>
      <w:r>
        <w:rPr>
          <w:rFonts w:cs="Times New Roman"/>
          <w:lang w:val="en-US"/>
        </w:rPr>
        <w:t>(</w:t>
      </w:r>
      <w:bookmarkStart w:id="626" w:name="__Fieldmark__4752_427358540"/>
      <w:r>
        <w:rPr>
          <w:rFonts w:cs="Times New Roman"/>
          <w:lang w:val="en-US"/>
        </w:rPr>
        <w:t>Statistics Denmark, 2016)</w:t>
      </w:r>
      <w:r>
        <w:rPr>
          <w:lang w:val="en-US"/>
        </w:rPr>
      </w:r>
      <w:r>
        <w:fldChar w:fldCharType="end"/>
      </w:r>
      <w:bookmarkEnd w:id="625"/>
      <w:bookmarkEnd w:id="626"/>
      <w:r>
        <w:rPr>
          <w:lang w:val="en-US"/>
        </w:rPr>
        <w:t>.  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pPr>
        <w:pStyle w:val="Normal"/>
        <w:spacing w:lineRule="auto" w:line="360"/>
        <w:rPr/>
      </w:pPr>
      <w:r>
        <w:rPr>
          <w:lang w:val="en-US"/>
        </w:rPr>
        <w:t xml:space="preserve">Denmark ranks seventh in the Human Capital Index 2015 by World Economic Forum among 124 economies </w:t>
      </w:r>
      <w:r>
        <w:fldChar w:fldCharType="begin"/>
      </w:r>
      <w:r>
        <w:instrText>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w:instrText>
      </w:r>
      <w:r>
        <w:fldChar w:fldCharType="separate"/>
      </w:r>
      <w:bookmarkStart w:id="627" w:name="__Fieldmark__3949_783673585"/>
      <w:r>
        <w:rPr>
          <w:lang w:val="en-US"/>
        </w:rPr>
      </w:r>
      <w:r>
        <w:rPr>
          <w:rFonts w:cs="Times New Roman"/>
          <w:lang w:val="en-US"/>
        </w:rPr>
        <w:t>(</w:t>
      </w:r>
      <w:bookmarkStart w:id="628" w:name="__Fieldmark__4769_427358540"/>
      <w:r>
        <w:rPr>
          <w:rFonts w:cs="Times New Roman"/>
          <w:lang w:val="en-US"/>
        </w:rPr>
        <w:t>Word Economic Forum, 2015)</w:t>
      </w:r>
      <w:r>
        <w:rPr>
          <w:lang w:val="en-US"/>
        </w:rPr>
      </w:r>
      <w:r>
        <w:fldChar w:fldCharType="end"/>
      </w:r>
      <w:bookmarkEnd w:id="627"/>
      <w:bookmarkEnd w:id="628"/>
      <w:r>
        <w:rPr>
          <w:lang w:val="en-US"/>
        </w:rPr>
        <w:t xml:space="preserve">. Denmark has a high performing and well-educated population with a very good level in English skills. According to the 2015 report of the World Economic forum Talent and not capital, will be the key factor linking innovation, competitiveness and growth. 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pPr>
        <w:pStyle w:val="Normal"/>
        <w:spacing w:lineRule="auto" w:line="360"/>
        <w:rPr>
          <w:lang w:val="en-US"/>
        </w:rPr>
      </w:pPr>
      <w:r>
        <w:rPr>
          <w:lang w:val="en-US"/>
        </w:rPr>
        <w:t xml:space="preserve">One of the most significant ‘disadvantages’ referred to the cluster were found in the quantity of human resources. All the interviewees mentioned this potential threat for the cluster development. I state potential here because </w:t>
      </w:r>
      <w:commentRangeStart w:id="70"/>
      <w:r>
        <w:rPr>
          <w:lang w:val="en-US"/>
        </w:rPr>
        <w:t>everybody is talking about that in the cluster</w:t>
      </w:r>
      <w:r>
        <w:rPr>
          <w:lang w:val="en-US"/>
        </w:rPr>
      </w:r>
      <w:commentRangeEnd w:id="70"/>
      <w:r>
        <w:commentReference w:id="70"/>
      </w:r>
      <w:r>
        <w:rPr>
          <w:lang w:val="en-US"/>
        </w:rPr>
        <w:t xml:space="preserve"> but the interviewees were in an ‘early stage’ to affect. Universal Robots and MiR was mentioned to continuously ‘search and hire’ personnel following their strategy to growth. 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 The Absorbers of human capital with the growth potential of the cluster strengthens the position for limited quantity. Overall, I find human resources for Odense Robotics cluster as positive in the diamond model. Strong quality and moderated quantity of personnel are the characteristics in human resources for the Odense Robotics cluster.</w:t>
      </w:r>
    </w:p>
    <w:p>
      <w:pPr>
        <w:pStyle w:val="Normal"/>
        <w:spacing w:lineRule="auto" w:line="360"/>
        <w:rPr>
          <w:lang w:val="en-US"/>
        </w:rPr>
      </w:pPr>
      <w:r>
        <w:rPr>
          <w:lang w:val="en-US"/>
        </w:rPr>
        <w:t xml:space="preserve">Denmark is a stable economy with a competitive currency. According to the analysis, capital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financing that are directed from IFCs the next step for a company in the cluster is to match with an external venture capital investor. Money will give cash injection to companies but also close collaboration with market experts. </w:t>
      </w:r>
    </w:p>
    <w:p>
      <w:pPr>
        <w:pStyle w:val="Normal"/>
        <w:spacing w:lineRule="auto" w:line="360"/>
        <w:rPr>
          <w:lang w:val="en-US"/>
        </w:rPr>
      </w:pPr>
      <w:r>
        <w:rPr>
          <w:lang w:val="en-US"/>
        </w:rPr>
        <w:t xml:space="preserve">Infrastructure holds a unique position in the Odense Robotics cluster. Odense municipality’s initiative to transform Odense from a major Danish city into a Danish metropolis over the period of 2012-2022 is an example on investments in infrastructure. SDU is also a contemporary infrastructure that houses resources for the robotic cluster.  The new MMMI building that came as a donation of the private company is another example. The Science Parks (forskerparker and Videnbyen) are two other important for the cluster entities that host diversified sources of organizations. In the Science Park is also hosted the O.R startup Hub. Overall infrastructure is strong mentioned from the interviewees. The analysis shows that infrastructure help the cluster to house its activities being open to collaboration. </w:t>
      </w:r>
    </w:p>
    <w:p>
      <w:pPr>
        <w:pStyle w:val="Heading1"/>
        <w:rPr>
          <w:lang w:val="en-US"/>
        </w:rPr>
      </w:pPr>
      <w:bookmarkStart w:id="629" w:name="_Toc459977530"/>
      <w:bookmarkStart w:id="630" w:name="__RefHeading___Toc5846_427358540"/>
      <w:bookmarkEnd w:id="629"/>
      <w:bookmarkEnd w:id="630"/>
      <w:r>
        <w:rPr>
          <w:lang w:val="en-US"/>
        </w:rPr>
        <w:t>5.1.2 Demand Conditions</w:t>
      </w:r>
    </w:p>
    <w:p>
      <w:pPr>
        <w:pStyle w:val="Normal"/>
        <w:spacing w:lineRule="auto" w:line="360"/>
        <w:rPr>
          <w:lang w:val="en-US"/>
        </w:rPr>
      </w:pPr>
      <w:r>
        <w:rPr>
          <w:lang w:val="en-US"/>
        </w:rPr>
        <w:t>Demand conditions can be characterizes as strong for the Robotic Diamond analysis. In Denmark there is high Robot density and small percentage on investments in Robotics by companies as observed in the analysis. Public sector pushes home demand conditions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readiness to be introduced in the market. Those companies both buy and integrate technologies creating the need for more solutions. The second factor is the success of Universal Robots. The company due to the high sales and innovative based product became a platform that other companies can rely for development. They produce peripherals or developed technologies that are supported from the usability of the UR robotic arms and the UR’s establishment of strong sales network. I characterize demand conditions as strong in Odense Robotics cluster.</w:t>
      </w:r>
    </w:p>
    <w:p>
      <w:pPr>
        <w:pStyle w:val="Heading1"/>
        <w:rPr>
          <w:rStyle w:val="1Char"/>
          <w:b/>
          <w:b/>
          <w:bCs/>
          <w:lang w:val="en-US"/>
        </w:rPr>
      </w:pPr>
      <w:bookmarkStart w:id="631" w:name="_Toc459977531"/>
      <w:bookmarkStart w:id="632" w:name="__RefHeading___Toc5848_427358540"/>
      <w:bookmarkEnd w:id="632"/>
      <w:r>
        <w:rPr>
          <w:lang w:val="en-US"/>
        </w:rPr>
        <w:t>5</w:t>
      </w:r>
      <w:bookmarkEnd w:id="631"/>
      <w:r>
        <w:rPr>
          <w:rStyle w:val="1Char"/>
          <w:b/>
          <w:bCs/>
          <w:lang w:val="en-US"/>
        </w:rPr>
        <w:t>.1.3 Firms’ strategy, structure and rivalry</w:t>
      </w:r>
    </w:p>
    <w:p>
      <w:pPr>
        <w:pStyle w:val="Normal"/>
        <w:spacing w:lineRule="auto" w:line="360"/>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pPr>
        <w:pStyle w:val="Normal"/>
        <w:spacing w:lineRule="auto" w:line="360"/>
        <w:rPr>
          <w:lang w:val="en-US"/>
        </w:rPr>
      </w:pPr>
      <w:r>
        <w:rPr>
          <w:lang w:val="en-US"/>
        </w:rPr>
        <w:t xml:space="preserve">On the other side, strategy and structure of firms appear strong in the analysis. Both are influenced by strong role models and the public policy towards innovation. Universal Robots business model became a role model for success in the cluster. Entrepreneurs and mentors have constructed a business framework of how to compete internationally anchored by the success of Universal Robots. Business ideas are framed inside the Universal Robots model trying to reach the same characteristics. Those are a rather simple innovative product with high functionality and easy to use towards an international perceptive. KuboRobot, SensoHive, Corepath Robotics and OnRobots adopt this philosophy for their products. </w:t>
      </w:r>
    </w:p>
    <w:p>
      <w:pPr>
        <w:pStyle w:val="Normal"/>
        <w:spacing w:lineRule="auto" w:line="360"/>
        <w:rPr>
          <w:lang w:val="en-US"/>
        </w:rPr>
      </w:pPr>
      <w:r>
        <w:rPr>
          <w:lang w:val="en-US"/>
        </w:rPr>
        <w:t>Mentors and connectors inside the IFCs that provide business advices to companies are also anchored by the success of UR. Young companies follows to some extent the UR path foreseeing short and long term obstacles in business development. Mentors plan specific steps for growth that companies will need to make before competing internationally and the UR lesson helps to reduce the time to success. For this reason I characterize the firms’ strategy in Odense Robotics cluster as strong to the environment and influenced by role models. The structure of the firms depends on public policy that fosters the formation of startup firms that work around innovation. Public entrepreneurial programs provide financial support and sparring for commercializing innovative propositions (“About IFD | Innovation Fund Denmark,” n.d.) helping the establishment of young companies. Overall firms’ strategy, structure and rivalry is moderated in the Odense Robotics cluster. Structure and strategy are important characteristics for the environment that the cluster competes but rivalry is weak in the system.</w:t>
      </w:r>
    </w:p>
    <w:p>
      <w:pPr>
        <w:pStyle w:val="Heading1"/>
        <w:rPr>
          <w:lang w:val="en-US"/>
        </w:rPr>
      </w:pPr>
      <w:bookmarkStart w:id="633" w:name="_Toc459977532"/>
      <w:bookmarkStart w:id="634" w:name="__RefHeading___Toc5850_427358540"/>
      <w:bookmarkEnd w:id="633"/>
      <w:bookmarkEnd w:id="634"/>
      <w:r>
        <w:rPr>
          <w:lang w:val="en-US"/>
        </w:rPr>
        <w:t>5.1.4 Related and Supporting Industries</w:t>
      </w:r>
    </w:p>
    <w:p>
      <w:pPr>
        <w:pStyle w:val="Normal"/>
        <w:spacing w:lineRule="auto" w:line="360"/>
        <w:rPr>
          <w:lang w:val="en-US"/>
        </w:rPr>
      </w:pPr>
      <w:r>
        <w:rPr>
          <w:lang w:val="en-US"/>
        </w:rPr>
        <w:t>The business environment around Odense has lost some power in the recent years. The closure of Lindo Shipyard and the global economic downturn in the begging of 2000s took from Odense a big part of domestic productivity. Despite this fact there are still strong related and supporting industries that can be linked to robotics. ABB and Grundfos are two strong examples of companies that outperforming globally and are based in Odense balancing the condition.</w:t>
      </w:r>
    </w:p>
    <w:p>
      <w:pPr>
        <w:pStyle w:val="Normal"/>
        <w:spacing w:lineRule="auto" w:line="360"/>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RoboGlobal report (2016) as a combination of sensing, processing, actuation, computing and integration processes. </w:t>
      </w:r>
    </w:p>
    <w:p>
      <w:pPr>
        <w:pStyle w:val="Normal"/>
        <w:keepNext/>
        <w:spacing w:lineRule="auto" w:line="360"/>
        <w:rPr/>
      </w:pPr>
      <w:r>
        <w:rPr/>
        <w:drawing>
          <wp:inline distT="0" distB="0" distL="0" distR="0">
            <wp:extent cx="6337300" cy="3754120"/>
            <wp:effectExtent l="0" t="0" r="0" b="0"/>
            <wp:docPr id="28" name="Εικόνα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14" descr=""/>
                    <pic:cNvPicPr>
                      <a:picLocks noChangeAspect="1" noChangeArrowheads="1"/>
                    </pic:cNvPicPr>
                  </pic:nvPicPr>
                  <pic:blipFill>
                    <a:blip r:embed="rId35"/>
                    <a:stretch>
                      <a:fillRect/>
                    </a:stretch>
                  </pic:blipFill>
                  <pic:spPr bwMode="auto">
                    <a:xfrm>
                      <a:off x="0" y="0"/>
                      <a:ext cx="6337300" cy="3754120"/>
                    </a:xfrm>
                    <a:prstGeom prst="rect">
                      <a:avLst/>
                    </a:prstGeom>
                  </pic:spPr>
                </pic:pic>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12</w:t>
      </w:r>
      <w:r>
        <w:fldChar w:fldCharType="end"/>
      </w:r>
      <w:r>
        <w:rPr>
          <w:lang w:val="en-US"/>
        </w:rPr>
        <w:t xml:space="preserve"> Related and Supporting Robo-Technologies</w:t>
      </w:r>
    </w:p>
    <w:p>
      <w:pPr>
        <w:pStyle w:val="Normal"/>
        <w:spacing w:lineRule="auto" w:line="360"/>
        <w:rPr>
          <w:lang w:val="en-US"/>
        </w:rPr>
      </w:pPr>
      <w:r>
        <w:rPr>
          <w:lang w:val="en-US"/>
        </w:rPr>
        <w:t>The informants described robotics as a combination of related technologies and in Odense Robotics those industries dominate the Porter‘s (1990) traditional related and supporting industry like ABB and Grundfos. It is easier for a company that develops software for robotics to interact with a sensor company as they matching competences. The traditional related industries can interact mainly with integrators which have the role to provide complete robot solutions. Firms in Odense Robotics cluster depend on related and supported industries but around the robotic technologies the breadth of related industries is still low.</w:t>
      </w:r>
    </w:p>
    <w:p>
      <w:pPr>
        <w:pStyle w:val="Heading1"/>
        <w:rPr>
          <w:lang w:val="en-US"/>
        </w:rPr>
      </w:pPr>
      <w:bookmarkStart w:id="635" w:name="_Toc459977533"/>
      <w:bookmarkStart w:id="636" w:name="__RefHeading___Toc5852_427358540"/>
      <w:bookmarkEnd w:id="635"/>
      <w:bookmarkEnd w:id="636"/>
      <w:r>
        <w:rPr>
          <w:lang w:val="en-US"/>
        </w:rPr>
        <w:t>5.2 Danish Systems of Innovation</w:t>
      </w:r>
    </w:p>
    <w:p>
      <w:pPr>
        <w:pStyle w:val="Normal"/>
        <w:spacing w:lineRule="auto" w:line="360"/>
        <w:rPr/>
      </w:pPr>
      <w:r>
        <w:rPr>
          <w:lang w:val="en-US"/>
        </w:rPr>
        <w:t xml:space="preserve">According to Edquist (2001), an innovation system is an alternative way to understand the Porter’s Diamond. In this study the Danish Innovation systems explain the role of the government in the diamond model. The Danish government has adopted policies to boost national productivity with investments in research and innovation making available pools of capital for projects. The total Danish R&amp;D expenditure in the public and private sector has doubled in the period 2000- 2014 estimated at DKK 59 billion in 2014 </w:t>
      </w:r>
      <w:r>
        <w:fldChar w:fldCharType="begin"/>
      </w:r>
      <w:r>
        <w:instrText>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w:instrText>
      </w:r>
      <w:r>
        <w:fldChar w:fldCharType="separate"/>
      </w:r>
      <w:bookmarkStart w:id="637" w:name="__Fieldmark__4007_783673585"/>
      <w:r>
        <w:rPr>
          <w:lang w:val="en-US"/>
        </w:rPr>
      </w:r>
      <w:r>
        <w:rPr>
          <w:rFonts w:cs="Times New Roman"/>
          <w:lang w:val="en-US"/>
        </w:rPr>
        <w:t>(</w:t>
      </w:r>
      <w:bookmarkStart w:id="638" w:name="__Fieldmark__4929_427358540"/>
      <w:r>
        <w:rPr>
          <w:rFonts w:cs="Times New Roman"/>
          <w:lang w:val="en-US"/>
        </w:rPr>
        <w:t>Statistics Denmark, 2016)</w:t>
      </w:r>
      <w:r>
        <w:rPr>
          <w:lang w:val="en-US"/>
        </w:rPr>
      </w:r>
      <w:r>
        <w:fldChar w:fldCharType="end"/>
      </w:r>
      <w:bookmarkEnd w:id="637"/>
      <w:bookmarkEnd w:id="638"/>
      <w:r>
        <w:rPr>
          <w:lang w:val="en-US"/>
        </w:rPr>
        <w:t xml:space="preserve"> and . Money and initiatives have to be distributed into the national system to bring utility back to the system. The Government distributes those resources by formulating financing and IFCs organizations in the three layers of the figure 7. Institutes for collaborations undertake the role of distributor but also absorber of capital resources. IFCs distribute the amount of money to projects by setting specific rules that the participants have to achieve guideline for the national competitive policy.</w:t>
      </w:r>
    </w:p>
    <w:p>
      <w:pPr>
        <w:pStyle w:val="Normal"/>
        <w:spacing w:lineRule="auto" w:line="360"/>
        <w:rPr>
          <w:lang w:val="en-US"/>
        </w:rPr>
      </w:pPr>
      <w:r>
        <w:rPr>
          <w:lang w:val="en-US"/>
        </w:rPr>
        <w:t>The government in the Porter’s (1990) diamond model represents a whole innovation policy for the Odense Robotics cluster. The participants had different opinions regarding the role of the government in the cluster but there are two outcomes from the analysis. The first is that the government is not a main actor in the cluster stakeholders and the second that the government has strong position in the system. None of the participants referred government as a key player in Odense Robotics cluster when asked. In the more specific question about the government’s role in the cluster they all agreed that government has a strong position for the ecosystem.  In the study the government represents the Danish innovation system as depicted in Figure 7. Government appears in the cluster either as a financing organization either as an Institute for Collaboration as there a lot of these two actors in the cluster that involves state’s initiatives (for example IFD, SDTI, Odense &amp;Co., Vaekstfonden, Udvikling Fyn, Odense Robotics, Robocluster and others).</w:t>
      </w:r>
    </w:p>
    <w:p>
      <w:pPr>
        <w:pStyle w:val="Normal"/>
        <w:spacing w:lineRule="auto" w:line="360"/>
        <w:rPr>
          <w:lang w:val="en-US"/>
        </w:rPr>
      </w:pPr>
      <w:r>
        <w:rPr>
          <w:lang w:val="en-US"/>
        </w:rPr>
        <w:t>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Government investments in innovation represent a pool of money distributed to the correct projects. The Danish innovation system as depicted in figure 7 leaves space for ‘bottom up initiatives’ and thus innovation is supported by a central national policy as the state encourages industry and Academia to grow internationally. The pool of capital resources is supported by private funding and local and regional innovation systems. Regions and cities form their own innovation systems creating more specific space for investments. 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pPr>
        <w:pStyle w:val="Normal"/>
        <w:spacing w:lineRule="auto" w:line="360"/>
        <w:rPr>
          <w:lang w:val="en-US"/>
        </w:rPr>
      </w:pPr>
      <w:r>
        <w:rPr>
          <w:lang w:val="en-US"/>
        </w:rPr>
        <w:t xml:space="preserve">The Region of Southern Denmark and the city of Odense historically promoted the evolution of the Odense Robotics cluster but also at the moment the municipality of Odense supports the cluster. The regional and the sectoral innovation system can identify quicker opportunities for growth due to geographical proximity but once an emerging industry is recognized such as the robotic industry in Odense, attract the interest in a national level. Robocluster is an organization that illustrates this point best. RoboCluster IFC born as a sectoral entity in Odense after adopted a regional perceptive and at the moment is a Danish national network for Robotics. The focused innovation policy put Odense Robotics frontier in the position of Robocluster .Odense Robotics IFC created as to be the central IFC for managing and branding the cluster and includes private and public initiatives. Following the national prototype, Odense city has adopted its own sectoral innovation system by investing resources to transform the city’s value prepositions having an investment plan until 2022. The timing match with the development of the cluster as all actors can mutually benefit from interactions. </w:t>
      </w:r>
    </w:p>
    <w:p>
      <w:pPr>
        <w:pStyle w:val="Normal"/>
        <w:spacing w:lineRule="auto" w:line="360"/>
        <w:rPr>
          <w:lang w:val="en-US"/>
        </w:rPr>
      </w:pPr>
      <w:r>
        <w:rPr>
          <w:lang w:val="en-US"/>
        </w:rPr>
        <w:t>Odense Robotics cluster seems to have one leg into the national and the other leg into the sectoral system of innovation for the perceptive of capital resources flow. The main finding here is that innovation system influence Odense Robotics cluster as it represents the role of the state in the ecosystem. Positive national, regional and sectoral innovation policies have identified giving a strong positive image in the public sector for the cluster. The governmental organizations that spread the policies are the means of collaboration between government, industry and University. For that reason government in the study represents IFCs and financing organizations.</w:t>
      </w:r>
    </w:p>
    <w:p>
      <w:pPr>
        <w:pStyle w:val="Heading1"/>
        <w:rPr>
          <w:lang w:val="en-US"/>
        </w:rPr>
      </w:pPr>
      <w:bookmarkStart w:id="639" w:name="_Toc459977534"/>
      <w:bookmarkStart w:id="640" w:name="__RefHeading___Toc5854_427358540"/>
      <w:bookmarkEnd w:id="640"/>
      <w:r>
        <w:rPr>
          <w:lang w:val="en-US"/>
        </w:rPr>
        <w:t>5.3 Odense Robotics Triple Helix configuration</w:t>
      </w:r>
      <w:bookmarkEnd w:id="639"/>
      <w:r>
        <w:rPr>
          <w:lang w:val="en-US"/>
        </w:rPr>
        <w:t xml:space="preserve"> </w:t>
      </w:r>
    </w:p>
    <w:p>
      <w:pPr>
        <w:pStyle w:val="Normal"/>
        <w:spacing w:lineRule="auto" w:line="360"/>
        <w:rPr>
          <w:lang w:val="en-US"/>
        </w:rPr>
      </w:pPr>
      <w:r>
        <w:rPr>
          <w:lang w:val="en-US"/>
        </w:rPr>
        <w:t xml:space="preserve">The discussion about Triple Helix collaboration between University, State and Industry will be in accordance with the Danish innovation systems that represents the state in the model. The Triple Helix describes the connection and collaboration between University, State and Industry when it comes to innovation. All the interviewees had at least duo lateral strong relationships with the other spheres of the helix but also tri lateral networks and hybrid organizations spin out from the system. </w:t>
      </w:r>
    </w:p>
    <w:p>
      <w:pPr>
        <w:pStyle w:val="Normal"/>
        <w:keepNext/>
        <w:spacing w:lineRule="auto" w:line="360"/>
        <w:rPr>
          <w:lang w:val="en-US"/>
        </w:rPr>
      </w:pPr>
      <w:r>
        <w:rPr/>
        <w:drawing>
          <wp:inline distT="0" distB="0" distL="0" distR="0">
            <wp:extent cx="4812030" cy="3249295"/>
            <wp:effectExtent l="0" t="0" r="0" b="0"/>
            <wp:docPr id="29" name="Εικόνα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8" descr=""/>
                    <pic:cNvPicPr>
                      <a:picLocks noChangeAspect="1" noChangeArrowheads="1"/>
                    </pic:cNvPicPr>
                  </pic:nvPicPr>
                  <pic:blipFill>
                    <a:blip r:embed="rId36"/>
                    <a:stretch>
                      <a:fillRect/>
                    </a:stretch>
                  </pic:blipFill>
                  <pic:spPr bwMode="auto">
                    <a:xfrm>
                      <a:off x="0" y="0"/>
                      <a:ext cx="4812030" cy="3249295"/>
                    </a:xfrm>
                    <a:prstGeom prst="rect">
                      <a:avLst/>
                    </a:prstGeom>
                  </pic:spPr>
                </pic:pic>
              </a:graphicData>
            </a:graphic>
          </wp:inline>
        </w:drawing>
      </w:r>
      <w:r>
        <w:rPr>
          <w:lang w:val="en-US"/>
        </w:rPr>
        <w:t xml:space="preserve"> </w:t>
      </w:r>
    </w:p>
    <w:p>
      <w:pPr>
        <w:pStyle w:val="Caption1"/>
        <w:rPr/>
      </w:pPr>
      <w:r>
        <w:rPr>
          <w:lang w:val="en-US"/>
        </w:rPr>
        <w:t xml:space="preserve">Figure </w:t>
      </w:r>
      <w:r>
        <w:rPr>
          <w:lang w:val="en-US"/>
        </w:rPr>
        <w:fldChar w:fldCharType="begin"/>
      </w:r>
      <w:r>
        <w:instrText> SEQ Figure \* ARABIC </w:instrText>
      </w:r>
      <w:r>
        <w:fldChar w:fldCharType="separate"/>
      </w:r>
      <w:r>
        <w:t>13</w:t>
      </w:r>
      <w:r>
        <w:fldChar w:fldCharType="end"/>
      </w:r>
      <w:r>
        <w:rPr>
          <w:lang w:val="en-US"/>
        </w:rPr>
        <w:t xml:space="preserve"> Odense RoboticsTriple Helix collaboration</w:t>
      </w:r>
    </w:p>
    <w:p>
      <w:pPr>
        <w:pStyle w:val="Normal"/>
        <w:spacing w:lineRule="auto" w:line="360"/>
        <w:jc w:val="center"/>
        <w:rPr>
          <w:lang w:val="en-US"/>
        </w:rPr>
      </w:pPr>
      <w:r>
        <w:rPr>
          <w:lang w:val="en-US"/>
        </w:rPr>
      </w:r>
    </w:p>
    <w:p>
      <w:pPr>
        <w:pStyle w:val="Normal"/>
        <w:spacing w:lineRule="auto" w:line="360"/>
        <w:rPr>
          <w:lang w:val="en-US"/>
        </w:rPr>
      </w:pPr>
      <w:r>
        <w:rPr>
          <w:lang w:val="en-US"/>
        </w:rPr>
        <w:t>None of the stakeholders were acting in isolation. University, State and Industry connection and collaboration around robotics situated in the shaded part in Figure 13. In the interactions that produce innovation, the interviewees noticed the importance of the University. According to the data, the university has the capabilities to contribute in knowledge capitalization. Research in university is combined with industry funding as a step to commercialization but the university is still a public entity that has follow specific restrictions. Being in the industry gives more freedom to the stakeholders as Jimmy admitted being a person that entered industry from academia being the CEO of CorePath robotics which is a university’s spin out. Trilateral organizations exist in Odense Robotics cluster as the authorities understand that one entity cannot make it all.</w:t>
      </w:r>
    </w:p>
    <w:p>
      <w:pPr>
        <w:pStyle w:val="Normal"/>
        <w:spacing w:lineRule="auto" w:line="360"/>
        <w:rPr>
          <w:lang w:val="en-US"/>
        </w:rPr>
      </w:pPr>
      <w:r>
        <w:rPr>
          <w:lang w:val="en-US"/>
        </w:rPr>
        <w:t xml:space="preserve">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 the collaboration for innovation has started by the industry approaching university with the Lindo Shipyard example in 1985. The AMROSE project was a trilateral-hybrid organization pioneer for its time. In 2002 after the economic crisis public initiatives revive the cluster with the establishment of RoboCluster IFC. The state as it discussed in the section of innovation systems is very much involved to foster collaboration for innovation in the Triple Helix model. </w:t>
      </w:r>
    </w:p>
    <w:p>
      <w:pPr>
        <w:pStyle w:val="Normal"/>
        <w:spacing w:lineRule="auto" w:line="360"/>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IFCs can further spin the helices as bridging or glue organizations that promote collaboration. The trilateral space is not the ideal positing in the Figure but it is the one that can boost young companies into large corporations. </w:t>
      </w:r>
    </w:p>
    <w:p>
      <w:pPr>
        <w:pStyle w:val="Heading1"/>
        <w:rPr>
          <w:lang w:val="en-US"/>
        </w:rPr>
      </w:pPr>
      <w:bookmarkStart w:id="641" w:name="_Toc459977535"/>
      <w:bookmarkStart w:id="642" w:name="__RefHeading___Toc5856_427358540"/>
      <w:bookmarkEnd w:id="641"/>
      <w:bookmarkEnd w:id="642"/>
      <w:r>
        <w:rPr>
          <w:lang w:val="en-US"/>
        </w:rPr>
        <w:t>5.4 Odense Robotics Cluster of Innovation</w:t>
      </w:r>
    </w:p>
    <w:p>
      <w:pPr>
        <w:pStyle w:val="Heading1"/>
        <w:rPr>
          <w:lang w:val="en-US"/>
        </w:rPr>
      </w:pPr>
      <w:bookmarkStart w:id="643" w:name="_Toc459977536"/>
      <w:bookmarkStart w:id="644" w:name="__RefHeading___Toc5858_427358540"/>
      <w:bookmarkEnd w:id="644"/>
      <w:r>
        <w:rPr>
          <w:lang w:val="en-US"/>
        </w:rPr>
        <w:t>5.4.1 Odense Robotics actors</w:t>
      </w:r>
      <w:bookmarkEnd w:id="643"/>
      <w:r>
        <w:rPr>
          <w:lang w:val="en-US"/>
        </w:rPr>
        <w:t xml:space="preserve"> </w:t>
      </w:r>
    </w:p>
    <w:p>
      <w:pPr>
        <w:pStyle w:val="Normal"/>
        <w:spacing w:lineRule="auto" w:line="360"/>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foster the collaboration inside the ecosystem.   </w:t>
      </w:r>
    </w:p>
    <w:p>
      <w:pPr>
        <w:pStyle w:val="Normal"/>
        <w:keepNext/>
        <w:jc w:val="center"/>
        <w:rPr/>
      </w:pPr>
      <w:r>
        <w:rPr/>
        <w:drawing>
          <wp:inline distT="0" distB="0" distL="0" distR="0">
            <wp:extent cx="5026660" cy="3578860"/>
            <wp:effectExtent l="0" t="0" r="0" b="0"/>
            <wp:docPr id="30" name="Εικόνα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2" descr=""/>
                    <pic:cNvPicPr>
                      <a:picLocks noChangeAspect="1" noChangeArrowheads="1"/>
                    </pic:cNvPicPr>
                  </pic:nvPicPr>
                  <pic:blipFill>
                    <a:blip r:embed="rId37"/>
                    <a:stretch>
                      <a:fillRect/>
                    </a:stretch>
                  </pic:blipFill>
                  <pic:spPr bwMode="auto">
                    <a:xfrm>
                      <a:off x="0" y="0"/>
                      <a:ext cx="5026660" cy="3578860"/>
                    </a:xfrm>
                    <a:prstGeom prst="rect">
                      <a:avLst/>
                    </a:prstGeom>
                  </pic:spPr>
                </pic:pic>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14</w:t>
      </w:r>
      <w:r>
        <w:fldChar w:fldCharType="end"/>
      </w:r>
      <w:r>
        <w:rPr>
          <w:lang w:val="en-US"/>
        </w:rPr>
        <w:t xml:space="preserve"> Odense Robotics actors</w:t>
      </w:r>
    </w:p>
    <w:p>
      <w:pPr>
        <w:pStyle w:val="Normal"/>
        <w:spacing w:lineRule="auto" w:line="360"/>
        <w:rPr>
          <w:lang w:val="en-US"/>
        </w:rPr>
      </w:pPr>
      <w:r>
        <w:rPr>
          <w:lang w:val="en-US"/>
        </w:rPr>
        <w:t>The three cycles represent the sectoral,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Fynen. As it depicted in Firure 10 the majority of the companies are located in the territory of the Fynen Island. The national system of innovation with its bottom up initiatives completes the construction of the environment around Odense Robotics.</w:t>
      </w:r>
    </w:p>
    <w:p>
      <w:pPr>
        <w:pStyle w:val="Normal"/>
        <w:spacing w:lineRule="auto" w:line="360"/>
        <w:rPr/>
      </w:pPr>
      <w:r>
        <w:rPr>
          <w:lang w:val="en-US"/>
        </w:rPr>
        <w:t xml:space="preserve">The cluster actors configuration in Figure 14 coming close with the ‘statist model’ of Triple Helix presented by </w:t>
      </w:r>
      <w:r>
        <w:fldChar w:fldCharType="begin"/>
      </w:r>
      <w:r>
        <w:instrText>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645" w:name="__Fieldmark__4060_783673585"/>
      <w:r>
        <w:rPr>
          <w:lang w:val="en-US"/>
        </w:rPr>
      </w:r>
      <w:r>
        <w:rPr>
          <w:rFonts w:cs="Times New Roman"/>
          <w:lang w:val="en-US"/>
        </w:rPr>
        <w:t>E</w:t>
      </w:r>
      <w:bookmarkStart w:id="646" w:name="__Fieldmark__5047_427358540"/>
      <w:r>
        <w:rPr>
          <w:rFonts w:cs="Times New Roman"/>
          <w:lang w:val="en-US"/>
        </w:rPr>
        <w:t xml:space="preserve">tzkowitz &amp; Leydesdorff, (2000) </w:t>
      </w:r>
      <w:r>
        <w:rPr>
          <w:lang w:val="en-US"/>
        </w:rPr>
      </w:r>
      <w:r>
        <w:fldChar w:fldCharType="end"/>
      </w:r>
      <w:bookmarkEnd w:id="645"/>
      <w:bookmarkEnd w:id="646"/>
      <w:r>
        <w:rPr>
          <w:lang w:val="en-US"/>
        </w:rPr>
        <w:t xml:space="preserve">. Despite the fact that the triple Helix model describes the collaboration between stakeholders for generating innovation in the actor’s configuration the state dominates the system adopting the socialism- statist configuration. The state by investing in the cluster expects growth in employment, prosperity and productivity of the nation, region or sector accordingly. Financing is the key resources that the government provides to the system. </w:t>
      </w:r>
    </w:p>
    <w:p>
      <w:pPr>
        <w:pStyle w:val="Normal"/>
        <w:spacing w:lineRule="auto" w:line="360"/>
        <w:rPr>
          <w:lang w:val="en-US"/>
        </w:rPr>
      </w:pPr>
      <w:r>
        <w:rPr>
          <w:lang w:val="en-US"/>
        </w:rPr>
        <w:t xml:space="preserve">IFCs role in Odense Robotics is important according to the analysis. Institutes for Collaboration match stakeholder competences targeting to commercialization. They provide a wide range of mentoring to especially to young organizations. IFCs such as Odense Robotics frontier, RoboCluster,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of the authorities that are established by (sectoral, regional, national). </w:t>
      </w:r>
    </w:p>
    <w:p>
      <w:pPr>
        <w:pStyle w:val="Normal"/>
        <w:spacing w:lineRule="auto" w:line="360"/>
        <w:rPr>
          <w:lang w:val="en-US"/>
        </w:rPr>
      </w:pPr>
      <w:r>
        <w:rPr>
          <w:lang w:val="en-US"/>
        </w:rPr>
        <w:t xml:space="preserve">Financing organizations are strong stakeholders in the cluster actor’s formation. The interviewees had access to capital resources 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pPr>
        <w:pStyle w:val="Heading1"/>
        <w:rPr>
          <w:lang w:val="en-US"/>
        </w:rPr>
      </w:pPr>
      <w:bookmarkStart w:id="647" w:name="_Toc459977537"/>
      <w:bookmarkStart w:id="648" w:name="__RefHeading___Toc5860_427358540"/>
      <w:bookmarkEnd w:id="648"/>
      <w:r>
        <w:rPr>
          <w:lang w:val="en-US"/>
        </w:rPr>
        <w:t>5.4.2 Odense Robotics and Innovation</w:t>
      </w:r>
      <w:bookmarkEnd w:id="647"/>
      <w:r>
        <w:rPr>
          <w:lang w:val="en-US"/>
        </w:rPr>
        <w:t xml:space="preserve"> </w:t>
      </w:r>
    </w:p>
    <w:p>
      <w:pPr>
        <w:pStyle w:val="Normal"/>
        <w:spacing w:lineRule="auto" w:line="360"/>
        <w:rPr>
          <w:lang w:val="en-US"/>
        </w:rPr>
      </w:pPr>
      <w:r>
        <w:rPr>
          <w:lang w:val="en-US"/>
        </w:rPr>
        <w:t>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MiR inspired cluster participant to align innovation plan with models that have achieved in the robotic environment around Odense. Those innovation platforms are becoming role models for the actors putting innovative ideas into a tested framework of success.</w:t>
      </w:r>
    </w:p>
    <w:p>
      <w:pPr>
        <w:pStyle w:val="Normal"/>
        <w:spacing w:lineRule="auto" w:line="360"/>
        <w:rPr>
          <w:lang w:val="en-US"/>
        </w:rPr>
      </w:pPr>
      <w:r>
        <w:rPr>
          <w:lang w:val="en-US"/>
        </w:rPr>
        <w:t xml:space="preserve">Innovation as a fuzzy concept can be seen as a label that gives new characteristics into a product. Many of the interviewees separate innovation from technology development but all of them agreed that in robotics innovation can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pPr>
        <w:pStyle w:val="Heading1"/>
        <w:rPr>
          <w:lang w:val="en-US"/>
        </w:rPr>
      </w:pPr>
      <w:bookmarkStart w:id="649" w:name="_Toc459977538"/>
      <w:bookmarkStart w:id="650" w:name="__RefHeading___Toc5862_427358540"/>
      <w:bookmarkEnd w:id="649"/>
      <w:bookmarkEnd w:id="650"/>
      <w:r>
        <w:rPr>
          <w:lang w:val="en-US"/>
        </w:rPr>
        <w:t>5.4.3 Odense Robotics characteristics</w:t>
      </w:r>
    </w:p>
    <w:p>
      <w:pPr>
        <w:pStyle w:val="Normal"/>
        <w:spacing w:lineRule="auto" w:line="360"/>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pPr>
        <w:pStyle w:val="Normal"/>
        <w:spacing w:lineRule="auto" w:line="360"/>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Foskerparker and Videnbyen 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proximity as it is becoming an advantage especially for young organization to be located near to knowledge resources. </w:t>
      </w:r>
    </w:p>
    <w:p>
      <w:pPr>
        <w:pStyle w:val="Normal"/>
        <w:spacing w:lineRule="auto" w:line="360"/>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The Internal network is well structured in the cluster and young companies can rely on it to find proper guidance and resources for their purposes. Institutes for 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pPr>
        <w:pStyle w:val="Normal"/>
        <w:spacing w:lineRule="auto" w:line="360"/>
        <w:rPr>
          <w:lang w:val="en-US"/>
        </w:rPr>
      </w:pPr>
      <w:r>
        <w:rPr>
          <w:lang w:val="en-US"/>
        </w:rPr>
        <w:t>External linkages with actors outside of the cluster are also a characteristic of Odense Robotics. Organizations use external linkages to form an international perspective or to collaborate with distant stakeholders to develop their position in the market. The dynamism of globalization pushes actors in the cluster to search for available resources internationally recognizing the global scope of robotic technology. The nature of organizations around robotics that they are born global forces the intention of establishing global pipelines. Conferences and exhibitions that the cluster actors participate in empower the dynamic of both local buzz and global pipelines in the system.</w:t>
      </w:r>
    </w:p>
    <w:p>
      <w:pPr>
        <w:pStyle w:val="Normal"/>
        <w:spacing w:lineRule="auto" w:line="360"/>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Actors in the cluster are open to communicate and share information regarding technologies. Trust is cultivated into the system especially from young organizations that desire to expand their capabilities. Companies and organizations are extrovert to share information and only few and big entities in the cluster seem to hold secrets in house. There is an established culture to make Odense Robotics as a leader in robot technologies worldwide and the participants share this vision. </w:t>
      </w:r>
    </w:p>
    <w:p>
      <w:pPr>
        <w:pStyle w:val="Normal"/>
        <w:spacing w:lineRule="auto" w:line="360"/>
        <w:rPr>
          <w:lang w:val="en-US"/>
        </w:rPr>
      </w:pPr>
      <w:r>
        <w:rPr>
          <w:lang w:val="en-US"/>
        </w:rPr>
        <w:t>Internal cooperation dominates competition in Odense Robotics cluster. The only sources of rivalry among firms in the cluster found in the labor market as companies compete to employ the best talents for the benefit of their organizations. 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the connect and develop principle seems to work in the cluster.</w:t>
      </w:r>
    </w:p>
    <w:p>
      <w:pPr>
        <w:pStyle w:val="Normal"/>
        <w:spacing w:lineRule="auto" w:line="360"/>
        <w:rPr>
          <w:lang w:val="en-US"/>
        </w:rPr>
      </w:pPr>
      <w:r>
        <w:rPr>
          <w:lang w:val="en-US"/>
        </w:rPr>
        <w:t>Finally according to the analysis of the data, entrepreneurship is a characteristic of the robotic ecosystem 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pPr>
        <w:pStyle w:val="Normal"/>
        <w:spacing w:lineRule="auto" w:line="360"/>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SensoHive and KuboRobot have established as companies by students that have not finished their education yet. Universal Robots also started from the University being at the moment one of the biggest companies for collaborative robots internationally. </w:t>
      </w:r>
    </w:p>
    <w:p>
      <w:pPr>
        <w:pStyle w:val="Normal"/>
        <w:spacing w:lineRule="auto" w:line="360"/>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clusterpreneurs for the Robotic environment. With their knowledge and experience in the robotic technology and market help the cluster to develop in a sustainable way by establishing companies or by providing business advice, financing or mentoring to young prominent startups. </w:t>
      </w:r>
    </w:p>
    <w:p>
      <w:pPr>
        <w:pStyle w:val="Heading1"/>
        <w:rPr>
          <w:lang w:val="en-US"/>
        </w:rPr>
      </w:pPr>
      <w:bookmarkStart w:id="651" w:name="_Toc459977539"/>
      <w:bookmarkStart w:id="652" w:name="__RefHeading___Toc5864_427358540"/>
      <w:bookmarkEnd w:id="651"/>
      <w:bookmarkEnd w:id="652"/>
      <w:r>
        <w:rPr>
          <w:lang w:val="en-US"/>
        </w:rPr>
        <w:t>5.4.4 Odense Robotics Global Perspective</w:t>
      </w:r>
    </w:p>
    <w:p>
      <w:pPr>
        <w:pStyle w:val="Normal"/>
        <w:spacing w:lineRule="auto" w:line="360"/>
        <w:rPr>
          <w:lang w:val="en-US"/>
        </w:rPr>
      </w:pPr>
      <w:r>
        <w:rPr>
          <w:lang w:val="en-US"/>
        </w:rPr>
        <w:t>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has set collaborations with global international centers in Munich, New Delhi, São Paulo, Seoul, Shanghai and Silicon Valley. The center helps companies to find partners, key players, investors, and knowledge environments in order to operate and grow globally using global networks. Moreover DTI-RT has also established global linkages to explore the potential of robot technologies.</w:t>
      </w:r>
    </w:p>
    <w:p>
      <w:pPr>
        <w:pStyle w:val="Normal"/>
        <w:spacing w:lineRule="auto" w:line="360"/>
        <w:rPr>
          <w:lang w:val="en-US"/>
        </w:rPr>
      </w:pPr>
      <w:r>
        <w:rPr>
          <w:lang w:val="en-US"/>
        </w:rPr>
        <w:t xml:space="preserve">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pPr>
        <w:pStyle w:val="Normal"/>
        <w:spacing w:lineRule="auto" w:line="360"/>
        <w:rPr>
          <w:lang w:val="en-US"/>
        </w:rPr>
      </w:pPr>
      <w:r>
        <w:rPr>
          <w:lang w:val="en-US"/>
        </w:rPr>
        <w:t xml:space="preserve">In the behaviors side Odense Robotics is facing high mobility of resources. Capital, people, and knowledge are continually on the move inside the cluster with public, industry and university to provide the ingredients for a multidimensional environment around the cluster. The entrepreneurial process targets to rapid commercialization and according to the data are strong in the robotic environment around Odense as it is discussed. Firms and stakeholders adopt the global strategic perspective with organization to born global but also with the intension to penetrate in global market according to the glob-ability of robotic technologies. Moreover Odense Robotics also benefits from perspective of shared values and cluster culture.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pPr>
        <w:pStyle w:val="Normal"/>
        <w:spacing w:lineRule="auto" w:line="360"/>
        <w:rPr>
          <w:lang w:val="en-US"/>
        </w:rPr>
      </w:pPr>
      <w:r>
        <w:rPr>
          <w:lang w:val="en-US"/>
        </w:rPr>
        <w:t>The components of a Cluster of Innovation are gathered around Odense Robotics. Universities, Government, Entrepreneurs, Venture Capital, Mature corporations, Industrial research centers, Service providers and management are included in the Odense Robotics cluster as illustrated in Engel’s (2015) representation of the components of a Cluster of Innovation.  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from a developing to a mature cluster.</w:t>
      </w:r>
    </w:p>
    <w:p>
      <w:pPr>
        <w:pStyle w:val="Heading1"/>
        <w:rPr>
          <w:lang w:val="en-US"/>
        </w:rPr>
      </w:pPr>
      <w:bookmarkStart w:id="653" w:name="_Toc459977540"/>
      <w:bookmarkStart w:id="654" w:name="__RefHeading___Toc5866_427358540"/>
      <w:bookmarkEnd w:id="653"/>
      <w:bookmarkEnd w:id="654"/>
      <w:r>
        <w:rPr>
          <w:lang w:val="en-US"/>
        </w:rPr>
        <w:t>5.5 Answering the research sub-questions</w:t>
      </w:r>
    </w:p>
    <w:p>
      <w:pPr>
        <w:pStyle w:val="Normal"/>
        <w:spacing w:lineRule="auto" w:line="360"/>
        <w:rPr>
          <w:lang w:val="en-US"/>
        </w:rPr>
      </w:pPr>
      <w:r>
        <w:rPr>
          <w:lang w:val="en-US"/>
        </w:rPr>
        <w:t xml:space="preserve">The formulation of the research sub- questions that I pose in the introduction has as a purpose to describe 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be internationally competitive combining growth and innovation in the continuous quest of high growth firms. Each of the research sub-questions will be answered separately supporting the main argument of the thesis that will be discussed in the conclusion section. </w:t>
      </w:r>
    </w:p>
    <w:p>
      <w:pPr>
        <w:pStyle w:val="Heading1"/>
        <w:rPr>
          <w:lang w:val="en-US"/>
        </w:rPr>
      </w:pPr>
      <w:bookmarkStart w:id="655" w:name="_Toc459977541"/>
      <w:bookmarkStart w:id="656" w:name="__RefHeading___Toc5868_427358540"/>
      <w:bookmarkEnd w:id="655"/>
      <w:bookmarkEnd w:id="656"/>
      <w:r>
        <w:rPr>
          <w:lang w:val="en-US"/>
        </w:rPr>
        <w:t>5.5.1 Which characteristics influence Odense Robotics cluster environment?</w:t>
      </w:r>
    </w:p>
    <w:p>
      <w:pPr>
        <w:pStyle w:val="Normal"/>
        <w:spacing w:lineRule="auto" w:line="360"/>
        <w:rPr/>
      </w:pPr>
      <w:r>
        <w:rPr>
          <w:lang w:val="en-US"/>
        </w:rPr>
        <w:t xml:space="preserve">The environment that Odense Robotics competes is strong according to the data. The Danish national Diamond as analyzed is dynamic, forward-looking and challenging providing good foundations for the robotic industry to succeed. The role of the Government in the Porter’s (1990) diamond model is a strong determinative factor for the competitiveness of the companies in the Robotic industry as it is connected with a structured innovation policy. For this reason the Danish innovation systems influence the environment in which robotic companies function around Odense. Innovation System is a collective system with different actors and entities involved </w:t>
      </w:r>
      <w:r>
        <w:fldChar w:fldCharType="begin"/>
      </w:r>
      <w:r>
        <w:instrText>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w:instrText>
      </w:r>
      <w:r>
        <w:fldChar w:fldCharType="separate"/>
      </w:r>
      <w:bookmarkStart w:id="657" w:name="__Fieldmark__4122_783673585"/>
      <w:r>
        <w:rPr>
          <w:lang w:val="en-US"/>
        </w:rPr>
      </w:r>
      <w:r>
        <w:rPr>
          <w:rFonts w:cs="Times New Roman"/>
          <w:lang w:val="en-US"/>
        </w:rPr>
        <w:t>(</w:t>
      </w:r>
      <w:bookmarkStart w:id="658" w:name="__Fieldmark__5171_427358540"/>
      <w:r>
        <w:rPr>
          <w:rFonts w:cs="Times New Roman"/>
          <w:lang w:val="en-US"/>
        </w:rPr>
        <w:t>Edquist, 1997)</w:t>
      </w:r>
      <w:r>
        <w:rPr>
          <w:lang w:val="en-US"/>
        </w:rPr>
      </w:r>
      <w:r>
        <w:fldChar w:fldCharType="end"/>
      </w:r>
      <w:bookmarkEnd w:id="657"/>
      <w:bookmarkEnd w:id="658"/>
      <w:r>
        <w:rPr>
          <w:lang w:val="en-US"/>
        </w:rPr>
        <w:t xml:space="preserve"> having as a target to use and spread knowledge, which in turn would lead to innovation and growth</w:t>
      </w:r>
      <w:r>
        <w:fldChar w:fldCharType="begin"/>
      </w:r>
      <w:r>
        <w:instrText>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w:instrText>
      </w:r>
      <w:r>
        <w:fldChar w:fldCharType="separate"/>
      </w:r>
      <w:bookmarkStart w:id="659" w:name="__Fieldmark__4129_783673585"/>
      <w:r>
        <w:rPr>
          <w:lang w:val="en-US"/>
        </w:rPr>
      </w:r>
      <w:r>
        <w:rPr>
          <w:rFonts w:cs="Times New Roman"/>
          <w:lang w:val="en-US"/>
        </w:rPr>
        <w:t>(</w:t>
      </w:r>
      <w:bookmarkStart w:id="660" w:name="__Fieldmark__5177_427358540"/>
      <w:r>
        <w:rPr>
          <w:rFonts w:cs="Times New Roman"/>
          <w:lang w:val="en-US"/>
        </w:rPr>
        <w:t>Doloreux &amp; Parto, 2005)</w:t>
      </w:r>
      <w:r>
        <w:rPr>
          <w:lang w:val="en-US"/>
        </w:rPr>
      </w:r>
      <w:r>
        <w:fldChar w:fldCharType="end"/>
      </w:r>
      <w:bookmarkEnd w:id="659"/>
      <w:bookmarkEnd w:id="660"/>
      <w:r>
        <w:rPr>
          <w:lang w:val="en-US"/>
        </w:rPr>
        <w:t>. The Danish innovation system faces ‘bottom-up’ initiatives that can support the cluster’s ability to innovate and grow. Moreover the distinction between sectoral, regional and national systems of innovation empower the environment around Robotics as each layer of the system identifies and invests in specific capabilities that the cluster can support.</w:t>
      </w:r>
    </w:p>
    <w:p>
      <w:pPr>
        <w:pStyle w:val="Normal"/>
        <w:spacing w:lineRule="auto" w:line="360"/>
        <w:rPr/>
      </w:pPr>
      <w:r>
        <w:rPr>
          <w:lang w:val="en-US"/>
        </w:rPr>
        <w:t xml:space="preserve">Another factor that influences the environment around Odense Robotics is the nature and potentials of the Robotics Industry. Robot technology is globally applicable and dynamic and for some robotics open the way for the fifth industrial revolution </w:t>
      </w:r>
      <w:r>
        <w:fldChar w:fldCharType="begin"/>
      </w:r>
      <w:r>
        <w:instrText>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661" w:name="__Fieldmark__4138_783673585"/>
      <w:r>
        <w:rPr>
          <w:lang w:val="en-US"/>
        </w:rPr>
      </w:r>
      <w:r>
        <w:rPr>
          <w:rFonts w:cs="Times New Roman"/>
          <w:lang w:val="en-US"/>
        </w:rPr>
        <w:t>(</w:t>
      </w:r>
      <w:bookmarkStart w:id="662" w:name="__Fieldmark__5187_427358540"/>
      <w:r>
        <w:rPr>
          <w:rFonts w:cs="Times New Roman"/>
          <w:lang w:val="en-US"/>
        </w:rPr>
        <w:t>Steno, 2016)</w:t>
      </w:r>
      <w:r>
        <w:rPr>
          <w:lang w:val="en-US"/>
        </w:rPr>
      </w:r>
      <w:r>
        <w:fldChar w:fldCharType="end"/>
      </w:r>
      <w:bookmarkEnd w:id="661"/>
      <w:bookmarkEnd w:id="662"/>
      <w:r>
        <w:rPr>
          <w:lang w:val="en-US"/>
        </w:rPr>
        <w:t xml:space="preserve">. According to RoboGlobal (2016) report today’s global turnover for the Robotic industry is calculated to $64 billion and until 2025 it is estimated that this number will increase to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currently developing in the cluster.  There is strong preposition around robot integration and actuation but sensing, computing and processing are in an early stage. </w:t>
      </w:r>
    </w:p>
    <w:p>
      <w:pPr>
        <w:pStyle w:val="Normal"/>
        <w:spacing w:lineRule="auto" w:line="360"/>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robotic business creation and expansion. </w:t>
      </w:r>
    </w:p>
    <w:p>
      <w:pPr>
        <w:pStyle w:val="Normal"/>
        <w:spacing w:lineRule="auto" w:line="360"/>
        <w:rPr>
          <w:lang w:val="en-US"/>
        </w:rPr>
      </w:pPr>
      <w:r>
        <w:rPr>
          <w:lang w:val="en-US"/>
        </w:rPr>
        <w:t>For these reasons, the characteristics that influence Odense Robotics cluster environment are: a competitive national diamond, a structured innovation system, the prominent global robotic industry and the great example of success of Universal Robots. Overall I characterize the environment that Odense Robotics cluster of innovation is competing as dynamic and supportive for growth and innovation in the Robotic industry.</w:t>
      </w:r>
    </w:p>
    <w:p>
      <w:pPr>
        <w:pStyle w:val="Heading1"/>
        <w:rPr>
          <w:lang w:val="en-US"/>
        </w:rPr>
      </w:pPr>
      <w:bookmarkStart w:id="663" w:name="_Toc459977542"/>
      <w:bookmarkStart w:id="664" w:name="__RefHeading___Toc5870_427358540"/>
      <w:bookmarkEnd w:id="663"/>
      <w:bookmarkEnd w:id="664"/>
      <w:r>
        <w:rPr>
          <w:lang w:val="en-US"/>
        </w:rPr>
        <w:t>5.5.2 How is the structure of the Odense Robotics cluster?</w:t>
      </w:r>
    </w:p>
    <w:p>
      <w:pPr>
        <w:pStyle w:val="Normal"/>
        <w:spacing w:lineRule="auto" w:line="360"/>
        <w:rPr>
          <w:lang w:val="en-US"/>
        </w:rPr>
      </w:pPr>
      <w:r>
        <w:rPr>
          <w:lang w:val="en-US"/>
        </w:rPr>
        <w:t xml:space="preserve">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brands the whole cluster labeled as Odense Robotics. </w:t>
      </w:r>
    </w:p>
    <w:p>
      <w:pPr>
        <w:pStyle w:val="Normal"/>
        <w:spacing w:lineRule="auto" w:line="360"/>
        <w:rPr/>
      </w:pPr>
      <w:r>
        <w:rPr>
          <w:lang w:val="en-US"/>
        </w:rPr>
        <w:t xml:space="preserve">The Odense Robotics cluster formation follows the representation depicted in Figure 14. In the Figure I present the main cluster actors and the interactions among them giving an image of how the ecosystem is functioning in the robotic industry around Odense. Academia, Industry, IFCs and Financing organizations create a diamond of stakeholders that are interacting inside the sphere of state. The state represents public innovation policies adopted by national, regional and sectoral authorities to foster the business environment around robotics in Denmark. 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as Figure 14 can be compared with the ‘statist’, socialistic model of triple Helix </w:t>
      </w:r>
      <w:r>
        <w:fldChar w:fldCharType="begin"/>
      </w:r>
      <w:r>
        <w:instrText>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w:instrText>
      </w:r>
      <w:r>
        <w:fldChar w:fldCharType="separate"/>
      </w:r>
      <w:bookmarkStart w:id="665" w:name="__Fieldmark__4157_783673585"/>
      <w:r>
        <w:rPr>
          <w:lang w:val="en-US"/>
        </w:rPr>
      </w:r>
      <w:r>
        <w:rPr>
          <w:rFonts w:cs="Times New Roman"/>
          <w:lang w:val="en-US"/>
        </w:rPr>
        <w:t>(</w:t>
      </w:r>
      <w:bookmarkStart w:id="666" w:name="__Fieldmark__5233_427358540"/>
      <w:r>
        <w:rPr>
          <w:rFonts w:cs="Times New Roman"/>
          <w:lang w:val="en-US"/>
        </w:rPr>
        <w:t>Etzkowitz &amp; Leydesdorff, 2000)</w:t>
      </w:r>
      <w:r>
        <w:rPr>
          <w:lang w:val="en-US"/>
        </w:rPr>
      </w:r>
      <w:r>
        <w:fldChar w:fldCharType="end"/>
      </w:r>
      <w:bookmarkEnd w:id="665"/>
      <w:bookmarkEnd w:id="666"/>
      <w:r>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For example the Odense municipality has established the Odense&amp;Co and InvestinOdense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 </w:t>
      </w:r>
    </w:p>
    <w:p>
      <w:pPr>
        <w:pStyle w:val="Normal"/>
        <w:spacing w:lineRule="auto" w:line="360"/>
        <w:rPr>
          <w:lang w:val="en-US"/>
        </w:rPr>
      </w:pPr>
      <w:r>
        <w:rPr>
          <w:lang w:val="en-US"/>
        </w:rPr>
        <w:t xml:space="preserve">Odense Robotics cluster is in a developing state where new businesses and organizations are 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Odense Robotis cluster actors formation. </w:t>
      </w:r>
    </w:p>
    <w:p>
      <w:pPr>
        <w:pStyle w:val="Normal"/>
        <w:spacing w:lineRule="auto" w:line="360"/>
        <w:rPr>
          <w:lang w:val="en-US"/>
        </w:rPr>
      </w:pPr>
      <w:r>
        <w:rPr>
          <w:lang w:val="en-US"/>
        </w:rPr>
        <w:t xml:space="preserve">The cluster is situated in the sectoral sphere of the state that represents the city of Odense showing where the cluster core is laying. This fact was representative in the snowball sampling method that I conduct to collect my data. The cluster is structured organizationally around the city of Odense and the geographical tringle of the SDU, Forskerparker and Videnbyen seems to be the heart of the ecosystem. </w:t>
      </w:r>
    </w:p>
    <w:p>
      <w:pPr>
        <w:pStyle w:val="Normal"/>
        <w:spacing w:lineRule="auto" w:line="360"/>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According to Steno (2016), the from 285 million dollars UR exit money 210 million were spitted between the Danish Growth Fund and Enrico Krog Iversen the company’s CEO. Both individuals and state benefitted from the transaction as also the two co-founders of the company shared about $28 millions. The company started in the triangle inside SDU moved to the regional layer financed by the Syddansk innovation foundation jumping into the national Danish growth fund. This route established as a consequence of the global success of the company as now public entities hold no shares in the company. </w:t>
      </w:r>
    </w:p>
    <w:p>
      <w:pPr>
        <w:pStyle w:val="Normal"/>
        <w:spacing w:lineRule="auto" w:line="360"/>
        <w:rPr>
          <w:lang w:val="en-US"/>
        </w:rPr>
      </w:pPr>
      <w:r>
        <w:rPr>
          <w:lang w:val="en-US"/>
        </w:rPr>
        <w:t>Overall, Odense Robotics cluster is a developing cluster that includes different stakeholders. The dynamic environment around knowledge-based technologies and innovation in the Danish nation makes the government’s position superior in the formation of the cluster The state is becoming the Firestarter for many of the interactions between University, Industry, IFCs and Financing organizations and for the study those are the main players that can develop the cluster. They have equal and strong importance in the cluster and the diversity of competences that they collect can exploit further the cluster’s ability to innovate and grow.</w:t>
      </w:r>
    </w:p>
    <w:p>
      <w:pPr>
        <w:pStyle w:val="Heading1"/>
        <w:rPr>
          <w:lang w:val="en-US"/>
        </w:rPr>
      </w:pPr>
      <w:bookmarkStart w:id="667" w:name="_Toc459977543"/>
      <w:bookmarkStart w:id="668" w:name="__RefHeading___Toc5872_427358540"/>
      <w:bookmarkEnd w:id="667"/>
      <w:bookmarkEnd w:id="668"/>
      <w:r>
        <w:rPr>
          <w:lang w:val="en-US"/>
        </w:rPr>
        <w:t>5.5.3 Which frictions foster innovation in Odense Robotics cluster?</w:t>
      </w:r>
    </w:p>
    <w:p>
      <w:pPr>
        <w:pStyle w:val="Normal"/>
        <w:spacing w:lineRule="auto" w:line="360"/>
        <w:rPr>
          <w:lang w:val="en-US"/>
        </w:rPr>
      </w:pPr>
      <w:r>
        <w:rPr>
          <w:lang w:val="en-US"/>
        </w:rPr>
        <w:t xml:space="preserve">The frictions that foster innovation in Odense Robotics cluster are divined in two categories. The frictions that produce innovation in technology and the frictions that make the commercialized innovation to grow. </w:t>
      </w:r>
    </w:p>
    <w:p>
      <w:pPr>
        <w:pStyle w:val="Normal"/>
        <w:spacing w:lineRule="auto" w:line="360"/>
        <w:rPr>
          <w:lang w:val="en-US"/>
        </w:rPr>
      </w:pPr>
      <w:r>
        <w:rPr>
          <w:lang w:val="en-US"/>
        </w:rPr>
        <w:t>The interactions that foster innovation are explained with the Triple Helix model and are covering the area that the helices create when spinning. None of the interviewees had monomeric relationships when comes to innovation in the cluster and many organizations were positioned into the Trilateral space in the Figure 13. No matter who is giving the push to the University, Industry and State interaction Helices produce innovation in the Odense Robotics cluster. University holds the knowledge, the state holds the money and the industry holds the keys to commercialization. Private, public and Private-Public actors are positioned inside the innovation Cycle in Figure 13 such as Institutes for Collaboration (that include networks and other clusters, Research and technology organizations and management and services organizations and other actors) and Financing organizations. Those hybrid organizations bridge the gaps between innovation and successful commercialization of ideas.</w:t>
      </w:r>
    </w:p>
    <w:p>
      <w:pPr>
        <w:pStyle w:val="Normal"/>
        <w:spacing w:lineRule="auto" w:line="360"/>
        <w:rPr>
          <w:lang w:val="en-US"/>
        </w:rPr>
      </w:pPr>
      <w:r>
        <w:rPr>
          <w:lang w:val="en-US"/>
        </w:rPr>
        <w:t xml:space="preserve">The cluster search for innovation in the local buzz being benefitted from knowledge and human resources internally but access to commercialization in the global market requires global pipelines that are cultivated by the actors. The Danish Ministry of Foreign Affairs establishes innovation hot spots around the world to support global pipelines between research and business internationally. Anders admitted that 60 to 70 percent of DTI-RT projects have global perspective but also Lars-Peter expressed the international linkages of the SDU-RT with universities from abroad. </w:t>
      </w:r>
    </w:p>
    <w:p>
      <w:pPr>
        <w:pStyle w:val="Normal"/>
        <w:spacing w:lineRule="auto" w:line="360"/>
        <w:rPr>
          <w:lang w:val="en-US"/>
        </w:rPr>
      </w:pPr>
      <w:r>
        <w:rPr>
          <w:lang w:val="en-US"/>
        </w:rPr>
        <w:t xml:space="preserve">The shaded area in Figure 15 represents the behaviors and the culture of Odense Robotics cluster that let the interactions to occur and develop. Many individuals and organizations operate as knowledge spill overs keen to collaborate with each other to diffuse innovation. The openness of the environment let actors to share information and to communicate with an established level of trust. The interviewees confirmed the trustworthiness of the environment noting that the actors trust to each other keeping little confidential information. Only ‘big players’ can afford having secrets that can interrupt frictions to occur. </w:t>
      </w:r>
    </w:p>
    <w:p>
      <w:pPr>
        <w:pStyle w:val="Normal"/>
        <w:keepNext/>
        <w:rPr/>
      </w:pPr>
      <w:r>
        <w:rPr/>
        <w:drawing>
          <wp:inline distT="0" distB="0" distL="0" distR="0">
            <wp:extent cx="5133340" cy="3323590"/>
            <wp:effectExtent l="0" t="0" r="0" b="0"/>
            <wp:docPr id="31" name="Εικόνα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23" descr=""/>
                    <pic:cNvPicPr>
                      <a:picLocks noChangeAspect="1" noChangeArrowheads="1"/>
                    </pic:cNvPicPr>
                  </pic:nvPicPr>
                  <pic:blipFill>
                    <a:blip r:embed="rId38"/>
                    <a:stretch>
                      <a:fillRect/>
                    </a:stretch>
                  </pic:blipFill>
                  <pic:spPr bwMode="auto">
                    <a:xfrm>
                      <a:off x="0" y="0"/>
                      <a:ext cx="5133340" cy="3323590"/>
                    </a:xfrm>
                    <a:prstGeom prst="rect">
                      <a:avLst/>
                    </a:prstGeom>
                  </pic:spPr>
                </pic:pic>
              </a:graphicData>
            </a:graphic>
          </wp:inline>
        </w:drawing>
      </w:r>
    </w:p>
    <w:p>
      <w:pPr>
        <w:pStyle w:val="Caption1"/>
        <w:rPr/>
      </w:pPr>
      <w:r>
        <w:rPr>
          <w:lang w:val="en-US"/>
        </w:rPr>
        <w:t xml:space="preserve">Figure </w:t>
      </w:r>
      <w:r>
        <w:rPr>
          <w:lang w:val="en-US"/>
        </w:rPr>
        <w:fldChar w:fldCharType="begin"/>
      </w:r>
      <w:r>
        <w:instrText> SEQ Figure \* ARABIC </w:instrText>
      </w:r>
      <w:r>
        <w:fldChar w:fldCharType="separate"/>
      </w:r>
      <w:r>
        <w:t>15</w:t>
      </w:r>
      <w:r>
        <w:fldChar w:fldCharType="end"/>
      </w:r>
      <w:r>
        <w:rPr>
          <w:lang w:val="en-US"/>
        </w:rPr>
        <w:t xml:space="preserve"> Odense Robotics fictions</w:t>
      </w:r>
    </w:p>
    <w:p>
      <w:pPr>
        <w:pStyle w:val="Normal"/>
        <w:rPr>
          <w:lang w:val="en-US"/>
        </w:rPr>
      </w:pPr>
      <w:r>
        <w:rPr>
          <w:lang w:val="en-US"/>
        </w:rPr>
      </w:r>
    </w:p>
    <w:p>
      <w:pPr>
        <w:pStyle w:val="Normal"/>
        <w:spacing w:lineRule="auto" w:line="360"/>
        <w:rPr>
          <w:lang w:val="en-US"/>
        </w:rPr>
      </w:pPr>
      <w:r>
        <w:rPr>
          <w:lang w:val="en-US"/>
        </w:rPr>
        <w:t>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and the openness of the environment allows them to goal in the international success. Moreover, the incentives and shared values between actors exploit the limits of robotics  using as a platform the cluster make them seek for the prestige.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keepNext/>
        <w:keepLines/>
        <w:numPr>
          <w:ilvl w:val="0"/>
          <w:numId w:val="0"/>
        </w:numPr>
        <w:spacing w:before="480" w:after="0"/>
        <w:jc w:val="left"/>
        <w:outlineLvl w:val="0"/>
        <w:rPr>
          <w:rFonts w:ascii="Arial" w:hAnsi="Arial" w:eastAsia="" w:cs="" w:asciiTheme="majorHAnsi" w:cstheme="majorBidi" w:eastAsiaTheme="majorEastAsia" w:hAnsiTheme="majorHAnsi"/>
          <w:b/>
          <w:b/>
          <w:bCs/>
          <w:color w:val="000000" w:themeColor="accent1" w:themeShade="bf"/>
          <w:sz w:val="28"/>
          <w:szCs w:val="28"/>
          <w:lang w:val="en-US"/>
        </w:rPr>
      </w:pPr>
      <w:r>
        <w:rPr>
          <w:rFonts w:eastAsia="" w:cs="" w:cstheme="majorBidi" w:eastAsiaTheme="majorEastAsia" w:ascii="Arial" w:hAnsi="Arial"/>
          <w:b/>
          <w:bCs/>
          <w:color w:val="000000" w:themeColor="accent1" w:themeShade="bf"/>
          <w:sz w:val="28"/>
          <w:szCs w:val="28"/>
          <w:lang w:val="en-US"/>
        </w:rPr>
      </w:r>
    </w:p>
    <w:p>
      <w:pPr>
        <w:pStyle w:val="Normal"/>
        <w:keepNext/>
        <w:keepLines/>
        <w:numPr>
          <w:ilvl w:val="0"/>
          <w:numId w:val="0"/>
        </w:numPr>
        <w:spacing w:before="480" w:after="0"/>
        <w:jc w:val="left"/>
        <w:outlineLvl w:val="0"/>
        <w:rPr>
          <w:rFonts w:ascii="Arial" w:hAnsi="Arial" w:eastAsia="" w:cs="" w:asciiTheme="majorHAnsi" w:cstheme="majorBidi" w:eastAsiaTheme="majorEastAsia" w:hAnsiTheme="majorHAnsi"/>
          <w:b/>
          <w:b/>
          <w:bCs/>
          <w:color w:val="000000" w:themeColor="accent1" w:themeShade="bf"/>
          <w:sz w:val="28"/>
          <w:szCs w:val="28"/>
          <w:lang w:val="en-US"/>
        </w:rPr>
      </w:pPr>
      <w:r>
        <w:rPr>
          <w:rFonts w:eastAsia="" w:cs="" w:cstheme="majorBidi" w:eastAsiaTheme="majorEastAsia" w:ascii="Arial" w:hAnsi="Arial"/>
          <w:b/>
          <w:bCs/>
          <w:color w:val="000000" w:themeColor="accent1" w:themeShade="bf"/>
          <w:sz w:val="28"/>
          <w:szCs w:val="28"/>
          <w:lang w:val="en-US"/>
        </w:rPr>
      </w:r>
    </w:p>
    <w:p>
      <w:pPr>
        <w:pStyle w:val="Normal"/>
        <w:keepNext/>
        <w:keepLines/>
        <w:numPr>
          <w:ilvl w:val="0"/>
          <w:numId w:val="0"/>
        </w:numPr>
        <w:spacing w:before="480" w:after="0"/>
        <w:jc w:val="left"/>
        <w:outlineLvl w:val="0"/>
        <w:rPr>
          <w:rFonts w:ascii="Arial" w:hAnsi="Arial" w:eastAsia="" w:cs="" w:asciiTheme="majorHAnsi" w:cstheme="majorBidi" w:eastAsiaTheme="majorEastAsia" w:hAnsiTheme="majorHAnsi"/>
          <w:b/>
          <w:b/>
          <w:bCs/>
          <w:color w:val="000000" w:themeColor="accent1" w:themeShade="bf"/>
          <w:sz w:val="28"/>
          <w:szCs w:val="28"/>
          <w:lang w:val="en-US"/>
        </w:rPr>
      </w:pPr>
      <w:bookmarkStart w:id="669" w:name="_Toc459977544"/>
      <w:bookmarkStart w:id="670" w:name="_Toc457211279"/>
      <w:bookmarkStart w:id="671" w:name="__RefHeading___Toc5874_427358540"/>
      <w:bookmarkEnd w:id="671"/>
      <w:r>
        <w:rPr>
          <w:rFonts w:eastAsia="" w:cs="" w:ascii="Arial" w:hAnsi="Arial" w:asciiTheme="majorHAnsi" w:cstheme="majorBidi" w:eastAsiaTheme="majorEastAsia" w:hAnsiTheme="majorHAnsi"/>
          <w:b/>
          <w:bCs/>
          <w:color w:val="000000" w:themeColor="accent1" w:themeShade="bf"/>
          <w:sz w:val="28"/>
          <w:szCs w:val="28"/>
          <w:lang w:val="en-US"/>
        </w:rPr>
        <w:t>Chapter 6: Conclusion</w:t>
      </w:r>
      <w:bookmarkEnd w:id="669"/>
      <w:bookmarkEnd w:id="670"/>
      <w:r>
        <w:rPr>
          <w:rFonts w:eastAsia="" w:cs="" w:ascii="Arial" w:hAnsi="Arial" w:asciiTheme="majorHAnsi" w:cstheme="majorBidi" w:eastAsiaTheme="majorEastAsia" w:hAnsiTheme="majorHAnsi"/>
          <w:b/>
          <w:bCs/>
          <w:color w:val="000000" w:themeColor="accent1" w:themeShade="bf"/>
          <w:sz w:val="28"/>
          <w:szCs w:val="28"/>
          <w:lang w:val="en-US"/>
        </w:rPr>
        <w:t xml:space="preserve"> </w:t>
      </w:r>
    </w:p>
    <w:p>
      <w:pPr>
        <w:pStyle w:val="Normal"/>
        <w:keepNext/>
        <w:keepLines/>
        <w:numPr>
          <w:ilvl w:val="0"/>
          <w:numId w:val="0"/>
        </w:numPr>
        <w:spacing w:before="480" w:after="0"/>
        <w:jc w:val="left"/>
        <w:outlineLvl w:val="0"/>
        <w:rPr>
          <w:rFonts w:ascii="Arial" w:hAnsi="Arial" w:eastAsia="" w:cs="" w:asciiTheme="majorHAnsi" w:cstheme="majorBidi" w:eastAsiaTheme="majorEastAsia" w:hAnsiTheme="majorHAnsi"/>
          <w:b/>
          <w:b/>
          <w:bCs/>
          <w:color w:val="000000" w:themeColor="accent1" w:themeShade="bf"/>
          <w:sz w:val="28"/>
          <w:szCs w:val="28"/>
          <w:lang w:val="en-US"/>
        </w:rPr>
      </w:pPr>
      <w:bookmarkStart w:id="672" w:name="__RefHeading___Toc5876_427358540"/>
      <w:bookmarkEnd w:id="672"/>
      <w:r>
        <w:rPr>
          <w:rFonts w:eastAsia="" w:cs="" w:ascii="Arial" w:hAnsi="Arial" w:asciiTheme="majorHAnsi" w:cstheme="majorBidi" w:eastAsiaTheme="majorEastAsia" w:hAnsiTheme="majorHAnsi"/>
          <w:b/>
          <w:bCs/>
          <w:color w:val="000000" w:themeColor="accent1" w:themeShade="bf"/>
          <w:sz w:val="28"/>
          <w:szCs w:val="28"/>
          <w:lang w:val="en-US"/>
        </w:rPr>
        <w:t>Findings</w:t>
      </w:r>
    </w:p>
    <w:p>
      <w:pPr>
        <w:pStyle w:val="Normal"/>
        <w:spacing w:lineRule="auto" w:line="360"/>
        <w:rPr>
          <w:rFonts w:eastAsia="" w:eastAsiaTheme="majorEastAsia"/>
          <w:lang w:val="en-US"/>
        </w:rPr>
      </w:pPr>
      <w:r>
        <w:rPr>
          <w:rFonts w:eastAsia="" w:eastAsiaTheme="majorEastAsia"/>
          <w:lang w:val="en-US"/>
        </w:rPr>
        <w:t xml:space="preserve">By connecting all the parts of the study the answer in the research problem is positive about the ability of Odense Robotics cluster to compete internationally. Odense Robotics can support growth and innovation to its participants generating globally competitive firms proving that the example of Universal Robot success will not be on of a kind. </w:t>
      </w:r>
    </w:p>
    <w:p>
      <w:pPr>
        <w:pStyle w:val="ListParagraph"/>
        <w:numPr>
          <w:ilvl w:val="0"/>
          <w:numId w:val="7"/>
        </w:numPr>
        <w:spacing w:lineRule="auto" w:line="360"/>
        <w:rPr>
          <w:rFonts w:eastAsia="" w:eastAsiaTheme="majorEastAsia"/>
          <w:lang w:val="en-US"/>
        </w:rPr>
      </w:pPr>
      <w:r>
        <w:rPr>
          <w:rFonts w:eastAsia="" w:eastAsiaTheme="majorEastAsia"/>
          <w:lang w:val="en-US"/>
        </w:rPr>
        <w:t>Euphoric environment nationally</w:t>
      </w:r>
      <w:r>
        <w:rPr>
          <w:rFonts w:eastAsia="Wingdings" w:cs="Wingdings" w:ascii="Wingdings" w:hAnsi="Wingdings"/>
          <w:lang w:val="en-US"/>
        </w:rPr>
        <w:t></w:t>
      </w:r>
      <w:r>
        <w:rPr>
          <w:rFonts w:eastAsia="" w:eastAsiaTheme="majorEastAsia"/>
          <w:lang w:val="en-US"/>
        </w:rPr>
        <w:t xml:space="preserve">According to the diamond the environment supports business development. Internationally </w:t>
      </w:r>
      <w:r>
        <w:rPr>
          <w:rFonts w:eastAsia="Wingdings" w:cs="Wingdings" w:ascii="Wingdings" w:hAnsi="Wingdings"/>
          <w:lang w:val="en-US"/>
        </w:rPr>
        <w:t></w:t>
      </w:r>
      <w:r>
        <w:rPr>
          <w:rFonts w:eastAsia="" w:eastAsiaTheme="majorEastAsia"/>
          <w:lang w:val="en-US"/>
        </w:rPr>
        <w:t xml:space="preserve"> The demand for robotics increasing globally</w:t>
      </w:r>
    </w:p>
    <w:p>
      <w:pPr>
        <w:pStyle w:val="ListParagraph"/>
        <w:numPr>
          <w:ilvl w:val="0"/>
          <w:numId w:val="7"/>
        </w:numPr>
        <w:spacing w:lineRule="auto" w:line="360"/>
        <w:rPr>
          <w:rFonts w:eastAsia="" w:eastAsiaTheme="majorEastAsia"/>
          <w:lang w:val="en-US"/>
        </w:rPr>
      </w:pPr>
      <w:r>
        <w:rPr>
          <w:rFonts w:eastAsia="" w:eastAsiaTheme="majorEastAsia"/>
          <w:lang w:val="en-US"/>
        </w:rPr>
        <w:t xml:space="preserve">The frictions between University-Industry-State formed the internal euphoric environment and these three created the cluster. As Triple helix those interactions aim to innovation and Odense Robotics competitive advantage lies in innovation. </w:t>
      </w:r>
    </w:p>
    <w:p>
      <w:pPr>
        <w:pStyle w:val="ListParagraph"/>
        <w:numPr>
          <w:ilvl w:val="0"/>
          <w:numId w:val="7"/>
        </w:numPr>
        <w:spacing w:lineRule="auto" w:line="360"/>
        <w:rPr>
          <w:rFonts w:eastAsia="" w:eastAsiaTheme="majorEastAsia"/>
          <w:lang w:val="en-US"/>
        </w:rPr>
      </w:pPr>
      <w:r>
        <w:rPr>
          <w:rFonts w:eastAsia="" w:eastAsiaTheme="majorEastAsia"/>
          <w:lang w:val="en-US"/>
        </w:rPr>
        <w:t>As the interactions were increasing the need for a more concrete structure created financing and IFCs that facilitate collaboration. Adding those two entities to the University-Industry-State format the main actors in the cluster.</w:t>
      </w:r>
    </w:p>
    <w:p>
      <w:pPr>
        <w:pStyle w:val="ListParagraph"/>
        <w:numPr>
          <w:ilvl w:val="0"/>
          <w:numId w:val="7"/>
        </w:numPr>
        <w:spacing w:lineRule="auto" w:line="360"/>
        <w:rPr>
          <w:rFonts w:eastAsia="" w:eastAsiaTheme="majorEastAsia"/>
          <w:lang w:val="en-US"/>
        </w:rPr>
      </w:pPr>
      <w:r>
        <w:rPr>
          <w:rFonts w:eastAsia="" w:eastAsiaTheme="majorEastAsia"/>
          <w:lang w:val="en-US"/>
        </w:rPr>
        <w:t xml:space="preserve">The cluster is in the developing stage with the time to count in the study. Collaboration between actors means interactions. More actors represent more interactions. Interactions can be explained by Bathlet. </w:t>
      </w:r>
    </w:p>
    <w:p>
      <w:pPr>
        <w:pStyle w:val="ListParagraph"/>
        <w:numPr>
          <w:ilvl w:val="0"/>
          <w:numId w:val="7"/>
        </w:numPr>
        <w:spacing w:lineRule="auto" w:line="360"/>
        <w:rPr>
          <w:rFonts w:eastAsia="" w:eastAsiaTheme="majorEastAsia"/>
          <w:lang w:val="en-US"/>
        </w:rPr>
      </w:pPr>
      <w:r>
        <w:rPr>
          <w:rFonts w:eastAsia="" w:eastAsiaTheme="majorEastAsia"/>
          <w:lang w:val="en-US"/>
        </w:rPr>
        <w:t xml:space="preserve">The culture internally characterized by openness and ‘suspicious’ trust. Suspicious is because they are open to discuss their ideas but the more sophisticated actors share with limits. Mostly Danish personnel </w:t>
      </w:r>
      <w:r>
        <w:rPr>
          <w:rFonts w:eastAsia="Wingdings" w:cs="Wingdings" w:ascii="Wingdings" w:hAnsi="Wingdings"/>
          <w:lang w:val="en-US"/>
        </w:rPr>
        <w:t></w:t>
      </w:r>
      <w:r>
        <w:rPr>
          <w:rFonts w:eastAsia="" w:eastAsiaTheme="majorEastAsia"/>
          <w:lang w:val="en-US"/>
        </w:rPr>
        <w:t>the cluster has to work on that.</w:t>
      </w:r>
    </w:p>
    <w:p>
      <w:pPr>
        <w:pStyle w:val="ListParagraph"/>
        <w:numPr>
          <w:ilvl w:val="0"/>
          <w:numId w:val="7"/>
        </w:numPr>
        <w:spacing w:lineRule="auto" w:line="360"/>
        <w:rPr>
          <w:rFonts w:eastAsia="" w:eastAsiaTheme="majorEastAsia"/>
          <w:lang w:val="en-US"/>
        </w:rPr>
      </w:pPr>
      <w:r>
        <w:rPr>
          <w:rFonts w:eastAsia="" w:eastAsiaTheme="majorEastAsia"/>
          <w:lang w:val="en-US"/>
        </w:rPr>
        <w:t>The international extroversion is cultivated all the participants referred to pipelines</w:t>
      </w:r>
    </w:p>
    <w:p>
      <w:pPr>
        <w:pStyle w:val="ListParagraph"/>
        <w:numPr>
          <w:ilvl w:val="0"/>
          <w:numId w:val="7"/>
        </w:numPr>
        <w:spacing w:lineRule="auto" w:line="360"/>
        <w:rPr>
          <w:rFonts w:eastAsia="" w:eastAsiaTheme="majorEastAsia"/>
          <w:lang w:val="en-US"/>
        </w:rPr>
      </w:pPr>
      <w:r>
        <w:rPr>
          <w:rFonts w:eastAsia="" w:eastAsiaTheme="majorEastAsia"/>
          <w:lang w:val="en-US"/>
        </w:rPr>
        <w:t>Entrepreneurship is moving the people around in the cluster.</w:t>
      </w:r>
    </w:p>
    <w:p>
      <w:pPr>
        <w:pStyle w:val="ListParagraph"/>
        <w:numPr>
          <w:ilvl w:val="0"/>
          <w:numId w:val="7"/>
        </w:numPr>
        <w:spacing w:lineRule="auto" w:line="360"/>
        <w:rPr>
          <w:rFonts w:eastAsia="" w:eastAsiaTheme="majorEastAsia"/>
          <w:lang w:val="en-US"/>
        </w:rPr>
      </w:pPr>
      <w:r>
        <w:rPr>
          <w:rFonts w:eastAsia="" w:eastAsiaTheme="majorEastAsia"/>
          <w:lang w:val="en-US"/>
        </w:rPr>
        <w:t xml:space="preserve">Money very much accessible public and private money </w:t>
      </w:r>
      <w:r>
        <w:rPr>
          <w:rFonts w:eastAsia="Wingdings" w:cs="Wingdings" w:ascii="Wingdings" w:hAnsi="Wingdings"/>
          <w:lang w:val="en-US"/>
        </w:rPr>
        <w:t></w:t>
      </w:r>
      <w:r>
        <w:rPr>
          <w:rFonts w:eastAsia=""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 xml:space="preserve">Government takes dominant role in the frictions adopting a socialistic formulation that foster innovation with strong bottom up and up bottom initiatives. But also the state when expresses initiatives for investments in innovation public sector is following as a supporter (co financing). The role of the government will probably be balanced when the cluster reach an established formulation where private venture capital have more power. The shaded area in the Bathelt’s Figure can illustrate the boundaries of the state influence in the system that in the core of the cluster has intense power. </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 xml:space="preserve">IFCs provide collaboration. Bridge missing gaps between Industry and Academia and they can take a lot of forms (DTI-RT, O.R, MADE, Robocluster) and different structures (Public-Private). Odense Robotics frontier has to manage the brand of the whole cluster as the core strategic cluster organization. </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Financing balance between public and private. No so much private in the beginning but public money represent also private. Bring investors in the cluster</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 xml:space="preserve">Industry is open for collaboration. Integrators are the ones that match competences and demand more innovation in the cluster. Industry is active for entrepreneurship and collaboration through </w:t>
      </w:r>
      <w:r>
        <w:rPr>
          <w:rFonts w:eastAsia="Calibri" w:cs="Times New Roman"/>
          <w:lang w:val="en-US"/>
        </w:rPr>
        <w:t xml:space="preserve">clusterpreneurs and partnerships or ‘support’ to younger companies. </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 xml:space="preserve">The shortage of human resources was mentioned as a major potential threat for the Odense Robotics. There will be increased demand for Robotic engineers that the cluster will not be able to support. At the moment 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 in the robotic technologies from SDU can maximize their utilities in the most profitable position in the cluster. </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The cluster has to cultivate talented and skilled human resources both in technical but also managerial spectrum of competencies. Robotics is a transformational technology that can turn an idea into application but also a technology that you can formulate. Polyphony of ideas will increase innovation both in product development but also in innovation management. University can provide a variety of human resources in Odense Robotics and the cluster should focus on letting people become familiar with robotics.</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The proximity maters in Odense Robotics due to the established infrastructure (the triangle University-Videnbyen</w:t>
      </w:r>
      <w:r>
        <w:rPr>
          <w:lang w:val="en-US"/>
        </w:rPr>
        <w:t>-</w:t>
      </w:r>
      <w:r>
        <w:rPr>
          <w:rFonts w:eastAsia="" w:eastAsiaTheme="majorEastAsia"/>
          <w:lang w:val="en-US"/>
        </w:rPr>
        <w:t xml:space="preserve">forskerparken but also the physiology of the Funen island support growth around a nucleus that is the city of Odense. The proximity is connected with the time that the idea is transformed into a final product that is reduced when the idea spinouts from the university. There are all the resources around at least to create a working prototype. </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 as the state’s initiatives will be stable or reduced. At a second level and probably in the maturation stage the cluster’s stakeholders may compete on the direct probuct competition.</w:t>
      </w:r>
    </w:p>
    <w:p>
      <w:pPr>
        <w:pStyle w:val="ListParagraph"/>
        <w:numPr>
          <w:ilvl w:val="0"/>
          <w:numId w:val="7"/>
        </w:numPr>
        <w:spacing w:lineRule="auto" w:line="360"/>
        <w:ind w:left="360" w:hanging="360"/>
        <w:rPr>
          <w:rFonts w:eastAsia="" w:eastAsiaTheme="majorEastAsia"/>
          <w:lang w:val="en-US"/>
        </w:rPr>
      </w:pPr>
      <w:r>
        <w:rPr>
          <w:rFonts w:eastAsia="" w:eastAsiaTheme="majorEastAsia"/>
          <w:lang w:val="en-US"/>
        </w:rPr>
        <w:t>As a conclusion the cluster has to focus in the frictions that produce innovation as the structure and the environment are working efficiently. Robotics tranformed</w:t>
      </w:r>
    </w:p>
    <w:p>
      <w:pPr>
        <w:pStyle w:val="Heading1"/>
        <w:rPr>
          <w:lang w:val="en-US"/>
        </w:rPr>
      </w:pPr>
      <w:bookmarkStart w:id="673" w:name="_Toc459977545"/>
      <w:bookmarkStart w:id="674" w:name="__RefHeading___Toc5878_427358540"/>
      <w:bookmarkEnd w:id="674"/>
      <w:r>
        <w:rPr>
          <w:lang w:val="en-US"/>
        </w:rPr>
        <w:t>6.1 Recommendations</w:t>
      </w:r>
      <w:bookmarkEnd w:id="673"/>
      <w:r>
        <w:rPr>
          <w:lang w:val="en-US"/>
        </w:rPr>
        <w:t xml:space="preserve">  </w:t>
      </w:r>
    </w:p>
    <w:p>
      <w:pPr>
        <w:pStyle w:val="ListParagraph"/>
        <w:numPr>
          <w:ilvl w:val="0"/>
          <w:numId w:val="9"/>
        </w:numPr>
        <w:spacing w:lineRule="auto" w:line="360"/>
        <w:rPr>
          <w:lang w:val="en-US"/>
        </w:rPr>
      </w:pPr>
      <w:r>
        <w:rPr>
          <w:lang w:val="en-US"/>
        </w:rPr>
        <w:t xml:space="preserve">Make Odense Robotics frontier as the label. Odense Robotics as it used in the thesis has to represent the whole cluster. Robotics in Denmark begun and flourished in Odense and the cluster has to be known in the word with its full name. Also the city will be benefitted from the common brand policy increasing the reputation of the town. </w:t>
      </w:r>
    </w:p>
    <w:p>
      <w:pPr>
        <w:pStyle w:val="ListParagraph"/>
        <w:numPr>
          <w:ilvl w:val="0"/>
          <w:numId w:val="9"/>
        </w:numPr>
        <w:spacing w:lineRule="auto" w:line="360"/>
        <w:rPr>
          <w:lang w:val="en-US"/>
        </w:rPr>
      </w:pPr>
      <w:r>
        <w:rPr>
          <w:lang w:val="en-US"/>
        </w:rPr>
        <w:t>People form management can reduce the workload of technicians coping with administrative tasks. The engineers can focus on the development side and personnel with diversified backgrounds can be employed within organizations. These can regulate the human capital distribution on the cluster, letting young organizations work closely with scientific personnel to develop technologies.</w:t>
      </w:r>
    </w:p>
    <w:p>
      <w:pPr>
        <w:pStyle w:val="ListParagraph"/>
        <w:numPr>
          <w:ilvl w:val="0"/>
          <w:numId w:val="9"/>
        </w:numPr>
        <w:spacing w:lineRule="auto" w:line="360"/>
        <w:rPr>
          <w:rFonts w:eastAsia="" w:eastAsiaTheme="majorEastAsia"/>
          <w:lang w:val="en-US"/>
        </w:rPr>
      </w:pPr>
      <w:r>
        <w:rPr>
          <w:lang w:val="en-US"/>
        </w:rPr>
        <w:t xml:space="preserve">The cluster has to be open in innovations that create new markets as the Robotics is still an emerging technology. Robot workers can reduce the costs of labor bringing innovation in low tech industries with a target to raise productivity. As Robotics is a transformational technology, the potential applications are not discovered. Diversified personnel can identify new innovative applications for robotics without being educated in the technology but filling the gap of what the technology provides with what the market need. </w:t>
      </w:r>
    </w:p>
    <w:p>
      <w:pPr>
        <w:pStyle w:val="ListParagraph"/>
        <w:numPr>
          <w:ilvl w:val="0"/>
          <w:numId w:val="9"/>
        </w:numPr>
        <w:spacing w:lineRule="auto" w:line="360"/>
        <w:rPr>
          <w:rFonts w:eastAsia="" w:eastAsiaTheme="majorEastAsia"/>
          <w:lang w:val="en-US"/>
        </w:rPr>
      </w:pPr>
      <w:r>
        <w:rPr>
          <w:lang w:val="en-US"/>
        </w:rPr>
        <w:t>The university has to adopt a more active role in the cluster practices. The university has to participate in entrepreneurship acting as a hub that can houses young companies until they reach a certain side.</w:t>
      </w:r>
    </w:p>
    <w:p>
      <w:pPr>
        <w:pStyle w:val="ListParagraph"/>
        <w:numPr>
          <w:ilvl w:val="0"/>
          <w:numId w:val="9"/>
        </w:numPr>
        <w:spacing w:lineRule="auto" w:line="360"/>
        <w:rPr>
          <w:rFonts w:eastAsia="" w:eastAsiaTheme="majorEastAsia"/>
          <w:lang w:val="en-US"/>
        </w:rPr>
      </w:pPr>
      <w:r>
        <w:rPr>
          <w:lang w:val="en-US"/>
        </w:rPr>
        <w:t>Robotics can also have implications in the society part promoting social innovation to the whole social-political and economic ecosystem.</w:t>
      </w:r>
    </w:p>
    <w:p>
      <w:pPr>
        <w:pStyle w:val="ListParagraph"/>
        <w:numPr>
          <w:ilvl w:val="0"/>
          <w:numId w:val="9"/>
        </w:numPr>
        <w:spacing w:lineRule="auto" w:line="360"/>
        <w:rPr>
          <w:rFonts w:eastAsia=""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pPr>
        <w:pStyle w:val="ListParagraph"/>
        <w:numPr>
          <w:ilvl w:val="0"/>
          <w:numId w:val="9"/>
        </w:numPr>
        <w:spacing w:lineRule="auto" w:line="360"/>
        <w:rPr/>
      </w:pPr>
      <w:r>
        <w:rPr>
          <w:rFonts w:eastAsia="" w:eastAsiaTheme="majorEastAsia"/>
          <w:lang w:val="en-US"/>
        </w:rPr>
        <w:t xml:space="preserve">Search for talents not for the quantity. The quantity can be sustainable with the correct use. Robotics is a combination of technologies and as such it must be seen. According to </w:t>
      </w:r>
      <w:r>
        <w:fldChar w:fldCharType="begin"/>
      </w:r>
      <w:r>
        <w:instrText>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w:instrText>
      </w:r>
      <w:r>
        <w:fldChar w:fldCharType="separate"/>
      </w:r>
      <w:bookmarkStart w:id="675" w:name="__Fieldmark__4246_783673585"/>
      <w:r>
        <w:rPr>
          <w:rFonts w:eastAsia="" w:eastAsiaTheme="majorEastAsia"/>
          <w:lang w:val="en-US"/>
        </w:rPr>
      </w:r>
      <w:r>
        <w:rPr>
          <w:rFonts w:eastAsia="" w:cs="Times New Roman" w:eastAsiaTheme="majorEastAsia"/>
          <w:szCs w:val="24"/>
          <w:lang w:val="en-US"/>
        </w:rPr>
        <w:t>(</w:t>
      </w:r>
      <w:bookmarkStart w:id="676" w:name="__Fieldmark__5430_427358540"/>
      <w:r>
        <w:rPr>
          <w:rFonts w:eastAsia="" w:cs="Times New Roman" w:eastAsiaTheme="majorEastAsia"/>
          <w:szCs w:val="24"/>
          <w:lang w:val="en-US"/>
        </w:rPr>
        <w:t>“ROBO Global,” 2016)</w:t>
      </w:r>
      <w:r>
        <w:rPr>
          <w:rFonts w:eastAsia="" w:eastAsiaTheme="majorEastAsia"/>
          <w:lang w:val="en-US"/>
        </w:rPr>
      </w:r>
      <w:r>
        <w:fldChar w:fldCharType="end"/>
      </w:r>
      <w:bookmarkEnd w:id="675"/>
      <w:bookmarkEnd w:id="676"/>
      <w:r>
        <w:rPr>
          <w:rFonts w:eastAsia=""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pPr>
        <w:pStyle w:val="ListParagraph"/>
        <w:numPr>
          <w:ilvl w:val="0"/>
          <w:numId w:val="9"/>
        </w:numPr>
        <w:spacing w:lineRule="auto" w:line="360"/>
        <w:rPr>
          <w:rFonts w:eastAsia="" w:eastAsiaTheme="majorEastAsia"/>
          <w:lang w:val="en-US"/>
        </w:rPr>
      </w:pPr>
      <w:r>
        <w:rPr>
          <w:rFonts w:eastAsia="" w:eastAsiaTheme="majorEastAsia"/>
          <w:lang w:val="en-US"/>
        </w:rPr>
        <w:t>Companies should continue developing their product technology internally and to combine commercialization with research. The cluster in this notion has to support especially young companies to reach a certain size before they are able to survive by themselves. Multidimensional employees can also help companies to grow.</w:t>
      </w:r>
    </w:p>
    <w:p>
      <w:pPr>
        <w:pStyle w:val="ListParagraph"/>
        <w:numPr>
          <w:ilvl w:val="0"/>
          <w:numId w:val="9"/>
        </w:numPr>
        <w:spacing w:lineRule="auto" w:line="360"/>
        <w:rPr>
          <w:rFonts w:eastAsia="" w:eastAsiaTheme="majorEastAsia"/>
          <w:lang w:val="en-US"/>
        </w:rPr>
      </w:pPr>
      <w:r>
        <w:rPr>
          <w:rFonts w:eastAsia="" w:eastAsiaTheme="majorEastAsia"/>
          <w:lang w:val="en-US"/>
        </w:rPr>
        <w:t>Private venture capital can assist further growth for the cluster. Private money can unlock more potential for ideas to become commercialized products and will strength the investments atmosphere in the cluster. 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pPr>
        <w:pStyle w:val="Normal"/>
        <w:spacing w:lineRule="auto" w:line="360"/>
        <w:rPr>
          <w:rFonts w:eastAsia="" w:eastAsiaTheme="majorEastAsia"/>
          <w:lang w:val="en-US"/>
        </w:rPr>
      </w:pPr>
      <w:r>
        <w:rPr>
          <w:rFonts w:eastAsia=""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pPr>
        <w:pStyle w:val="Normal"/>
        <w:spacing w:lineRule="auto" w:line="360"/>
        <w:rPr>
          <w:rFonts w:eastAsia="" w:eastAsiaTheme="majorEastAsia"/>
          <w:lang w:val="en-US"/>
        </w:rPr>
      </w:pPr>
      <w:r>
        <w:rPr>
          <w:rFonts w:eastAsia="" w:eastAsiaTheme="majorEastAsia"/>
          <w:lang w:val="en-US"/>
        </w:rPr>
        <w:t xml:space="preserve">Cultivate the Global linkages with hot spots in Robotic technology. Innovation center Denmark Silicon Valley. </w:t>
      </w:r>
    </w:p>
    <w:p>
      <w:pPr>
        <w:pStyle w:val="Heading1"/>
        <w:rPr>
          <w:lang w:val="en-US"/>
        </w:rPr>
      </w:pPr>
      <w:bookmarkStart w:id="677" w:name="_Toc459977546"/>
      <w:bookmarkStart w:id="678" w:name="__RefHeading___Toc5880_427358540"/>
      <w:bookmarkEnd w:id="678"/>
      <w:r>
        <w:rPr>
          <w:lang w:val="en-US"/>
        </w:rPr>
        <w:t>6.2 Limitations</w:t>
      </w:r>
      <w:bookmarkEnd w:id="677"/>
      <w:r>
        <w:rPr>
          <w:lang w:val="en-US"/>
        </w:rPr>
        <w:t xml:space="preserve"> &amp; Future Research</w:t>
      </w:r>
    </w:p>
    <w:p>
      <w:pPr>
        <w:pStyle w:val="ListParagraph"/>
        <w:numPr>
          <w:ilvl w:val="0"/>
          <w:numId w:val="8"/>
        </w:numPr>
        <w:spacing w:lineRule="auto" w:line="360"/>
        <w:rPr>
          <w:lang w:val="en-US"/>
        </w:rPr>
      </w:pPr>
      <w:r>
        <w:rPr>
          <w:lang w:val="en-US"/>
        </w:rPr>
        <w:t xml:space="preserve">How to promote efficient collaboration   </w:t>
      </w:r>
    </w:p>
    <w:p>
      <w:pPr>
        <w:pStyle w:val="ListParagraph"/>
        <w:numPr>
          <w:ilvl w:val="0"/>
          <w:numId w:val="8"/>
        </w:numPr>
        <w:spacing w:lineRule="auto" w:line="360"/>
        <w:rPr>
          <w:lang w:val="en-US"/>
        </w:rPr>
      </w:pPr>
      <w:r>
        <w:rPr>
          <w:lang w:val="en-US"/>
        </w:rPr>
        <w:t xml:space="preserve">The stemma stopped very early having the tension to drive in the suburbs of the cluster. For that reason the examination of the human resources future stagnation were not gone further. </w:t>
      </w:r>
    </w:p>
    <w:p>
      <w:pPr>
        <w:pStyle w:val="ListParagraph"/>
        <w:numPr>
          <w:ilvl w:val="0"/>
          <w:numId w:val="8"/>
        </w:numPr>
        <w:spacing w:lineRule="auto" w:line="360"/>
        <w:rPr/>
      </w:pPr>
      <w:r>
        <w:rPr>
          <w:lang w:val="en-US"/>
        </w:rPr>
        <w:t>Not too much focus on the robot part. The potentials of robot technology as 5th industrial revolution</w:t>
      </w:r>
      <w:r>
        <w:fldChar w:fldCharType="begin"/>
      </w:r>
      <w:r>
        <w:instrText>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w:instrText>
      </w:r>
      <w:r>
        <w:fldChar w:fldCharType="separate"/>
      </w:r>
      <w:bookmarkStart w:id="679" w:name="__Fieldmark__4268_783673585"/>
      <w:r>
        <w:rPr>
          <w:lang w:val="en-US"/>
        </w:rPr>
      </w:r>
      <w:r>
        <w:rPr>
          <w:rFonts w:cs="Times New Roman"/>
          <w:lang w:val="en-US"/>
        </w:rPr>
        <w:t>(</w:t>
      </w:r>
      <w:bookmarkStart w:id="680" w:name="__Fieldmark__5455_427358540"/>
      <w:r>
        <w:rPr>
          <w:rFonts w:cs="Times New Roman"/>
          <w:lang w:val="en-US"/>
        </w:rPr>
        <w:t>Steno, 2016)</w:t>
      </w:r>
      <w:r>
        <w:rPr>
          <w:lang w:val="en-US"/>
        </w:rPr>
      </w:r>
      <w:r>
        <w:fldChar w:fldCharType="end"/>
      </w:r>
      <w:bookmarkEnd w:id="679"/>
      <w:bookmarkEnd w:id="680"/>
      <w:r>
        <w:rPr>
          <w:lang w:val="en-US"/>
        </w:rPr>
        <w:t xml:space="preserve"> How robots are seen as roboworkers and robosociety.</w:t>
      </w:r>
    </w:p>
    <w:p>
      <w:pPr>
        <w:pStyle w:val="Normal"/>
        <w:rPr>
          <w:lang w:val="en-US"/>
        </w:rPr>
      </w:pPr>
      <w:r>
        <w:rPr>
          <w:lang w:val="en-US"/>
        </w:rPr>
        <w:t xml:space="preserve">Future research in the robotics Human capital pool should be done to show the distribution of personnel in IFCs, Industry, and University.  Are they all needed there or it should be more productive </w:t>
      </w:r>
    </w:p>
    <w:p>
      <w:pPr>
        <w:pStyle w:val="Normal"/>
        <w:rPr>
          <w:lang w:val="en-US"/>
        </w:rPr>
      </w:pPr>
      <w:r>
        <w:rPr>
          <w:lang w:val="en-US"/>
        </w:rPr>
        <w:t>The role of Science Parks in Odense Robotics cluster.</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keepNext/>
        <w:keepLines/>
        <w:numPr>
          <w:ilvl w:val="0"/>
          <w:numId w:val="0"/>
        </w:numPr>
        <w:spacing w:before="480" w:after="0"/>
        <w:jc w:val="left"/>
        <w:outlineLvl w:val="0"/>
        <w:rPr>
          <w:rFonts w:ascii="Arial" w:hAnsi="Arial" w:eastAsia="" w:cs="" w:asciiTheme="majorHAnsi" w:cstheme="majorBidi" w:eastAsiaTheme="majorEastAsia" w:hAnsiTheme="majorHAnsi"/>
          <w:b/>
          <w:b/>
          <w:bCs/>
          <w:color w:val="000000" w:themeColor="accent1" w:themeShade="bf"/>
          <w:sz w:val="28"/>
          <w:szCs w:val="28"/>
          <w:lang w:val="en-US"/>
        </w:rPr>
      </w:pPr>
      <w:bookmarkStart w:id="681" w:name="_Toc457211280"/>
      <w:bookmarkStart w:id="682" w:name="_Toc459977548"/>
      <w:bookmarkStart w:id="683" w:name="__RefHeading___Toc5882_427358540"/>
      <w:bookmarkEnd w:id="683"/>
      <w:r>
        <w:rPr>
          <w:rFonts w:eastAsia="" w:cs="" w:ascii="Arial" w:hAnsi="Arial" w:asciiTheme="majorHAnsi" w:cstheme="majorBidi" w:eastAsiaTheme="majorEastAsia" w:hAnsiTheme="majorHAnsi"/>
          <w:b/>
          <w:bCs/>
          <w:color w:val="000000" w:themeColor="accent1" w:themeShade="bf"/>
          <w:sz w:val="28"/>
          <w:szCs w:val="28"/>
          <w:lang w:val="en-US"/>
        </w:rPr>
        <w:t>References</w:t>
      </w:r>
      <w:bookmarkEnd w:id="681"/>
      <w:bookmarkEnd w:id="682"/>
      <w:r>
        <w:rPr>
          <w:rFonts w:eastAsia="" w:cs="" w:ascii="Arial" w:hAnsi="Arial" w:asciiTheme="majorHAnsi" w:cstheme="majorBidi" w:eastAsiaTheme="majorEastAsia" w:hAnsiTheme="majorHAnsi"/>
          <w:b/>
          <w:bCs/>
          <w:color w:val="000000" w:themeColor="accent1" w:themeShade="bf"/>
          <w:sz w:val="28"/>
          <w:szCs w:val="28"/>
          <w:lang w:val="en-US"/>
        </w:rPr>
        <w:t xml:space="preserve"> </w:t>
      </w:r>
    </w:p>
    <w:p>
      <w:pPr>
        <w:pStyle w:val="Normal"/>
        <w:jc w:val="left"/>
        <w:rPr/>
      </w:pPr>
      <w:r>
        <w:fldChar w:fldCharType="begin"/>
      </w:r>
      <w:r>
        <w:instrText>ADDIN ZOTERO_BIBL {"custom":[]} CSL_BIBLIOGRAPHY</w:instrText>
      </w:r>
      <w:r>
        <w:fldChar w:fldCharType="separate"/>
      </w:r>
      <w:bookmarkStart w:id="684" w:name="__Fieldmark__4287_783673585"/>
      <w:r>
        <w:rPr/>
      </w:r>
      <w:bookmarkEnd w:id="684"/>
      <w:r>
        <w:rPr/>
      </w:r>
      <w:r>
        <w:fldChar w:fldCharType="end"/>
      </w:r>
    </w:p>
    <w:p>
      <w:pPr>
        <w:pStyle w:val="Heading1"/>
        <w:rPr>
          <w:lang w:val="en-US"/>
        </w:rPr>
      </w:pPr>
      <w:bookmarkStart w:id="685" w:name="__RefHeading___Toc5884_427358540"/>
      <w:bookmarkStart w:id="686" w:name="_Toc459977549"/>
      <w:bookmarkStart w:id="687" w:name="_Toc457211281"/>
      <w:bookmarkEnd w:id="685"/>
      <w:bookmarkEnd w:id="686"/>
      <w:bookmarkEnd w:id="687"/>
      <w:r>
        <w:rPr>
          <w:lang w:val="en-US"/>
        </w:rPr>
        <w:t>Appendices</w:t>
      </w:r>
    </w:p>
    <w:p>
      <w:pPr>
        <w:pStyle w:val="Heading1"/>
        <w:rPr>
          <w:lang w:val="en-US"/>
        </w:rPr>
      </w:pPr>
      <w:bookmarkStart w:id="688" w:name="__RefHeading___Toc5886_427358540"/>
      <w:bookmarkStart w:id="689" w:name="_Toc457211282"/>
      <w:bookmarkStart w:id="690" w:name="_Toc459977550"/>
      <w:bookmarkEnd w:id="688"/>
      <w:r>
        <w:rPr>
          <w:lang w:val="en-US"/>
        </w:rPr>
        <w:t>Appendix 1: Interview Transcriptions</w:t>
      </w:r>
      <w:bookmarkEnd w:id="689"/>
      <w:bookmarkEnd w:id="690"/>
      <w:r>
        <w:rPr>
          <w:lang w:val="en-US"/>
        </w:rPr>
        <w:t xml:space="preserve"> </w:t>
      </w:r>
    </w:p>
    <w:p>
      <w:pPr>
        <w:pStyle w:val="Normal"/>
        <w:spacing w:lineRule="auto" w:line="360"/>
        <w:jc w:val="left"/>
        <w:rPr>
          <w:rFonts w:cs="Times New Roman" w:cstheme="minorHAnsi"/>
          <w:lang w:val="en-US"/>
        </w:rPr>
      </w:pPr>
      <w:r>
        <w:rPr>
          <w:rFonts w:cs="Times New Roman" w:cstheme="minorHAnsi"/>
          <w:lang w:val="en-US"/>
        </w:rPr>
      </w:r>
    </w:p>
    <w:p>
      <w:pPr>
        <w:pStyle w:val="Heading1"/>
        <w:rPr>
          <w:lang w:val="en-US"/>
        </w:rPr>
      </w:pPr>
      <w:bookmarkStart w:id="691" w:name="_Toc457211283"/>
      <w:bookmarkStart w:id="692" w:name="_Toc459977551"/>
      <w:bookmarkStart w:id="693" w:name="__RefHeading___Toc5888_427358540"/>
      <w:bookmarkEnd w:id="693"/>
      <w:r>
        <w:rPr>
          <w:lang w:val="en-US"/>
        </w:rPr>
        <w:t>Appendix 2: Stylistic Notes</w:t>
      </w:r>
      <w:bookmarkEnd w:id="691"/>
      <w:bookmarkEnd w:id="692"/>
      <w:r>
        <w:rPr>
          <w:lang w:val="en-US"/>
        </w:rPr>
        <w:t xml:space="preserve"> </w:t>
      </w:r>
    </w:p>
    <w:p>
      <w:pPr>
        <w:pStyle w:val="Normal"/>
        <w:spacing w:lineRule="auto" w:line="360"/>
        <w:jc w:val="left"/>
        <w:rPr>
          <w:rFonts w:cs="Times New Roman" w:cstheme="minorHAnsi"/>
          <w:lang w:val="en-US"/>
        </w:rPr>
      </w:pPr>
      <w:r>
        <w:rPr>
          <w:rFonts w:cs="Times New Roman" w:cstheme="minorHAnsi"/>
          <w:lang w:val="en-US"/>
        </w:rPr>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you know</w:t>
      </w:r>
      <w:r>
        <w:rPr>
          <w:rFonts w:cs="Times New Roman" w:cstheme="minorHAnsi"/>
          <w:lang w:val="en-US"/>
        </w:rPr>
        <w:t xml:space="preserve"> need not be transcribed when used as a refrain</w:t>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umm or hmm</w:t>
      </w:r>
      <w:r>
        <w:rPr>
          <w:rFonts w:cs="Times New Roman" w:cstheme="minorHAnsi"/>
          <w:lang w:val="en-US"/>
        </w:rPr>
        <w:t xml:space="preserve"> need not be transcribed when this indicates thinking</w:t>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umm or hmm</w:t>
      </w:r>
      <w:r>
        <w:rPr>
          <w:rFonts w:cs="Times New Roman" w:cstheme="minorHAnsi"/>
          <w:lang w:val="en-US"/>
        </w:rPr>
        <w:t xml:space="preserve"> should be transcribed when it indicates an affirmative - "yes"</w:t>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ah</w:t>
      </w:r>
      <w:r>
        <w:rPr>
          <w:rFonts w:cs="Times New Roman" w:cstheme="minorHAnsi"/>
          <w:lang w:val="en-US"/>
        </w:rPr>
        <w:t xml:space="preserve"> should be transcribed when it indicates understanding or realization</w:t>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yeah</w:t>
      </w:r>
      <w:r>
        <w:rPr>
          <w:rFonts w:cs="Times New Roman" w:cstheme="minorHAnsi"/>
          <w:lang w:val="en-US"/>
        </w:rPr>
        <w:t xml:space="preserve"> should be transcribed verbatim</w:t>
      </w:r>
    </w:p>
    <w:p>
      <w:pPr>
        <w:pStyle w:val="Normal"/>
        <w:spacing w:lineRule="auto" w:line="360"/>
        <w:jc w:val="left"/>
        <w:rPr>
          <w:rFonts w:cs="Times New Roman" w:cstheme="minorHAnsi"/>
          <w:lang w:val="en-US"/>
        </w:rPr>
      </w:pPr>
      <w:r>
        <w:rPr>
          <w:rFonts w:cs="Times New Roman" w:cstheme="minorHAnsi"/>
          <w:lang w:val="en-US"/>
        </w:rPr>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 xml:space="preserve">--. </w:t>
      </w:r>
      <w:r>
        <w:rPr>
          <w:rFonts w:cs="Times New Roman" w:cstheme="minorHAnsi"/>
          <w:lang w:val="en-US"/>
        </w:rPr>
        <w:t>indicates an interrupted sentence</w:t>
      </w:r>
    </w:p>
    <w:p>
      <w:pPr>
        <w:pStyle w:val="Normal"/>
        <w:spacing w:lineRule="auto" w:line="360" w:before="0" w:after="200"/>
        <w:ind w:left="720" w:hanging="0"/>
        <w:contextualSpacing/>
        <w:jc w:val="left"/>
        <w:rPr>
          <w:rFonts w:cs="Times New Roman" w:cstheme="minorHAnsi"/>
          <w:lang w:val="en-US"/>
        </w:rPr>
      </w:pPr>
      <w:r>
        <w:rPr>
          <w:rFonts w:cs="Times New Roman" w:cstheme="minorHAnsi"/>
          <w:lang w:val="en-US"/>
        </w:rPr>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 xml:space="preserve">-- </w:t>
      </w:r>
      <w:r>
        <w:rPr>
          <w:rFonts w:cs="Times New Roman" w:cstheme="minorHAnsi"/>
          <w:lang w:val="en-US"/>
        </w:rPr>
        <w:t>indicates a false start. Although stammers need not be transcribed, false starts should be transcribed. For example: I thought--I was thinking—I thought that I should go . . .</w:t>
      </w:r>
    </w:p>
    <w:p>
      <w:pPr>
        <w:pStyle w:val="Normal"/>
        <w:spacing w:lineRule="auto" w:line="360" w:before="0" w:after="200"/>
        <w:ind w:left="720" w:hanging="0"/>
        <w:contextualSpacing/>
        <w:jc w:val="left"/>
        <w:rPr>
          <w:rFonts w:cs="Times New Roman" w:cstheme="minorHAnsi"/>
          <w:lang w:val="en-US"/>
        </w:rPr>
      </w:pPr>
      <w:r>
        <w:rPr>
          <w:rFonts w:cs="Times New Roman" w:cstheme="minorHAnsi"/>
          <w:lang w:val="en-US"/>
        </w:rPr>
      </w:r>
    </w:p>
    <w:p>
      <w:pPr>
        <w:pStyle w:val="Normal"/>
        <w:numPr>
          <w:ilvl w:val="0"/>
          <w:numId w:val="1"/>
        </w:numPr>
        <w:spacing w:lineRule="auto" w:line="360" w:before="0" w:after="200"/>
        <w:contextualSpacing/>
        <w:jc w:val="left"/>
        <w:rPr>
          <w:rFonts w:cs="Times New Roman" w:cstheme="minorHAnsi"/>
          <w:lang w:val="en-US"/>
        </w:rPr>
      </w:pPr>
      <w:r>
        <w:rPr>
          <w:rFonts w:cs="Times New Roman" w:cstheme="minorHAnsi"/>
          <w:b/>
          <w:lang w:val="en-US"/>
        </w:rPr>
        <w:t xml:space="preserve"> </w:t>
      </w:r>
      <w:r>
        <w:rPr>
          <w:rFonts w:cs="Times New Roman" w:cstheme="minorHAnsi"/>
          <w:b/>
          <w:lang w:val="en-US"/>
        </w:rPr>
        <w:t>. . .</w:t>
      </w:r>
      <w:r>
        <w:rPr>
          <w:rFonts w:cs="Times New Roman" w:cstheme="minorHAnsi"/>
          <w:lang w:val="en-US"/>
        </w:rPr>
        <w:t xml:space="preserve"> indicates that the transcriber could not hear the word</w:t>
      </w:r>
    </w:p>
    <w:p>
      <w:pPr>
        <w:pStyle w:val="Normal"/>
        <w:spacing w:lineRule="auto" w:line="360" w:before="0" w:after="200"/>
        <w:ind w:left="720" w:hanging="0"/>
        <w:contextualSpacing/>
        <w:jc w:val="left"/>
        <w:rPr>
          <w:rFonts w:cs="Times New Roman" w:cstheme="minorHAnsi"/>
          <w:lang w:val="en-US"/>
        </w:rPr>
      </w:pPr>
      <w:r>
        <w:rPr>
          <w:rFonts w:cs="Times New Roman" w:cstheme="minorHAnsi"/>
          <w:lang w:val="en-US"/>
        </w:rPr>
      </w:r>
    </w:p>
    <w:p>
      <w:pPr>
        <w:pStyle w:val="Normal"/>
        <w:spacing w:lineRule="auto" w:line="360" w:before="0" w:after="200"/>
        <w:ind w:left="360" w:hanging="0"/>
        <w:contextualSpacing/>
        <w:jc w:val="left"/>
        <w:rPr>
          <w:rFonts w:cs="Times New Roman" w:cstheme="minorHAnsi"/>
          <w:lang w:val="en-US"/>
        </w:rPr>
      </w:pPr>
      <w:r>
        <w:rPr>
          <w:rFonts w:cs="Times New Roman" w:cstheme="minorHAnsi"/>
          <w:lang w:val="en-US"/>
        </w:rPr>
        <w:t xml:space="preserve"> </w:t>
      </w:r>
      <w:r>
        <w:rPr>
          <w:rFonts w:cs="Times New Roman" w:cstheme="minorHAnsi"/>
          <w:b/>
          <w:lang w:val="en-US"/>
        </w:rPr>
        <w:t>. . . .</w:t>
      </w:r>
      <w:r>
        <w:rPr>
          <w:rFonts w:cs="Times New Roman" w:cstheme="minorHAnsi"/>
          <w:lang w:val="en-US"/>
        </w:rPr>
        <w:t xml:space="preserve"> indicates that the transcriber could not hear more than one word</w:t>
      </w:r>
    </w:p>
    <w:p>
      <w:pPr>
        <w:pStyle w:val="Normal"/>
        <w:spacing w:lineRule="auto" w:line="360" w:before="0" w:after="200"/>
        <w:ind w:left="360" w:hanging="0"/>
        <w:contextualSpacing/>
        <w:jc w:val="left"/>
        <w:rPr>
          <w:rFonts w:cs="Times New Roman" w:cstheme="minorHAnsi"/>
          <w:lang w:val="en-US"/>
        </w:rPr>
      </w:pPr>
      <w:r>
        <w:rPr>
          <w:rFonts w:cs="Times New Roman" w:cstheme="minorHAnsi"/>
          <w:lang w:val="en-US"/>
        </w:rPr>
      </w:r>
    </w:p>
    <w:p>
      <w:pPr>
        <w:pStyle w:val="Heading1"/>
        <w:rPr>
          <w:rFonts w:eastAsia="Times New Roman" w:eastAsiaTheme="minorHAnsi"/>
          <w:color w:val="00000A"/>
          <w:lang w:val="en-US"/>
        </w:rPr>
      </w:pPr>
      <w:bookmarkStart w:id="694" w:name="_Toc459977552"/>
      <w:bookmarkStart w:id="695" w:name="_Toc457211284"/>
      <w:bookmarkStart w:id="696" w:name="__RefHeading___Toc5890_427358540"/>
      <w:bookmarkEnd w:id="694"/>
      <w:bookmarkEnd w:id="695"/>
      <w:bookmarkEnd w:id="696"/>
      <w:r>
        <w:rPr>
          <w:lang w:val="en-US"/>
        </w:rPr>
        <w:t>Appendix 3: Interview Guide</w:t>
      </w:r>
    </w:p>
    <w:p>
      <w:pPr>
        <w:pStyle w:val="Normal"/>
        <w:spacing w:lineRule="auto" w:line="360"/>
        <w:jc w:val="left"/>
        <w:rPr>
          <w:rFonts w:cs="Times New Roman" w:cstheme="minorHAnsi"/>
          <w:lang w:val="en-US"/>
        </w:rPr>
      </w:pPr>
      <w:r>
        <w:rPr>
          <w:rFonts w:cs="Times New Roman" w:cstheme="minorHAnsi"/>
          <w:lang w:val="en-US"/>
        </w:rPr>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What is your name, age, educational level?</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Describe your role in the organization.</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What is in your perception Innovation? How can you describe or define innovation?</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Difference between Innovation and Technology</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Any innovative processes in managerial aspect?(innovation management)</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How you see robots as a product? (costumer solution-functional)</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Key success factors over this intensive growth</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Key players in the cluster. Environment of the cluster.</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Mobility of resources. Knowledge spill.</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 xml:space="preserve"> </w:t>
      </w:r>
      <w:r>
        <w:rPr>
          <w:rFonts w:eastAsia="Calibri" w:cs="Times New Roman" w:cstheme="minorHAnsi"/>
          <w:lang w:val="en-US"/>
        </w:rPr>
        <w:t>How Society how the community in Odense locally in the Danish nation help the development of the industry?</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What about the society in this 'key player' discussion</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Is it about networking</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In your opinion who is the most important key player that actually runs the flow of the cluster?</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Are there any flows of other resources that facilitate the development of cluster?</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Which interactions are having the most innovative results in the cluster?</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Have you seen any ideas to get lost in the meantime, that for example not having the right resources to go a step forward for commercializing their idea</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What about entrepreneurship?</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The people that get the innovative idea are also good entrepreneurs?</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How the cluster, for example, gives these solutions by itself.(for growth)</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Do you have any other examples of such intensive growth companies such as UR? Or potential</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What about trust? In the cluster?</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So they share information? Openly?</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Do you think of any disadvantages or space for improvement in the cluster?</w:t>
      </w:r>
    </w:p>
    <w:p>
      <w:pPr>
        <w:pStyle w:val="Normal"/>
        <w:numPr>
          <w:ilvl w:val="0"/>
          <w:numId w:val="2"/>
        </w:numPr>
        <w:spacing w:lineRule="auto" w:line="360" w:before="0" w:after="200"/>
        <w:contextualSpacing/>
        <w:jc w:val="left"/>
        <w:rPr>
          <w:rFonts w:eastAsia="Calibri" w:cs="Times New Roman" w:cstheme="minorHAnsi"/>
          <w:lang w:val="en-US"/>
        </w:rPr>
      </w:pPr>
      <w:r>
        <w:rPr>
          <w:rFonts w:eastAsia="Calibri" w:cs="Times New Roman" w:cstheme="minorHAnsi"/>
          <w:lang w:val="en-US"/>
        </w:rPr>
        <w:t>How you see the future of the cluster for example in the next 10 years</w:t>
      </w:r>
    </w:p>
    <w:p>
      <w:pPr>
        <w:pStyle w:val="Normal"/>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r>
    </w:p>
    <w:p>
      <w:pPr>
        <w:pStyle w:val="Normal"/>
        <w:spacing w:lineRule="auto" w:line="360" w:before="0" w:after="200"/>
        <w:contextualSpacing/>
        <w:jc w:val="left"/>
        <w:rPr>
          <w:rFonts w:ascii="Calibri" w:hAnsi="Calibri" w:eastAsia="Calibri" w:cs="Times New Roman"/>
          <w:lang w:val="en-US"/>
        </w:rPr>
      </w:pPr>
      <w:r>
        <w:rPr>
          <w:rFonts w:eastAsia="Calibri" w:cs="Times New Roman" w:ascii="Calibri" w:hAnsi="Calibri"/>
          <w:lang w:val="en-US"/>
        </w:rPr>
      </w:r>
    </w:p>
    <w:p>
      <w:pPr>
        <w:pStyle w:val="Heading1"/>
        <w:rPr>
          <w:rFonts w:eastAsia="Calibri"/>
          <w:lang w:val="en-US"/>
        </w:rPr>
      </w:pPr>
      <w:bookmarkStart w:id="697" w:name="_Toc459977553"/>
      <w:bookmarkStart w:id="698" w:name="__RefHeading___Toc5892_427358540"/>
      <w:bookmarkEnd w:id="698"/>
      <w:r>
        <w:rPr>
          <w:rFonts w:eastAsia="Calibri"/>
          <w:lang w:val="en-US"/>
        </w:rPr>
        <w:t>Appendix 4 : Odense Robotics ecosystem</w:t>
      </w:r>
      <w:bookmarkEnd w:id="697"/>
      <w:r>
        <w:rPr>
          <w:rFonts w:eastAsia="Calibri"/>
          <w:lang w:val="en-US"/>
        </w:rPr>
        <w:t xml:space="preserve"> </w:t>
      </w:r>
    </w:p>
    <w:p>
      <w:pPr>
        <w:pStyle w:val="Normal"/>
        <w:widowControl/>
        <w:bidi w:val="0"/>
        <w:spacing w:lineRule="auto" w:line="276" w:before="0" w:after="200"/>
        <w:jc w:val="both"/>
        <w:rPr/>
      </w:pPr>
      <w:r>
        <w:rPr/>
        <mc:AlternateContent>
          <mc:Choice Requires="wps">
            <w:drawing>
              <wp:inline distT="0" distB="0" distL="0" distR="0">
                <wp:extent cx="9012555" cy="5356860"/>
                <wp:effectExtent l="0" t="0" r="0" b="0"/>
                <wp:docPr id="32" name="Odense Robotics Ecosystem.png"/>
                <a:graphic xmlns:a="http://schemas.openxmlformats.org/drawingml/2006/main">
                  <a:graphicData uri="http://schemas.openxmlformats.org/drawingml/2006/picture">
                    <pic:pic xmlns:pic="http://schemas.openxmlformats.org/drawingml/2006/picture">
                      <pic:nvPicPr>
                        <pic:cNvPr id="0" name="Odense Robotics Ecosystem.png" descr=""/>
                        <pic:cNvPicPr/>
                      </pic:nvPicPr>
                      <pic:blipFill>
                        <a:blip r:embed="rId39"/>
                        <a:stretch/>
                      </pic:blipFill>
                      <pic:spPr>
                        <a:xfrm rot="16200000">
                          <a:off x="0" y="0"/>
                          <a:ext cx="9011880" cy="5356080"/>
                        </a:xfrm>
                        <a:prstGeom prst="rect">
                          <a:avLst/>
                        </a:prstGeom>
                        <a:ln>
                          <a:noFill/>
                        </a:ln>
                      </pic:spPr>
                    </pic:pic>
                  </a:graphicData>
                </a:graphic>
              </wp:inline>
            </w:drawing>
          </mc:Choice>
          <mc:Fallback>
            <w:pict>
              <v:rect id="shape_0" ID="Odense Robotics Ecosystem.png" stroked="f" style="position:absolute;margin-left:-143.9pt;margin-top:143.9pt;width:709.55pt;height:421.7pt;rotation:270">
                <v:imagedata r:id="rId40" o:detectmouseclick="t"/>
                <w10:wrap type="none"/>
                <v:stroke color="#3465a4" joinstyle="round" endcap="flat"/>
              </v:rect>
            </w:pict>
          </mc:Fallback>
        </mc:AlternateContent>
      </w:r>
    </w:p>
    <w:sectPr>
      <w:footerReference w:type="default" r:id="rId41"/>
      <w:type w:val="nextPage"/>
      <w:pgSz w:w="12240" w:h="15840"/>
      <w:pgMar w:left="1800" w:right="1800" w:header="0" w:top="1440" w:footer="1440" w:bottom="2016" w:gutter="0"/>
      <w:pgNumType w:start="1" w:fmt="lowerRoman"/>
      <w:formProt w:val="false"/>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Ioannis Maragos" w:date="2016-08-26T12:24:00Z" w:initials="IM">
    <w:p>
      <w:r>
        <w:rPr>
          <w:rFonts w:ascii="Liberation Serif" w:hAnsi="Liberation Serif" w:eastAsia="DejaVu Sans" w:cs="DejaVu Sans"/>
          <w:color w:val="auto"/>
          <w:sz w:val="24"/>
          <w:szCs w:val="24"/>
          <w:lang w:val="en-US" w:eastAsia="en-US" w:bidi="en-US"/>
        </w:rPr>
        <w:t>timeline</w:t>
      </w:r>
    </w:p>
  </w:comment>
  <w:comment w:id="1" w:author="Ioannis Maragos" w:date="2016-08-26T12:32:00Z" w:initials="IM">
    <w:p>
      <w:r>
        <w:rPr>
          <w:rFonts w:ascii="Liberation Serif" w:hAnsi="Liberation Serif" w:eastAsia="DejaVu Sans" w:cs="DejaVu Sans"/>
          <w:color w:val="auto"/>
          <w:sz w:val="24"/>
          <w:szCs w:val="24"/>
          <w:lang w:val="en-US" w:eastAsia="en-US" w:bidi="en-US"/>
        </w:rPr>
        <w:t xml:space="preserve">restructure </w:t>
      </w:r>
    </w:p>
  </w:comment>
  <w:comment w:id="2" w:author="Ioannis Maragos" w:date="2016-08-26T12:38:00Z" w:initials="IM">
    <w:p>
      <w:r>
        <w:rPr>
          <w:rFonts w:ascii="Liberation Serif" w:hAnsi="Liberation Serif" w:eastAsia="DejaVu Sans" w:cs="DejaVu Sans"/>
          <w:color w:val="auto"/>
          <w:sz w:val="24"/>
          <w:szCs w:val="24"/>
          <w:lang w:val="en-US" w:eastAsia="en-US" w:bidi="en-US"/>
        </w:rPr>
        <w:t>same with method</w:t>
      </w:r>
    </w:p>
  </w:comment>
  <w:comment w:id="3" w:author="Ioannis Maragos" w:date="2016-07-28T20:10:00Z" w:initials="IM">
    <w:p>
      <w:r>
        <w:rPr>
          <w:rFonts w:ascii="Liberation Serif" w:hAnsi="Liberation Serif" w:eastAsia="DejaVu Sans" w:cs="DejaVu Sans"/>
          <w:color w:val="auto"/>
          <w:sz w:val="24"/>
          <w:szCs w:val="24"/>
          <w:lang w:val="en-US" w:eastAsia="en-US" w:bidi="en-US"/>
        </w:rPr>
        <w:t>geographical proximity</w:t>
      </w:r>
    </w:p>
  </w:comment>
  <w:comment w:id="4" w:author="Ioannis Maragos" w:date="2016-07-29T17:47:00Z" w:initials="IM">
    <w:p>
      <w:r>
        <w:rPr>
          <w:rFonts w:ascii="Liberation Serif" w:hAnsi="Liberation Serif" w:eastAsia="DejaVu Sans" w:cs="DejaVu Sans"/>
          <w:color w:val="auto"/>
          <w:sz w:val="24"/>
          <w:szCs w:val="24"/>
          <w:lang w:val="en-US" w:eastAsia="en-US" w:bidi="en-US"/>
        </w:rPr>
        <w:t>cite</w:t>
      </w:r>
    </w:p>
  </w:comment>
  <w:comment w:id="5" w:author="Ioannis Maragos" w:date="2016-07-29T17:50:00Z" w:initials="IM">
    <w:p>
      <w:r>
        <w:rPr>
          <w:rFonts w:ascii="Liberation Serif" w:hAnsi="Liberation Serif" w:eastAsia="DejaVu Sans" w:cs="DejaVu Sans"/>
          <w:color w:val="auto"/>
          <w:sz w:val="24"/>
          <w:szCs w:val="24"/>
          <w:lang w:val="en-US" w:eastAsia="en-US" w:bidi="en-US"/>
        </w:rPr>
        <w:t>Conclution cite analysis</w:t>
      </w:r>
    </w:p>
  </w:comment>
  <w:comment w:id="6" w:author="Ioannis Maragos" w:date="2016-08-26T12:53:00Z" w:initials="IM">
    <w:p>
      <w:r>
        <w:rPr>
          <w:rFonts w:ascii="Liberation Serif" w:hAnsi="Liberation Serif" w:eastAsia="DejaVu Sans" w:cs="DejaVu Sans"/>
          <w:color w:val="auto"/>
          <w:sz w:val="24"/>
          <w:szCs w:val="24"/>
          <w:lang w:val="en-US" w:eastAsia="en-US" w:bidi="en-US"/>
        </w:rPr>
        <w:t>Better connection</w:t>
      </w:r>
    </w:p>
  </w:comment>
  <w:comment w:id="7" w:author="Ioannis Maragos" w:date="2016-08-26T12:59:00Z" w:initials="IM">
    <w:p>
      <w:r>
        <w:rPr>
          <w:rFonts w:ascii="Liberation Serif" w:hAnsi="Liberation Serif" w:eastAsia="DejaVu Sans" w:cs="DejaVu Sans"/>
          <w:color w:val="auto"/>
          <w:sz w:val="24"/>
          <w:szCs w:val="24"/>
          <w:lang w:val="en-US" w:eastAsia="en-US" w:bidi="en-US"/>
        </w:rPr>
        <w:t>Not match</w:t>
      </w:r>
    </w:p>
  </w:comment>
  <w:comment w:id="8" w:author="Ioannis Maragos" w:date="2016-08-26T13:00:00Z" w:initials="IM">
    <w:p>
      <w:r>
        <w:rPr>
          <w:rFonts w:ascii="Liberation Serif" w:hAnsi="Liberation Serif" w:eastAsia="DejaVu Sans" w:cs="DejaVu Sans"/>
          <w:color w:val="auto"/>
          <w:sz w:val="24"/>
          <w:szCs w:val="24"/>
          <w:lang w:val="en-US" w:eastAsia="en-US" w:bidi="en-US"/>
        </w:rPr>
        <w:t xml:space="preserve">Cite connect </w:t>
      </w:r>
    </w:p>
  </w:comment>
  <w:comment w:id="9" w:author="Ioannis Maragos" w:date="2016-08-26T13:08:00Z" w:initials="IM">
    <w:p>
      <w:r>
        <w:rPr>
          <w:rFonts w:ascii="Liberation Serif" w:hAnsi="Liberation Serif" w:eastAsia="DejaVu Sans" w:cs="DejaVu Sans"/>
          <w:color w:val="auto"/>
          <w:sz w:val="24"/>
          <w:szCs w:val="24"/>
          <w:lang w:val="en-US" w:eastAsia="en-US" w:bidi="en-US"/>
        </w:rPr>
        <w:t xml:space="preserve">Cite klemmeno apo ptuxiaki </w:t>
      </w:r>
    </w:p>
  </w:comment>
  <w:comment w:id="10" w:author="Ioannis Maragos" w:date="2016-08-26T13:25:00Z" w:initials="IM">
    <w:p>
      <w:r>
        <w:rPr>
          <w:rFonts w:ascii="Liberation Serif" w:hAnsi="Liberation Serif" w:eastAsia="DejaVu Sans" w:cs="DejaVu Sans"/>
          <w:color w:val="auto"/>
          <w:sz w:val="24"/>
          <w:szCs w:val="24"/>
          <w:lang w:val="en-US" w:eastAsia="en-US" w:bidi="en-US"/>
        </w:rPr>
        <w:t>cluster and Innovation systems</w:t>
      </w:r>
    </w:p>
  </w:comment>
  <w:comment w:id="11" w:author="Ioannis Maragos" w:date="2016-08-26T13:43:00Z" w:initials="IM">
    <w:p>
      <w:r>
        <w:rPr>
          <w:rFonts w:ascii="Liberation Serif" w:hAnsi="Liberation Serif" w:eastAsia="DejaVu Sans" w:cs="DejaVu Sans"/>
          <w:color w:val="auto"/>
          <w:sz w:val="24"/>
          <w:szCs w:val="24"/>
          <w:lang w:val="en-US" w:eastAsia="en-US" w:bidi="en-US"/>
        </w:rPr>
        <w:t>cite</w:t>
      </w:r>
    </w:p>
  </w:comment>
  <w:comment w:id="12" w:author="Ioannis Maragos" w:date="2016-08-26T13:41:00Z" w:initials="IM">
    <w:p>
      <w:r>
        <w:rPr>
          <w:rFonts w:ascii="Liberation Serif" w:hAnsi="Liberation Serif" w:eastAsia="DejaVu Sans" w:cs="DejaVu Sans"/>
          <w:color w:val="auto"/>
          <w:sz w:val="24"/>
          <w:szCs w:val="24"/>
          <w:lang w:val="en-US" w:eastAsia="en-US" w:bidi="en-US"/>
        </w:rPr>
        <w:t>cite</w:t>
      </w:r>
    </w:p>
  </w:comment>
  <w:comment w:id="13" w:author="Ioannis Maragos" w:date="2016-08-26T13:42:00Z" w:initials="IM">
    <w:p>
      <w:r>
        <w:rPr>
          <w:rFonts w:ascii="Liberation Serif" w:hAnsi="Liberation Serif" w:eastAsia="DejaVu Sans" w:cs="DejaVu Sans"/>
          <w:color w:val="auto"/>
          <w:sz w:val="24"/>
          <w:szCs w:val="24"/>
          <w:lang w:val="en-US" w:eastAsia="en-US" w:bidi="en-US"/>
        </w:rPr>
        <w:t>cite</w:t>
      </w:r>
    </w:p>
  </w:comment>
  <w:comment w:id="14" w:author="Ioannis Maragos" w:date="2016-07-29T20:03:00Z" w:initials="IM">
    <w:p>
      <w:r>
        <w:rPr>
          <w:rFonts w:ascii="Liberation Serif" w:hAnsi="Liberation Serif" w:eastAsia="DejaVu Sans" w:cs="DejaVu Sans"/>
          <w:color w:val="auto"/>
          <w:sz w:val="24"/>
          <w:szCs w:val="24"/>
          <w:lang w:val="en-US" w:eastAsia="en-US" w:bidi="en-US"/>
        </w:rPr>
        <w:t>characteristics</w:t>
      </w:r>
    </w:p>
  </w:comment>
  <w:comment w:id="15" w:author="Ioannis Maragos" w:date="2016-08-17T23:13:00Z" w:initials="IM">
    <w:p>
      <w:r>
        <w:rPr>
          <w:rFonts w:ascii="Liberation Serif" w:hAnsi="Liberation Serif" w:eastAsia="DejaVu Sans" w:cs="DejaVu Sans"/>
          <w:color w:val="auto"/>
          <w:sz w:val="24"/>
          <w:szCs w:val="24"/>
          <w:lang w:val="en-US" w:eastAsia="en-US" w:bidi="en-US"/>
        </w:rPr>
      </w:r>
    </w:p>
  </w:comment>
  <w:comment w:id="16" w:author="Ioannis Maragos" w:date="2016-07-29T20:17:00Z" w:initials="IM">
    <w:p>
      <w:r>
        <w:rPr>
          <w:rFonts w:ascii="Liberation Serif" w:hAnsi="Liberation Serif" w:eastAsia="DejaVu Sans" w:cs="DejaVu Sans"/>
          <w:color w:val="auto"/>
          <w:sz w:val="24"/>
          <w:szCs w:val="24"/>
          <w:lang w:val="en-US" w:eastAsia="en-US" w:bidi="en-US"/>
        </w:rPr>
        <w:t>cite</w:t>
      </w:r>
    </w:p>
  </w:comment>
  <w:comment w:id="17" w:author="Ioannis Maragos" w:date="2016-07-29T22:42:00Z" w:initials="IM">
    <w:p>
      <w:r>
        <w:rPr>
          <w:rFonts w:ascii="Liberation Serif" w:hAnsi="Liberation Serif" w:eastAsia="DejaVu Sans" w:cs="DejaVu Sans"/>
          <w:color w:val="auto"/>
          <w:sz w:val="24"/>
          <w:szCs w:val="24"/>
          <w:lang w:val="en-US" w:eastAsia="en-US" w:bidi="en-US"/>
        </w:rPr>
        <w:t>cite</w:t>
      </w:r>
    </w:p>
  </w:comment>
  <w:comment w:id="18" w:author="Ioannis Maragos" w:date="2016-07-29T20:19:00Z" w:initials="IM">
    <w:p>
      <w:r>
        <w:rPr>
          <w:rFonts w:ascii="Liberation Serif" w:hAnsi="Liberation Serif" w:eastAsia="DejaVu Sans" w:cs="DejaVu Sans"/>
          <w:color w:val="auto"/>
          <w:sz w:val="24"/>
          <w:szCs w:val="24"/>
          <w:lang w:val="en-US" w:eastAsia="en-US" w:bidi="en-US"/>
        </w:rPr>
        <w:t>cite?</w:t>
      </w:r>
    </w:p>
  </w:comment>
  <w:comment w:id="19" w:author="Ioannis Maragos" w:date="2016-07-29T20:20:00Z" w:initials="IM">
    <w:p>
      <w:r>
        <w:rPr>
          <w:rFonts w:ascii="Liberation Serif" w:hAnsi="Liberation Serif" w:eastAsia="DejaVu Sans" w:cs="DejaVu Sans"/>
          <w:color w:val="auto"/>
          <w:sz w:val="24"/>
          <w:szCs w:val="24"/>
          <w:lang w:val="en-US" w:eastAsia="en-US" w:bidi="en-US"/>
        </w:rPr>
        <w:t>reform</w:t>
      </w:r>
    </w:p>
  </w:comment>
  <w:comment w:id="20" w:author="Ioannis Maragos" w:date="2016-07-29T20:21:00Z" w:initials="IM">
    <w:p>
      <w:r>
        <w:rPr>
          <w:rFonts w:ascii="Liberation Serif" w:hAnsi="Liberation Serif" w:eastAsia="DejaVu Sans" w:cs="DejaVu Sans"/>
          <w:color w:val="auto"/>
          <w:sz w:val="24"/>
          <w:szCs w:val="24"/>
          <w:lang w:val="en-US" w:eastAsia="en-US" w:bidi="en-US"/>
        </w:rPr>
        <w:t>cite</w:t>
      </w:r>
    </w:p>
  </w:comment>
  <w:comment w:id="21" w:author="Ioannis Maragos" w:date="2016-07-28T20:26:00Z" w:initials="IM">
    <w:p>
      <w:r>
        <w:rPr>
          <w:rFonts w:ascii="Liberation Serif" w:hAnsi="Liberation Serif" w:eastAsia="DejaVu Sans" w:cs="DejaVu Sans"/>
          <w:color w:val="auto"/>
          <w:sz w:val="24"/>
          <w:szCs w:val="24"/>
          <w:lang w:val="en-US" w:eastAsia="en-US" w:bidi="en-US"/>
        </w:rPr>
        <w:t>cite</w:t>
      </w:r>
    </w:p>
  </w:comment>
  <w:comment w:id="22" w:author="Ioannis Maragos" w:date="2016-07-28T20:26:00Z" w:initials="IM">
    <w:p>
      <w:r>
        <w:rPr>
          <w:rFonts w:ascii="Liberation Serif" w:hAnsi="Liberation Serif" w:eastAsia="DejaVu Sans" w:cs="DejaVu Sans"/>
          <w:color w:val="auto"/>
          <w:sz w:val="24"/>
          <w:szCs w:val="24"/>
          <w:lang w:val="en-US" w:eastAsia="en-US" w:bidi="en-US"/>
        </w:rPr>
        <w:t>integrators, Science Park</w:t>
      </w:r>
    </w:p>
  </w:comment>
  <w:comment w:id="23" w:author="Ioannis Maragos" w:date="2016-07-28T20:26:00Z" w:initials="IM">
    <w:p>
      <w:r>
        <w:rPr>
          <w:rFonts w:ascii="Liberation Serif" w:hAnsi="Liberation Serif" w:eastAsia="DejaVu Sans" w:cs="DejaVu Sans"/>
          <w:color w:val="auto"/>
          <w:sz w:val="24"/>
          <w:szCs w:val="24"/>
          <w:lang w:val="en-US" w:eastAsia="en-US" w:bidi="en-US"/>
        </w:rPr>
        <w:t>I discuss how clusters affect competition according to Porter</w:t>
      </w:r>
    </w:p>
  </w:comment>
  <w:comment w:id="24" w:author="Ioannis Maragos" w:date="2016-07-29T20:23:00Z" w:initials="IM">
    <w:p>
      <w:r>
        <w:rPr>
          <w:rFonts w:ascii="Liberation Serif" w:hAnsi="Liberation Serif" w:eastAsia="DejaVu Sans" w:cs="DejaVu Sans"/>
          <w:color w:val="auto"/>
          <w:sz w:val="24"/>
          <w:szCs w:val="24"/>
          <w:lang w:val="en-US" w:eastAsia="en-US" w:bidi="en-US"/>
        </w:rPr>
        <w:t>cite</w:t>
      </w:r>
    </w:p>
  </w:comment>
  <w:comment w:id="25" w:author="Ioannis Maragos" w:date="2016-07-28T20:26:00Z" w:initials="IM">
    <w:p>
      <w:r>
        <w:rPr>
          <w:rFonts w:ascii="Liberation Serif" w:hAnsi="Liberation Serif" w:eastAsia="DejaVu Sans" w:cs="DejaVu Sans"/>
          <w:color w:val="auto"/>
          <w:sz w:val="24"/>
          <w:szCs w:val="24"/>
          <w:lang w:val="en-US" w:eastAsia="en-US" w:bidi="en-US"/>
        </w:rPr>
        <w:t>cite</w:t>
      </w:r>
    </w:p>
  </w:comment>
  <w:comment w:id="26" w:author="Ioannis Maragos" w:date="2016-07-28T20:26:00Z" w:initials="IM">
    <w:p>
      <w:r>
        <w:rPr>
          <w:rFonts w:ascii="Liberation Serif" w:hAnsi="Liberation Serif" w:eastAsia="DejaVu Sans" w:cs="DejaVu Sans"/>
          <w:color w:val="auto"/>
          <w:sz w:val="24"/>
          <w:szCs w:val="24"/>
          <w:lang w:val="en-US" w:eastAsia="en-US" w:bidi="en-US"/>
        </w:rPr>
        <w:t>This is a benefit of the mobility of resources characteristic of the cluster</w:t>
      </w:r>
    </w:p>
    <w:p>
      <w:r>
        <w:rPr>
          <w:rFonts w:ascii="Liberation Serif" w:hAnsi="Liberation Serif" w:eastAsia="DejaVu Sans" w:cs="DejaVu Sans"/>
          <w:color w:val="auto"/>
          <w:sz w:val="24"/>
          <w:szCs w:val="24"/>
          <w:lang w:val="en-US" w:eastAsia="en-US" w:bidi="en-US"/>
        </w:rPr>
      </w:r>
    </w:p>
  </w:comment>
  <w:comment w:id="27" w:author="Ioannis Maragos" w:date="2016-07-28T20:26:00Z" w:initials="IM">
    <w:p>
      <w:r>
        <w:rPr>
          <w:rFonts w:ascii="Liberation Serif" w:hAnsi="Liberation Serif" w:eastAsia="DejaVu Sans" w:cs="DejaVu Sans"/>
          <w:color w:val="auto"/>
          <w:sz w:val="24"/>
          <w:szCs w:val="24"/>
          <w:lang w:val="en-US" w:eastAsia="en-US" w:bidi="en-US"/>
        </w:rPr>
        <w:t>cite</w:t>
      </w:r>
    </w:p>
  </w:comment>
  <w:comment w:id="28" w:author="Ioannis Maragos" w:date="2016-07-28T20:26:00Z" w:initials="IM">
    <w:p>
      <w:r>
        <w:rPr>
          <w:rFonts w:ascii="Liberation Serif" w:hAnsi="Liberation Serif" w:eastAsia="DejaVu Sans" w:cs="DejaVu Sans"/>
          <w:color w:val="auto"/>
          <w:sz w:val="24"/>
          <w:szCs w:val="24"/>
          <w:lang w:val="en-US" w:eastAsia="en-US" w:bidi="en-US"/>
        </w:rPr>
        <w:t>??</w:t>
      </w:r>
    </w:p>
  </w:comment>
  <w:comment w:id="29" w:author="Ioannis Maragos" w:date="2016-07-29T20:26:00Z" w:initials="IM">
    <w:p>
      <w:r>
        <w:rPr>
          <w:rFonts w:ascii="Liberation Serif" w:hAnsi="Liberation Serif" w:eastAsia="DejaVu Sans" w:cs="DejaVu Sans"/>
          <w:color w:val="auto"/>
          <w:sz w:val="24"/>
          <w:szCs w:val="24"/>
          <w:lang w:val="en-US" w:eastAsia="en-US" w:bidi="en-US"/>
        </w:rPr>
        <w:t>cite</w:t>
      </w:r>
    </w:p>
  </w:comment>
  <w:comment w:id="30" w:author="Ioannis Maragos" w:date="2016-07-28T20:26:00Z" w:initials="IM">
    <w:p>
      <w:r>
        <w:rPr>
          <w:rFonts w:ascii="Liberation Serif" w:hAnsi="Liberation Serif" w:eastAsia="DejaVu Sans" w:cs="DejaVu Sans"/>
          <w:color w:val="auto"/>
          <w:sz w:val="24"/>
          <w:szCs w:val="24"/>
          <w:lang w:val="en-US" w:eastAsia="en-US" w:bidi="en-US"/>
        </w:rPr>
        <w:t>cite</w:t>
      </w:r>
    </w:p>
  </w:comment>
  <w:comment w:id="31" w:author="Ioannis Maragos" w:date="2016-07-28T20:26:00Z" w:initials="IM">
    <w:p>
      <w:r>
        <w:rPr>
          <w:rFonts w:ascii="Liberation Serif" w:hAnsi="Liberation Serif" w:eastAsia="DejaVu Sans" w:cs="DejaVu Sans"/>
          <w:color w:val="auto"/>
          <w:sz w:val="24"/>
          <w:szCs w:val="24"/>
          <w:lang w:val="en-US" w:eastAsia="en-US" w:bidi="en-US"/>
        </w:rPr>
        <w:t>cite . It is for benefits</w:t>
      </w:r>
    </w:p>
  </w:comment>
  <w:comment w:id="32" w:author="Ioannis Maragos" w:date="2016-07-28T20:26:00Z" w:initials="IM">
    <w:p>
      <w:r>
        <w:rPr>
          <w:rFonts w:ascii="Liberation Serif" w:hAnsi="Liberation Serif" w:eastAsia="DejaVu Sans" w:cs="DejaVu Sans"/>
          <w:color w:val="auto"/>
          <w:sz w:val="24"/>
          <w:szCs w:val="24"/>
          <w:lang w:val="en-US" w:eastAsia="en-US" w:bidi="en-US"/>
        </w:rPr>
        <w:t>cite</w:t>
      </w:r>
    </w:p>
  </w:comment>
  <w:comment w:id="33" w:author="Ioannis Maragos" w:date="2016-07-29T20:30:00Z" w:initials="IM">
    <w:p>
      <w:r>
        <w:rPr>
          <w:rFonts w:ascii="Liberation Serif" w:hAnsi="Liberation Serif" w:eastAsia="DejaVu Sans" w:cs="DejaVu Sans"/>
          <w:color w:val="auto"/>
          <w:sz w:val="24"/>
          <w:szCs w:val="24"/>
          <w:lang w:val="en-US" w:eastAsia="en-US" w:bidi="en-US"/>
        </w:rPr>
        <w:t>cite</w:t>
      </w:r>
    </w:p>
  </w:comment>
  <w:comment w:id="34" w:author="Ioannis Maragos" w:date="2016-07-29T20:31:00Z" w:initials="IM">
    <w:p>
      <w:r>
        <w:rPr>
          <w:rFonts w:ascii="Liberation Serif" w:hAnsi="Liberation Serif" w:eastAsia="DejaVu Sans" w:cs="DejaVu Sans"/>
          <w:color w:val="auto"/>
          <w:sz w:val="24"/>
          <w:szCs w:val="24"/>
          <w:lang w:val="en-US" w:eastAsia="en-US" w:bidi="en-US"/>
        </w:rPr>
        <w:t>cite</w:t>
      </w:r>
    </w:p>
  </w:comment>
  <w:comment w:id="35" w:author="Ioannis Maragos" w:date="2016-07-29T20:32:00Z" w:initials="IM">
    <w:p>
      <w:r>
        <w:rPr>
          <w:rFonts w:ascii="Liberation Serif" w:hAnsi="Liberation Serif" w:eastAsia="DejaVu Sans" w:cs="DejaVu Sans"/>
          <w:color w:val="auto"/>
          <w:sz w:val="24"/>
          <w:szCs w:val="24"/>
          <w:lang w:val="en-US" w:eastAsia="en-US" w:bidi="en-US"/>
        </w:rPr>
        <w:t>cite</w:t>
      </w:r>
    </w:p>
  </w:comment>
  <w:comment w:id="36" w:author="Ioannis Maragos" w:date="2016-07-29T20:32:00Z" w:initials="IM">
    <w:p>
      <w:r>
        <w:rPr>
          <w:rFonts w:ascii="Liberation Serif" w:hAnsi="Liberation Serif" w:eastAsia="DejaVu Sans" w:cs="DejaVu Sans"/>
          <w:color w:val="auto"/>
          <w:sz w:val="24"/>
          <w:szCs w:val="24"/>
          <w:lang w:val="en-US" w:eastAsia="en-US" w:bidi="en-US"/>
        </w:rPr>
        <w:t>cite</w:t>
      </w:r>
    </w:p>
  </w:comment>
  <w:comment w:id="37" w:author="Ioannis Maragos" w:date="2016-07-29T20:34:00Z" w:initials="IM">
    <w:p>
      <w:r>
        <w:rPr>
          <w:rFonts w:ascii="Liberation Serif" w:hAnsi="Liberation Serif" w:eastAsia="DejaVu Sans" w:cs="DejaVu Sans"/>
          <w:color w:val="auto"/>
          <w:sz w:val="24"/>
          <w:szCs w:val="24"/>
          <w:lang w:val="en-US" w:eastAsia="en-US" w:bidi="en-US"/>
        </w:rPr>
        <w:t xml:space="preserve">proximity </w:t>
      </w:r>
    </w:p>
  </w:comment>
  <w:comment w:id="39" w:author="Ioannis Maragos" w:date="2016-07-29T20:37:00Z" w:initials="IM">
    <w:p>
      <w:r>
        <w:rPr>
          <w:rFonts w:ascii="Liberation Serif" w:hAnsi="Liberation Serif" w:eastAsia="DejaVu Sans" w:cs="DejaVu Sans"/>
          <w:color w:val="auto"/>
          <w:sz w:val="24"/>
          <w:szCs w:val="24"/>
          <w:lang w:val="en-US" w:eastAsia="en-US" w:bidi="en-US"/>
        </w:rPr>
        <w:t>cite</w:t>
      </w:r>
    </w:p>
  </w:comment>
  <w:comment w:id="38" w:author="Ioannis Maragos" w:date="2016-07-29T20:37:00Z" w:initials="IM">
    <w:p>
      <w:r>
        <w:rPr>
          <w:rFonts w:ascii="Liberation Serif" w:hAnsi="Liberation Serif" w:eastAsia="DejaVu Sans" w:cs="DejaVu Sans"/>
          <w:color w:val="auto"/>
          <w:sz w:val="24"/>
          <w:szCs w:val="24"/>
          <w:lang w:val="en-US" w:eastAsia="en-US" w:bidi="en-US"/>
        </w:rPr>
        <w:t>reform and cite</w:t>
      </w:r>
    </w:p>
  </w:comment>
  <w:comment w:id="40" w:author="Ioannis Maragos" w:date="2016-07-29T20:38:00Z" w:initials="IM">
    <w:p>
      <w:r>
        <w:rPr>
          <w:rFonts w:ascii="Liberation Serif" w:hAnsi="Liberation Serif" w:eastAsia="DejaVu Sans" w:cs="DejaVu Sans"/>
          <w:color w:val="auto"/>
          <w:sz w:val="24"/>
          <w:szCs w:val="24"/>
          <w:lang w:val="en-US" w:eastAsia="en-US" w:bidi="en-US"/>
        </w:rPr>
        <w:t>cite</w:t>
      </w:r>
    </w:p>
  </w:comment>
  <w:comment w:id="41" w:author="Ioannis Maragos" w:date="2016-07-29T20:40:00Z" w:initials="IM">
    <w:p>
      <w:r>
        <w:rPr>
          <w:rFonts w:ascii="Liberation Serif" w:hAnsi="Liberation Serif" w:eastAsia="DejaVu Sans" w:cs="DejaVu Sans"/>
          <w:color w:val="auto"/>
          <w:sz w:val="24"/>
          <w:szCs w:val="24"/>
          <w:lang w:val="en-US" w:eastAsia="en-US" w:bidi="en-US"/>
        </w:rPr>
        <w:t>cite</w:t>
      </w:r>
    </w:p>
  </w:comment>
  <w:comment w:id="42" w:author="Ioannis Maragos" w:date="2016-07-29T20:44:00Z" w:initials="IM">
    <w:p>
      <w:r>
        <w:rPr>
          <w:rFonts w:ascii="Liberation Serif" w:hAnsi="Liberation Serif" w:eastAsia="DejaVu Sans" w:cs="DejaVu Sans"/>
          <w:color w:val="auto"/>
          <w:sz w:val="24"/>
          <w:szCs w:val="24"/>
          <w:lang w:val="en-US" w:eastAsia="en-US" w:bidi="en-US"/>
        </w:rPr>
        <w:t>cite</w:t>
      </w:r>
    </w:p>
  </w:comment>
  <w:comment w:id="43" w:author="Ioannis Maragos" w:date="2016-07-28T20:26:00Z" w:initials="IM">
    <w:p>
      <w:r>
        <w:rPr>
          <w:rFonts w:ascii="Liberation Serif" w:hAnsi="Liberation Serif" w:eastAsia="DejaVu Sans" w:cs="DejaVu Sans"/>
          <w:color w:val="auto"/>
          <w:sz w:val="24"/>
          <w:szCs w:val="24"/>
          <w:lang w:val="en-US" w:eastAsia="en-US" w:bidi="en-US"/>
        </w:rPr>
        <w:t xml:space="preserve">cite </w:t>
      </w:r>
    </w:p>
  </w:comment>
  <w:comment w:id="44" w:author="Ioannis Maragos" w:date="2016-07-28T20:26:00Z" w:initials="IM">
    <w:p>
      <w:r>
        <w:rPr>
          <w:rFonts w:ascii="Liberation Serif" w:hAnsi="Liberation Serif" w:eastAsia="DejaVu Sans" w:cs="DejaVu Sans"/>
          <w:color w:val="auto"/>
          <w:sz w:val="24"/>
          <w:szCs w:val="24"/>
          <w:lang w:val="en-US" w:eastAsia="en-US" w:bidi="en-US"/>
        </w:rPr>
        <w:t>cite</w:t>
      </w:r>
    </w:p>
  </w:comment>
  <w:comment w:id="45" w:author="Ioannis Maragos" w:date="2016-07-28T20:26:00Z" w:initials="IM">
    <w:p>
      <w:r>
        <w:rPr>
          <w:rFonts w:ascii="Liberation Serif" w:hAnsi="Liberation Serif" w:eastAsia="DejaVu Sans" w:cs="DejaVu Sans"/>
          <w:color w:val="auto"/>
          <w:sz w:val="24"/>
          <w:szCs w:val="24"/>
          <w:lang w:val="en-US" w:eastAsia="en-US" w:bidi="en-US"/>
        </w:rPr>
        <w:t xml:space="preserve">cite </w:t>
      </w:r>
    </w:p>
  </w:comment>
  <w:comment w:id="46" w:author="Ioannis Maragos" w:date="2016-07-28T20:26:00Z" w:initials="IM">
    <w:p>
      <w:r>
        <w:rPr>
          <w:rFonts w:ascii="Liberation Serif" w:hAnsi="Liberation Serif" w:eastAsia="DejaVu Sans" w:cs="DejaVu Sans"/>
          <w:color w:val="auto"/>
          <w:sz w:val="24"/>
          <w:szCs w:val="24"/>
          <w:lang w:val="en-US" w:eastAsia="en-US" w:bidi="en-US"/>
        </w:rPr>
        <w:t>what are knowledge spillovers</w:t>
      </w:r>
    </w:p>
  </w:comment>
  <w:comment w:id="47" w:author="Ioannis Maragos" w:date="2016-07-28T20:26:00Z" w:initials="IM">
    <w:p>
      <w:r>
        <w:rPr>
          <w:rFonts w:ascii="Liberation Serif" w:hAnsi="Liberation Serif" w:eastAsia="DejaVu Sans" w:cs="DejaVu Sans"/>
          <w:color w:val="auto"/>
          <w:sz w:val="24"/>
          <w:szCs w:val="24"/>
          <w:lang w:val="en-US" w:eastAsia="en-US" w:bidi="en-US"/>
        </w:rPr>
        <w:t>what is incremental knowledge?</w:t>
      </w:r>
    </w:p>
  </w:comment>
  <w:comment w:id="48" w:author="Ioannis Maragos" w:date="2016-07-28T20:26:00Z" w:initials="IM">
    <w:p>
      <w:r>
        <w:rPr>
          <w:rFonts w:ascii="Liberation Serif" w:hAnsi="Liberation Serif" w:eastAsia="DejaVu Sans" w:cs="DejaVu Sans"/>
          <w:color w:val="auto"/>
          <w:sz w:val="24"/>
          <w:szCs w:val="24"/>
          <w:lang w:val="en-US" w:eastAsia="en-US" w:bidi="en-US"/>
        </w:rPr>
        <w:t xml:space="preserve">Cite </w:t>
      </w:r>
    </w:p>
  </w:comment>
  <w:comment w:id="49" w:author="Ioannis Maragos" w:date="2016-07-28T20:26:00Z" w:initials="IM">
    <w:p>
      <w:r>
        <w:rPr>
          <w:rFonts w:ascii="Liberation Serif" w:hAnsi="Liberation Serif" w:eastAsia="DejaVu Sans" w:cs="DejaVu Sans"/>
          <w:color w:val="auto"/>
          <w:sz w:val="24"/>
          <w:szCs w:val="24"/>
          <w:lang w:val="en-US" w:eastAsia="en-US" w:bidi="en-US"/>
        </w:rPr>
        <w:t>cite</w:t>
      </w:r>
    </w:p>
  </w:comment>
  <w:comment w:id="50" w:author="Ioannis Maragos" w:date="2016-07-28T20:26:00Z" w:initials="IM">
    <w:p>
      <w:r>
        <w:rPr>
          <w:rFonts w:ascii="Liberation Serif" w:hAnsi="Liberation Serif" w:eastAsia="DejaVu Sans" w:cs="DejaVu Sans"/>
          <w:color w:val="auto"/>
          <w:sz w:val="24"/>
          <w:szCs w:val="24"/>
          <w:lang w:val="en-US" w:eastAsia="en-US" w:bidi="en-US"/>
        </w:rPr>
        <w:t>cite</w:t>
      </w:r>
    </w:p>
  </w:comment>
  <w:comment w:id="51" w:author="Ioannis Maragos" w:date="2016-08-01T22:04:00Z" w:initials="IM">
    <w:p>
      <w:r>
        <w:rPr>
          <w:rFonts w:ascii="Liberation Serif" w:hAnsi="Liberation Serif" w:eastAsia="DejaVu Sans" w:cs="DejaVu Sans"/>
          <w:color w:val="auto"/>
          <w:sz w:val="24"/>
          <w:szCs w:val="24"/>
          <w:lang w:val="en-US" w:eastAsia="en-US" w:bidi="en-US"/>
        </w:rPr>
        <w:t>cite shorter</w:t>
      </w:r>
    </w:p>
  </w:comment>
  <w:comment w:id="52" w:author="Ioannis Maragos" w:date="2016-08-16T18:29:00Z" w:initials="IM">
    <w:p>
      <w:r>
        <w:rPr>
          <w:rFonts w:ascii="Liberation Serif" w:hAnsi="Liberation Serif" w:eastAsia="DejaVu Sans" w:cs="DejaVu Sans"/>
          <w:color w:val="auto"/>
          <w:sz w:val="24"/>
          <w:szCs w:val="24"/>
          <w:lang w:val="en-US" w:eastAsia="en-US" w:bidi="en-US"/>
        </w:rPr>
        <w:t>again</w:t>
      </w:r>
    </w:p>
  </w:comment>
  <w:comment w:id="53" w:author="Ioannis Maragos" w:date="2016-07-30T21:30:00Z" w:initials="IM">
    <w:p>
      <w:r>
        <w:rPr>
          <w:rFonts w:ascii="Liberation Serif" w:hAnsi="Liberation Serif" w:eastAsia="DejaVu Sans" w:cs="DejaVu Sans"/>
          <w:color w:val="auto"/>
          <w:sz w:val="24"/>
          <w:szCs w:val="24"/>
          <w:lang w:val="en-US" w:eastAsia="en-US" w:bidi="en-US"/>
        </w:rPr>
        <w:t>Make citation from the interview with Bjarke.</w:t>
      </w:r>
    </w:p>
  </w:comment>
  <w:comment w:id="54" w:author="Ioannis Maragos" w:date="2016-07-30T21:30:00Z" w:initials="IM">
    <w:p>
      <w:r>
        <w:rPr>
          <w:rFonts w:ascii="Liberation Serif" w:hAnsi="Liberation Serif" w:eastAsia="DejaVu Sans" w:cs="DejaVu Sans"/>
          <w:color w:val="auto"/>
          <w:sz w:val="24"/>
          <w:szCs w:val="24"/>
          <w:lang w:val="en-US" w:eastAsia="en-US" w:bidi="en-US"/>
        </w:rPr>
        <w:t>Write about meeting with Bilge.</w:t>
      </w:r>
    </w:p>
  </w:comment>
  <w:comment w:id="55" w:author="Ioannis Maragos" w:date="2016-07-28T20:41:00Z" w:initials="IM">
    <w:p>
      <w:r>
        <w:rPr>
          <w:rFonts w:ascii="Liberation Serif" w:hAnsi="Liberation Serif" w:eastAsia="DejaVu Sans" w:cs="DejaVu Sans"/>
          <w:color w:val="auto"/>
          <w:sz w:val="24"/>
          <w:szCs w:val="24"/>
          <w:lang w:val="en-US" w:eastAsia="en-US" w:bidi="en-US"/>
        </w:rPr>
        <w:t>from louise_juul_fredbo-nielsen.</w:t>
      </w:r>
    </w:p>
  </w:comment>
  <w:comment w:id="56" w:author="Ioannis Maragos" w:date="2016-07-28T21:01:00Z" w:initials="IM">
    <w:p>
      <w:r>
        <w:rPr>
          <w:rFonts w:ascii="Liberation Serif" w:hAnsi="Liberation Serif" w:eastAsia="DejaVu Sans" w:cs="DejaVu Sans"/>
          <w:color w:val="auto"/>
          <w:sz w:val="24"/>
          <w:szCs w:val="24"/>
          <w:lang w:val="en-US" w:eastAsia="en-US" w:bidi="en-US"/>
        </w:rPr>
        <w:t>Interview guide.</w:t>
      </w:r>
    </w:p>
  </w:comment>
  <w:comment w:id="57" w:author="Ioannis Maragos" w:date="2016-07-28T21:01:00Z" w:initials="IM">
    <w:p>
      <w:r>
        <w:rPr>
          <w:rFonts w:ascii="Liberation Serif" w:hAnsi="Liberation Serif" w:eastAsia="DejaVu Sans" w:cs="DejaVu Sans"/>
          <w:color w:val="auto"/>
          <w:sz w:val="24"/>
          <w:szCs w:val="24"/>
          <w:lang w:val="en-US" w:eastAsia="en-US" w:bidi="en-US"/>
        </w:rPr>
        <w:t>Theory: ideas must be used with alacrity not to be wasted (Chesbrough, 2003)</w:t>
      </w:r>
    </w:p>
    <w:p>
      <w:r>
        <w:rPr>
          <w:rFonts w:ascii="Liberation Serif" w:hAnsi="Liberation Serif" w:eastAsia="DejaVu Sans" w:cs="DejaVu Sans"/>
          <w:color w:val="auto"/>
          <w:sz w:val="24"/>
          <w:szCs w:val="24"/>
          <w:lang w:val="en-US" w:eastAsia="en-US" w:bidi="en-US"/>
        </w:rPr>
      </w:r>
    </w:p>
    <w:p>
      <w:r>
        <w:rPr>
          <w:rFonts w:ascii="Liberation Serif" w:hAnsi="Liberation Serif" w:eastAsia="DejaVu Sans" w:cs="DejaVu Sans"/>
          <w:color w:val="auto"/>
          <w:sz w:val="24"/>
          <w:szCs w:val="24"/>
          <w:lang w:val="en-US" w:eastAsia="en-US" w:bidi="en-US"/>
        </w:rPr>
        <w:t xml:space="preserve"> not ideas go to alacrity/not ideas and knowledge be wasted</w:t>
      </w:r>
    </w:p>
  </w:comment>
  <w:comment w:id="58" w:author="Ioannis Maragos" w:date="2016-07-28T21:01:00Z" w:initials="IM">
    <w:p>
      <w:r>
        <w:rPr>
          <w:rFonts w:ascii="Liberation Serif" w:hAnsi="Liberation Serif" w:eastAsia="DejaVu Sans" w:cs="DejaVu Sans"/>
          <w:color w:val="auto"/>
          <w:sz w:val="24"/>
          <w:szCs w:val="24"/>
          <w:lang w:val="en-US" w:eastAsia="en-US" w:bidi="en-US"/>
        </w:rPr>
        <w:t xml:space="preserve">quotation from the interview. </w:t>
      </w:r>
    </w:p>
  </w:comment>
  <w:comment w:id="59" w:author="Ioannis Maragos" w:date="2016-07-28T21:01:00Z" w:initials="IM">
    <w:p>
      <w:r>
        <w:rPr>
          <w:rFonts w:ascii="Liberation Serif" w:hAnsi="Liberation Serif" w:eastAsia="DejaVu Sans" w:cs="DejaVu Sans"/>
          <w:color w:val="auto"/>
          <w:sz w:val="24"/>
          <w:szCs w:val="24"/>
          <w:lang w:val="en-US" w:eastAsia="en-US" w:bidi="en-US"/>
        </w:rPr>
        <w:t>Cite Wasen 2015 maybe</w:t>
      </w:r>
    </w:p>
  </w:comment>
  <w:comment w:id="60" w:author="Ioannis Maragos" w:date="2016-07-28T21:01:00Z" w:initials="IM">
    <w:p>
      <w:r>
        <w:rPr>
          <w:rFonts w:ascii="Liberation Serif" w:hAnsi="Liberation Serif" w:eastAsia="DejaVu Sans" w:cs="DejaVu Sans"/>
          <w:color w:val="auto"/>
          <w:sz w:val="24"/>
          <w:szCs w:val="24"/>
          <w:lang w:val="en-US" w:eastAsia="en-US" w:bidi="en-US"/>
        </w:rPr>
        <w:t>Citation from interview</w:t>
      </w:r>
    </w:p>
  </w:comment>
  <w:comment w:id="61" w:author="Ioannis Maragos" w:date="2016-07-28T21:01:00Z" w:initials="IM">
    <w:p>
      <w:r>
        <w:rPr>
          <w:rFonts w:ascii="Liberation Serif" w:hAnsi="Liberation Serif" w:eastAsia="DejaVu Sans" w:cs="DejaVu Sans"/>
          <w:color w:val="auto"/>
          <w:sz w:val="24"/>
          <w:szCs w:val="24"/>
          <w:lang w:val="en-US" w:eastAsia="en-US" w:bidi="en-US"/>
        </w:rPr>
        <w:t>Cite probably Wasen</w:t>
      </w:r>
    </w:p>
  </w:comment>
  <w:comment w:id="62" w:author="Ioannis Maragos" w:date="2016-07-28T21:01:00Z" w:initials="IM">
    <w:p>
      <w:r>
        <w:rPr>
          <w:rFonts w:ascii="Liberation Serif" w:hAnsi="Liberation Serif" w:eastAsia="DejaVu Sans" w:cs="DejaVu Sans"/>
          <w:color w:val="auto"/>
          <w:sz w:val="24"/>
          <w:szCs w:val="24"/>
          <w:lang w:val="en-US" w:eastAsia="en-US" w:bidi="en-US"/>
        </w:rPr>
        <w:t>Quote Anders 35.50</w:t>
      </w:r>
    </w:p>
  </w:comment>
  <w:comment w:id="63" w:author="Ioannis Maragos" w:date="2016-07-28T21:01:00Z" w:initials="IM">
    <w:p>
      <w:r>
        <w:rPr>
          <w:rFonts w:ascii="Liberation Serif" w:hAnsi="Liberation Serif" w:eastAsia="DejaVu Sans" w:cs="DejaVu Sans"/>
          <w:color w:val="auto"/>
          <w:sz w:val="24"/>
          <w:szCs w:val="24"/>
          <w:lang w:val="en-US" w:eastAsia="en-US" w:bidi="en-US"/>
        </w:rPr>
        <w:t>Quotation Anders.</w:t>
      </w:r>
    </w:p>
  </w:comment>
  <w:comment w:id="64" w:author="Ioannis Maragos" w:date="2016-08-19T16:43:00Z" w:initials="IM">
    <w:p>
      <w:r>
        <w:rPr>
          <w:rFonts w:ascii="Liberation Serif" w:hAnsi="Liberation Serif" w:eastAsia="DejaVu Sans" w:cs="DejaVu Sans"/>
          <w:color w:val="auto"/>
          <w:sz w:val="24"/>
          <w:szCs w:val="24"/>
          <w:lang w:val="en-US" w:eastAsia="en-US" w:bidi="en-US"/>
        </w:rPr>
        <w:t>cite</w:t>
      </w:r>
    </w:p>
  </w:comment>
  <w:comment w:id="65" w:author="Ioannis Maragos" w:date="2016-08-19T16:43:00Z" w:initials="IM">
    <w:p>
      <w:r>
        <w:rPr>
          <w:rFonts w:ascii="Liberation Serif" w:hAnsi="Liberation Serif" w:eastAsia="DejaVu Sans" w:cs="DejaVu Sans"/>
          <w:color w:val="auto"/>
          <w:sz w:val="24"/>
          <w:szCs w:val="24"/>
          <w:lang w:val="en-US" w:eastAsia="en-US" w:bidi="en-US"/>
        </w:rPr>
        <w:t>cite</w:t>
      </w:r>
    </w:p>
  </w:comment>
  <w:comment w:id="66" w:author="Ioannis Maragos" w:date="2016-08-19T16:43:00Z" w:initials="IM">
    <w:p>
      <w:r>
        <w:rPr>
          <w:rFonts w:ascii="Liberation Serif" w:hAnsi="Liberation Serif" w:eastAsia="DejaVu Sans" w:cs="DejaVu Sans"/>
          <w:color w:val="auto"/>
          <w:sz w:val="24"/>
          <w:szCs w:val="24"/>
          <w:lang w:val="en-US" w:eastAsia="en-US" w:bidi="en-US"/>
        </w:rPr>
        <w:t>cite Report on Growth and Competitiveness by the Danish ministry  of business and growth 2016,</w:t>
      </w:r>
    </w:p>
  </w:comment>
  <w:comment w:id="67" w:author="Ioannis Maragos" w:date="2016-08-04T09:52:00Z" w:initials="IM">
    <w:p>
      <w:r>
        <w:rPr>
          <w:rFonts w:ascii="Liberation Serif" w:hAnsi="Liberation Serif" w:eastAsia="DejaVu Sans" w:cs="DejaVu Sans"/>
          <w:color w:val="auto"/>
          <w:sz w:val="24"/>
          <w:szCs w:val="24"/>
          <w:lang w:val="en-US" w:eastAsia="en-US" w:bidi="en-US"/>
        </w:rPr>
        <w:t>related and supporting industries. DIAMOND</w:t>
      </w:r>
    </w:p>
  </w:comment>
  <w:comment w:id="68" w:author="Ioannis Maragos" w:date="2016-08-28T13:45:00Z" w:initials="IM">
    <w:p>
      <w:r>
        <w:rPr>
          <w:rFonts w:ascii="Liberation Serif" w:hAnsi="Liberation Serif" w:eastAsia="DejaVu Sans" w:cs="DejaVu Sans"/>
          <w:color w:val="auto"/>
          <w:sz w:val="24"/>
          <w:szCs w:val="24"/>
          <w:lang w:val="en-US" w:eastAsia="en-US" w:bidi="en-US"/>
        </w:rPr>
        <w:t>appendix where</w:t>
      </w:r>
    </w:p>
  </w:comment>
  <w:comment w:id="69" w:author="Ioannis Maragos" w:date="2016-08-20T22:55:00Z" w:initials="IM">
    <w:p>
      <w:r>
        <w:rPr>
          <w:rFonts w:ascii="Liberation Serif" w:hAnsi="Liberation Serif" w:eastAsia="DejaVu Sans" w:cs="DejaVu Sans"/>
          <w:color w:val="auto"/>
          <w:sz w:val="24"/>
          <w:szCs w:val="24"/>
          <w:lang w:val="en-US" w:eastAsia="en-US" w:bidi="en-US"/>
        </w:rPr>
        <w:t>also in Entrepreneurship</w:t>
      </w:r>
    </w:p>
  </w:comment>
  <w:comment w:id="70" w:author="Ioannis Maragos" w:date="2016-08-21T23:47:00Z" w:initials="IM">
    <w:p>
      <w:r>
        <w:rPr>
          <w:rFonts w:ascii="Liberation Serif" w:hAnsi="Liberation Serif" w:eastAsia="DejaVu Sans" w:cs="DejaVu Sans"/>
          <w:color w:val="auto"/>
          <w:sz w:val="24"/>
          <w:szCs w:val="24"/>
          <w:lang w:val="en-US" w:eastAsia="en-US" w:bidi="en-US"/>
        </w:rPr>
        <w:t>search quote.interviews.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tab/>
    </w:r>
    <w:r>
      <w:rPr/>
      <w:fldChar w:fldCharType="begin"/>
    </w:r>
    <w:r>
      <w:instrText> PAGE </w:instrText>
    </w:r>
    <w:r>
      <w:fldChar w:fldCharType="separate"/>
    </w:r>
    <w:r>
      <w:t>v</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 w:asciiTheme="minorHAnsi" w:cstheme="minorBidi" w:eastAsiaTheme="minorHAnsi" w:hAnsiTheme="minorHAnsi"/>
        <w:szCs w:val="22"/>
        <w:lang w:val="el-G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e3466"/>
    <w:pPr>
      <w:widowControl/>
      <w:bidi w:val="0"/>
      <w:spacing w:lineRule="auto" w:line="276" w:before="0" w:after="200"/>
      <w:jc w:val="both"/>
    </w:pPr>
    <w:rPr>
      <w:rFonts w:ascii="Times New Roman" w:hAnsi="Times New Roman" w:eastAsia="Times New Roman" w:cs="" w:asciiTheme="minorHAnsi" w:cstheme="minorBidi" w:eastAsiaTheme="minorHAnsi" w:hAnsiTheme="minorHAnsi"/>
      <w:color w:val="00000A"/>
      <w:sz w:val="22"/>
      <w:szCs w:val="22"/>
      <w:lang w:val="el-GR" w:eastAsia="en-US" w:bidi="ar-SA"/>
    </w:rPr>
  </w:style>
  <w:style w:type="paragraph" w:styleId="Heading1">
    <w:name w:val="Heading 1"/>
    <w:basedOn w:val="Normal"/>
    <w:link w:val="1Char"/>
    <w:uiPriority w:val="9"/>
    <w:qFormat/>
    <w:rsid w:val="003f6e8f"/>
    <w:pPr>
      <w:keepNext/>
      <w:keepLines/>
      <w:spacing w:before="480" w:after="0"/>
      <w:outlineLvl w:val="0"/>
    </w:pPr>
    <w:rPr>
      <w:rFonts w:ascii="Times New Roman" w:hAnsi="Times New Roman" w:eastAsia="" w:cs="" w:cstheme="majorBidi" w:eastAsiaTheme="majorEastAsia"/>
      <w:b/>
      <w:bCs/>
      <w:color w:val="000000" w:themeColor="accent1" w:themeShade="bf"/>
      <w:sz w:val="28"/>
      <w:szCs w:val="28"/>
    </w:rPr>
  </w:style>
  <w:style w:type="paragraph" w:styleId="Heading2">
    <w:name w:val="Heading 2"/>
    <w:basedOn w:val="Normal"/>
    <w:link w:val="2Char"/>
    <w:uiPriority w:val="9"/>
    <w:unhideWhenUsed/>
    <w:qFormat/>
    <w:rsid w:val="00630974"/>
    <w:pPr>
      <w:keepNext/>
      <w:keepLines/>
      <w:spacing w:before="200" w:after="0"/>
      <w:outlineLvl w:val="1"/>
    </w:pPr>
    <w:rPr>
      <w:rFonts w:ascii="Arial" w:hAnsi="Arial" w:eastAsia="" w:cs="" w:asciiTheme="majorHAnsi" w:cstheme="majorBidi" w:eastAsiaTheme="majorEastAsia" w:hAnsiTheme="majorHAnsi"/>
      <w:b/>
      <w:bCs/>
      <w:color w:val="000000" w:themeColor="accent1"/>
      <w:sz w:val="26"/>
      <w:szCs w:val="26"/>
    </w:rPr>
  </w:style>
  <w:style w:type="paragraph" w:styleId="Heading3">
    <w:name w:val="Heading 3"/>
    <w:basedOn w:val="Normal"/>
    <w:link w:val="3Char"/>
    <w:uiPriority w:val="9"/>
    <w:unhideWhenUsed/>
    <w:qFormat/>
    <w:rsid w:val="00630974"/>
    <w:pPr>
      <w:keepNext/>
      <w:keepLines/>
      <w:spacing w:before="200" w:after="0"/>
      <w:outlineLvl w:val="2"/>
    </w:pPr>
    <w:rPr>
      <w:rFonts w:ascii="Arial" w:hAnsi="Arial" w:eastAsia="" w:cs="" w:asciiTheme="majorHAnsi" w:cstheme="majorBidi" w:eastAsiaTheme="majorEastAsia" w:hAnsiTheme="majorHAnsi"/>
      <w:b/>
      <w:bCs/>
      <w:color w:val="000000" w:themeColor="accent1"/>
    </w:rPr>
  </w:style>
  <w:style w:type="paragraph" w:styleId="Heading4">
    <w:name w:val="Heading 4"/>
    <w:basedOn w:val="Normal"/>
    <w:link w:val="4Char"/>
    <w:uiPriority w:val="9"/>
    <w:unhideWhenUsed/>
    <w:qFormat/>
    <w:rsid w:val="00630974"/>
    <w:pPr>
      <w:keepNext/>
      <w:keepLines/>
      <w:spacing w:before="200" w:after="0"/>
      <w:outlineLvl w:val="3"/>
    </w:pPr>
    <w:rPr>
      <w:rFonts w:ascii="Arial" w:hAnsi="Arial" w:eastAsia="" w:cs="" w:asciiTheme="majorHAnsi" w:cstheme="majorBidi" w:eastAsiaTheme="majorEastAsia" w:hAnsiTheme="majorHAnsi"/>
      <w:b/>
      <w:bCs/>
      <w:i/>
      <w:iCs/>
      <w:color w:val="000000" w:themeColor="accent1"/>
    </w:rPr>
  </w:style>
  <w:style w:type="character" w:styleId="DefaultParagraphFont" w:default="1">
    <w:name w:val="Default Paragraph Font"/>
    <w:uiPriority w:val="1"/>
    <w:semiHidden/>
    <w:unhideWhenUsed/>
    <w:qFormat/>
    <w:rPr/>
  </w:style>
  <w:style w:type="character" w:styleId="Char" w:customStyle="1">
    <w:name w:val="Κείμενο πλαισίου Char"/>
    <w:basedOn w:val="DefaultParagraphFont"/>
    <w:link w:val="a3"/>
    <w:uiPriority w:val="99"/>
    <w:semiHidden/>
    <w:qFormat/>
    <w:rsid w:val="000f19b5"/>
    <w:rPr>
      <w:rFonts w:ascii="Tahoma" w:hAnsi="Tahoma" w:cs="Tahoma"/>
      <w:sz w:val="16"/>
      <w:szCs w:val="16"/>
    </w:rPr>
  </w:style>
  <w:style w:type="character" w:styleId="Char1" w:customStyle="1">
    <w:name w:val="Κεφαλίδα Char"/>
    <w:basedOn w:val="DefaultParagraphFont"/>
    <w:link w:val="a4"/>
    <w:uiPriority w:val="99"/>
    <w:qFormat/>
    <w:rsid w:val="00390674"/>
    <w:rPr/>
  </w:style>
  <w:style w:type="character" w:styleId="Char2" w:customStyle="1">
    <w:name w:val="Υποσέλιδο Char"/>
    <w:basedOn w:val="DefaultParagraphFont"/>
    <w:link w:val="a5"/>
    <w:uiPriority w:val="99"/>
    <w:qFormat/>
    <w:rsid w:val="00390674"/>
    <w:rPr/>
  </w:style>
  <w:style w:type="character" w:styleId="1Char" w:customStyle="1">
    <w:name w:val="Επικεφαλίδα 1 Char"/>
    <w:basedOn w:val="DefaultParagraphFont"/>
    <w:link w:val="1"/>
    <w:uiPriority w:val="9"/>
    <w:qFormat/>
    <w:rsid w:val="003f6e8f"/>
    <w:rPr>
      <w:rFonts w:ascii="Times New Roman" w:hAnsi="Times New Roman" w:eastAsia="" w:cs="" w:cstheme="majorBidi" w:eastAsiaTheme="majorEastAsia"/>
      <w:b/>
      <w:bCs/>
      <w:color w:val="000000" w:themeColor="accent1" w:themeShade="bf"/>
      <w:sz w:val="28"/>
      <w:szCs w:val="28"/>
    </w:rPr>
  </w:style>
  <w:style w:type="character" w:styleId="InternetLink">
    <w:name w:val="Internet Link"/>
    <w:basedOn w:val="DefaultParagraphFont"/>
    <w:uiPriority w:val="99"/>
    <w:unhideWhenUsed/>
    <w:rsid w:val="00126eb2"/>
    <w:rPr>
      <w:color w:val="000000" w:themeColor="hyperlink"/>
      <w:u w:val="single"/>
    </w:rPr>
  </w:style>
  <w:style w:type="character" w:styleId="2Char" w:customStyle="1">
    <w:name w:val="Επικεφαλίδα 2 Char"/>
    <w:basedOn w:val="DefaultParagraphFont"/>
    <w:link w:val="2"/>
    <w:uiPriority w:val="9"/>
    <w:qFormat/>
    <w:rsid w:val="00630974"/>
    <w:rPr>
      <w:rFonts w:ascii="Arial" w:hAnsi="Arial" w:eastAsia="" w:cs="" w:asciiTheme="majorHAnsi" w:cstheme="majorBidi" w:eastAsiaTheme="majorEastAsia" w:hAnsiTheme="majorHAnsi"/>
      <w:b/>
      <w:bCs/>
      <w:color w:val="000000" w:themeColor="accent1"/>
      <w:sz w:val="26"/>
      <w:szCs w:val="26"/>
    </w:rPr>
  </w:style>
  <w:style w:type="character" w:styleId="3Char" w:customStyle="1">
    <w:name w:val="Επικεφαλίδα 3 Char"/>
    <w:basedOn w:val="DefaultParagraphFont"/>
    <w:link w:val="3"/>
    <w:uiPriority w:val="9"/>
    <w:qFormat/>
    <w:rsid w:val="00630974"/>
    <w:rPr>
      <w:rFonts w:ascii="Arial" w:hAnsi="Arial" w:eastAsia="" w:cs="" w:asciiTheme="majorHAnsi" w:cstheme="majorBidi" w:eastAsiaTheme="majorEastAsia" w:hAnsiTheme="majorHAnsi"/>
      <w:b/>
      <w:bCs/>
      <w:color w:val="000000" w:themeColor="accent1"/>
    </w:rPr>
  </w:style>
  <w:style w:type="character" w:styleId="4Char" w:customStyle="1">
    <w:name w:val="Επικεφαλίδα 4 Char"/>
    <w:basedOn w:val="DefaultParagraphFont"/>
    <w:link w:val="4"/>
    <w:uiPriority w:val="9"/>
    <w:qFormat/>
    <w:rsid w:val="00630974"/>
    <w:rPr>
      <w:rFonts w:ascii="Arial" w:hAnsi="Arial" w:eastAsia="" w:cs="" w:asciiTheme="majorHAnsi" w:cstheme="majorBidi" w:eastAsiaTheme="majorEastAsia" w:hAnsiTheme="majorHAnsi"/>
      <w:b/>
      <w:bCs/>
      <w:i/>
      <w:iCs/>
      <w:color w:val="000000" w:themeColor="accent1"/>
    </w:rPr>
  </w:style>
  <w:style w:type="character" w:styleId="Annotationreference">
    <w:name w:val="annotation reference"/>
    <w:basedOn w:val="DefaultParagraphFont"/>
    <w:uiPriority w:val="99"/>
    <w:semiHidden/>
    <w:unhideWhenUsed/>
    <w:qFormat/>
    <w:rsid w:val="00d62982"/>
    <w:rPr>
      <w:sz w:val="16"/>
      <w:szCs w:val="16"/>
    </w:rPr>
  </w:style>
  <w:style w:type="character" w:styleId="Char3" w:customStyle="1">
    <w:name w:val="Κείμενο σχολίου Char"/>
    <w:basedOn w:val="DefaultParagraphFont"/>
    <w:link w:val="ab"/>
    <w:uiPriority w:val="99"/>
    <w:semiHidden/>
    <w:qFormat/>
    <w:rsid w:val="00d62982"/>
    <w:rPr>
      <w:sz w:val="20"/>
      <w:szCs w:val="20"/>
    </w:rPr>
  </w:style>
  <w:style w:type="character" w:styleId="Char4" w:customStyle="1">
    <w:name w:val="Θέμα σχολίου Char"/>
    <w:basedOn w:val="Char3"/>
    <w:link w:val="ac"/>
    <w:uiPriority w:val="99"/>
    <w:semiHidden/>
    <w:qFormat/>
    <w:rsid w:val="00d62982"/>
    <w:rPr>
      <w:b/>
      <w:bCs/>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IndexLink">
    <w:name w:val="Index Link"/>
    <w:qFormat/>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Times New Roman" w:hAnsi="Times New Roman"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ascii="Calibri" w:hAnsi="Calibri"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ascii="Calibri" w:hAnsi="Calibri"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ascii="Calibri" w:hAnsi="Calibri"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customStyle="1">
    <w:name w:val="Default"/>
    <w:qFormat/>
    <w:rsid w:val="000f19b5"/>
    <w:pPr>
      <w:widowControl/>
      <w:bidi w:val="0"/>
      <w:spacing w:lineRule="auto" w:line="240" w:before="0" w:after="0"/>
      <w:jc w:val="left"/>
    </w:pPr>
    <w:rPr>
      <w:rFonts w:ascii="Calibri" w:hAnsi="Calibri" w:eastAsia="Times New Roman" w:cs="Calibri"/>
      <w:color w:val="000000"/>
      <w:sz w:val="24"/>
      <w:szCs w:val="24"/>
      <w:lang w:val="el-GR" w:eastAsia="en-US" w:bidi="ar-SA"/>
    </w:rPr>
  </w:style>
  <w:style w:type="paragraph" w:styleId="BalloonText">
    <w:name w:val="Balloon Text"/>
    <w:basedOn w:val="Normal"/>
    <w:link w:val="Char"/>
    <w:uiPriority w:val="99"/>
    <w:semiHidden/>
    <w:unhideWhenUsed/>
    <w:qFormat/>
    <w:rsid w:val="000f19b5"/>
    <w:pPr>
      <w:spacing w:lineRule="auto" w:line="240" w:before="0" w:after="0"/>
    </w:pPr>
    <w:rPr>
      <w:rFonts w:ascii="Tahoma" w:hAnsi="Tahoma" w:cs="Tahoma"/>
      <w:sz w:val="16"/>
      <w:szCs w:val="16"/>
    </w:rPr>
  </w:style>
  <w:style w:type="paragraph" w:styleId="Header">
    <w:name w:val="Header"/>
    <w:basedOn w:val="Normal"/>
    <w:link w:val="Char0"/>
    <w:uiPriority w:val="99"/>
    <w:unhideWhenUsed/>
    <w:rsid w:val="00390674"/>
    <w:pPr>
      <w:tabs>
        <w:tab w:val="center" w:pos="4153" w:leader="none"/>
        <w:tab w:val="right" w:pos="8306" w:leader="none"/>
      </w:tabs>
      <w:spacing w:lineRule="auto" w:line="240" w:before="0" w:after="0"/>
    </w:pPr>
    <w:rPr/>
  </w:style>
  <w:style w:type="paragraph" w:styleId="Footer">
    <w:name w:val="Footer"/>
    <w:basedOn w:val="Normal"/>
    <w:link w:val="Char1"/>
    <w:uiPriority w:val="99"/>
    <w:unhideWhenUsed/>
    <w:rsid w:val="00390674"/>
    <w:pPr>
      <w:tabs>
        <w:tab w:val="center" w:pos="4153" w:leader="none"/>
        <w:tab w:val="right" w:pos="8306" w:leader="none"/>
      </w:tabs>
      <w:spacing w:lineRule="auto" w:line="240" w:before="0" w:after="0"/>
    </w:pPr>
    <w:rPr/>
  </w:style>
  <w:style w:type="paragraph" w:styleId="TOCHeading">
    <w:name w:val="TOC Heading"/>
    <w:basedOn w:val="Heading1"/>
    <w:uiPriority w:val="39"/>
    <w:unhideWhenUsed/>
    <w:qFormat/>
    <w:rsid w:val="00dc2201"/>
    <w:pPr/>
    <w:rPr>
      <w:lang w:eastAsia="el-GR"/>
    </w:rPr>
  </w:style>
  <w:style w:type="paragraph" w:styleId="Contents1">
    <w:name w:val="TOC 1"/>
    <w:basedOn w:val="Normal"/>
    <w:autoRedefine/>
    <w:uiPriority w:val="39"/>
    <w:unhideWhenUsed/>
    <w:rsid w:val="0058670a"/>
    <w:pPr>
      <w:tabs>
        <w:tab w:val="right" w:pos="8302" w:leader="dot"/>
      </w:tabs>
      <w:spacing w:before="0" w:after="100"/>
    </w:pPr>
    <w:rPr/>
  </w:style>
  <w:style w:type="paragraph" w:styleId="ListParagraph">
    <w:name w:val="List Paragraph"/>
    <w:basedOn w:val="Normal"/>
    <w:uiPriority w:val="34"/>
    <w:qFormat/>
    <w:rsid w:val="0058670a"/>
    <w:pPr>
      <w:spacing w:before="0" w:after="200"/>
      <w:ind w:left="720" w:hanging="0"/>
      <w:contextualSpacing/>
    </w:pPr>
    <w:rPr/>
  </w:style>
  <w:style w:type="paragraph" w:styleId="NoSpacing">
    <w:name w:val="No Spacing"/>
    <w:uiPriority w:val="1"/>
    <w:qFormat/>
    <w:rsid w:val="0012600d"/>
    <w:pPr>
      <w:widowControl/>
      <w:bidi w:val="0"/>
      <w:spacing w:lineRule="auto" w:line="240" w:before="0" w:after="0"/>
      <w:jc w:val="left"/>
    </w:pPr>
    <w:rPr>
      <w:rFonts w:ascii="Times New Roman" w:hAnsi="Times New Roman" w:eastAsia="Times New Roman" w:cs="" w:asciiTheme="minorHAnsi" w:cstheme="minorBidi" w:eastAsiaTheme="minorHAnsi" w:hAnsiTheme="minorHAnsi"/>
      <w:color w:val="00000A"/>
      <w:sz w:val="22"/>
      <w:szCs w:val="22"/>
      <w:lang w:val="el-GR" w:eastAsia="en-US" w:bidi="ar-SA"/>
    </w:rPr>
  </w:style>
  <w:style w:type="paragraph" w:styleId="Bibliography">
    <w:name w:val="Bibliography"/>
    <w:basedOn w:val="Normal"/>
    <w:uiPriority w:val="37"/>
    <w:unhideWhenUsed/>
    <w:qFormat/>
    <w:rsid w:val="00286eb3"/>
    <w:pPr>
      <w:spacing w:lineRule="auto" w:line="480" w:before="0" w:after="0"/>
      <w:ind w:left="720" w:hanging="720"/>
    </w:pPr>
    <w:rPr/>
  </w:style>
  <w:style w:type="paragraph" w:styleId="Contents2">
    <w:name w:val="TOC 2"/>
    <w:basedOn w:val="Normal"/>
    <w:autoRedefine/>
    <w:uiPriority w:val="39"/>
    <w:unhideWhenUsed/>
    <w:rsid w:val="00a24fd5"/>
    <w:pPr>
      <w:spacing w:before="0" w:after="100"/>
      <w:ind w:left="220" w:hanging="0"/>
    </w:pPr>
    <w:rPr/>
  </w:style>
  <w:style w:type="paragraph" w:styleId="Contents3">
    <w:name w:val="TOC 3"/>
    <w:basedOn w:val="Normal"/>
    <w:autoRedefine/>
    <w:uiPriority w:val="39"/>
    <w:unhideWhenUsed/>
    <w:rsid w:val="00a24fd5"/>
    <w:pPr>
      <w:spacing w:before="0" w:after="100"/>
      <w:ind w:left="440" w:hanging="0"/>
    </w:pPr>
    <w:rPr/>
  </w:style>
  <w:style w:type="paragraph" w:styleId="Annotationtext">
    <w:name w:val="annotation text"/>
    <w:basedOn w:val="Normal"/>
    <w:link w:val="Char2"/>
    <w:uiPriority w:val="99"/>
    <w:semiHidden/>
    <w:unhideWhenUsed/>
    <w:qFormat/>
    <w:rsid w:val="00d62982"/>
    <w:pPr>
      <w:spacing w:lineRule="auto" w:line="240"/>
    </w:pPr>
    <w:rPr>
      <w:sz w:val="20"/>
      <w:szCs w:val="20"/>
    </w:rPr>
  </w:style>
  <w:style w:type="paragraph" w:styleId="Annotationsubject">
    <w:name w:val="annotation subject"/>
    <w:basedOn w:val="Annotationtext"/>
    <w:link w:val="Char3"/>
    <w:uiPriority w:val="99"/>
    <w:semiHidden/>
    <w:unhideWhenUsed/>
    <w:qFormat/>
    <w:rsid w:val="00d62982"/>
    <w:pPr/>
    <w:rPr>
      <w:b/>
      <w:bCs/>
    </w:rPr>
  </w:style>
  <w:style w:type="paragraph" w:styleId="Caption1">
    <w:name w:val="caption"/>
    <w:basedOn w:val="Normal"/>
    <w:uiPriority w:val="35"/>
    <w:unhideWhenUsed/>
    <w:qFormat/>
    <w:rsid w:val="00846239"/>
    <w:pPr>
      <w:spacing w:lineRule="auto" w:line="240"/>
    </w:pPr>
    <w:rPr>
      <w:b/>
      <w:bCs/>
      <w:color w:val="000000" w:themeColor="accent1"/>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 w:customStyle="1">
    <w:name w:val="Χωρίς λίστα1"/>
    <w:uiPriority w:val="99"/>
    <w:semiHidden/>
    <w:unhideWhenUsed/>
    <w:qFormat/>
    <w:rsid w:val="004c4778"/>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11">
    <w:name w:val="Ανοιχτόχρωμη σκίαση - Έμφαση 11"/>
    <w:basedOn w:val="a1"/>
    <w:uiPriority w:val="60"/>
    <w:rsid w:val="00d229d4"/>
    <w:pPr>
      <w:spacing w:after="0" w:line="240" w:lineRule="auto"/>
    </w:pPr>
    <w:rPr>
      <w:color w:val="365F91"/>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color="000000" w:themeColor="accent1" w:sz="8" w:space="0"/>
        <w:bottom w:val="single" w:color="000000" w:themeColor="accent1" w:sz="8" w:space="0"/>
      </w:tblBorders>
    </w:tblPr>
    <w:tblStylePr w:type="firstRow">
      <w:pPr>
        <w:spacing w:before="0" w:after="0" w:line="240" w:lineRule="auto"/>
      </w:pPr>
      <w:rPr>
        <w:b/>
        <w:bCs/>
      </w:rPr>
      <w:tblPr/>
      <w:tcPr>
        <w:tcBorders>
          <w:top w:val="single" w:color="000000" w:themeColor="accent1" w:sz="8" w:space="0"/>
          <w:left w:val="nil"/>
          <w:bottom w:val="single" w:color="000000" w:themeColor="accent1" w:sz="8" w:space="0"/>
          <w:right w:val="nil"/>
          <w:insideH w:val="nil"/>
          <w:insideV w:val="nil"/>
        </w:tcBorders>
      </w:tcPr>
    </w:tblStylePr>
    <w:tblStylePr w:type="lastRow">
      <w:pPr>
        <w:spacing w:before="0" w:after="0" w:line="240" w:lineRule="auto"/>
      </w:pPr>
      <w:rPr>
        <w:b/>
        <w:bCs/>
      </w:rPr>
      <w:tblPr/>
      <w:tcPr>
        <w:tcBorders>
          <w:top w:val="single" w:color="000000" w:themeColor="accent1" w:sz="8" w:space="0"/>
          <w:left w:val="nil"/>
          <w:bottom w:val="single" w:color="000000"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diagramData" Target="diagrams/data2.xml"/><Relationship Id="rId4" Type="http://schemas.openxmlformats.org/officeDocument/2006/relationships/diagramLayout" Target="diagrams/layout2.xml"/><Relationship Id="rId5" Type="http://schemas.openxmlformats.org/officeDocument/2006/relationships/diagramQuickStyle" Target="diagrams/quickStyle2.xml"/><Relationship Id="rId6" Type="http://schemas.openxmlformats.org/officeDocument/2006/relationships/diagramColors" Target="diagrams/colors2.xml"/><Relationship Id="rId7" Type="http://schemas.microsoft.com/office/2007/relationships/diagramDrawing" Target="diagrams/drawing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wmf"/><Relationship Id="rId11" Type="http://schemas.openxmlformats.org/officeDocument/2006/relationships/image" Target="media/image5.png"/><Relationship Id="rId12" Type="http://schemas.openxmlformats.org/officeDocument/2006/relationships/diagramData" Target="diagrams/data7.xml"/><Relationship Id="rId13" Type="http://schemas.openxmlformats.org/officeDocument/2006/relationships/diagramLayout" Target="diagrams/layout7.xml"/><Relationship Id="rId14" Type="http://schemas.openxmlformats.org/officeDocument/2006/relationships/diagramQuickStyle" Target="diagrams/quickStyle7.xml"/><Relationship Id="rId15" Type="http://schemas.openxmlformats.org/officeDocument/2006/relationships/diagramColors" Target="diagrams/colors7.xml"/><Relationship Id="rId16" Type="http://schemas.microsoft.com/office/2007/relationships/diagramDrawing" Target="diagrams/drawing7.xml"/><Relationship Id="rId17" Type="http://schemas.openxmlformats.org/officeDocument/2006/relationships/image" Target="media/image6.png"/><Relationship Id="rId18" Type="http://schemas.openxmlformats.org/officeDocument/2006/relationships/diagramData" Target="diagrams/data9.xml"/><Relationship Id="rId19" Type="http://schemas.openxmlformats.org/officeDocument/2006/relationships/diagramLayout" Target="diagrams/layout9.xml"/><Relationship Id="rId20" Type="http://schemas.openxmlformats.org/officeDocument/2006/relationships/diagramQuickStyle" Target="diagrams/quickStyle9.xml"/><Relationship Id="rId21" Type="http://schemas.openxmlformats.org/officeDocument/2006/relationships/diagramColors" Target="diagrams/colors9.xml"/><Relationship Id="rId22" Type="http://schemas.microsoft.com/office/2007/relationships/diagramDrawing" Target="diagrams/drawing9.xml"/><Relationship Id="rId23" Type="http://schemas.openxmlformats.org/officeDocument/2006/relationships/diagramData" Target="diagrams/data10.xml"/><Relationship Id="rId24" Type="http://schemas.openxmlformats.org/officeDocument/2006/relationships/diagramLayout" Target="diagrams/layout10.xml"/><Relationship Id="rId25" Type="http://schemas.openxmlformats.org/officeDocument/2006/relationships/diagramQuickStyle" Target="diagrams/quickStyle10.xml"/><Relationship Id="rId26" Type="http://schemas.openxmlformats.org/officeDocument/2006/relationships/diagramColors" Target="diagrams/colors10.xml"/><Relationship Id="rId27" Type="http://schemas.microsoft.com/office/2007/relationships/diagramDrawing" Target="diagrams/drawing10.xml"/><Relationship Id="rId28" Type="http://schemas.openxmlformats.org/officeDocument/2006/relationships/diagramData" Target="diagrams/data25.xml"/><Relationship Id="rId29" Type="http://schemas.openxmlformats.org/officeDocument/2006/relationships/diagramLayout" Target="diagrams/layout25.xml"/><Relationship Id="rId30" Type="http://schemas.openxmlformats.org/officeDocument/2006/relationships/diagramQuickStyle" Target="diagrams/quickStyle25.xml"/><Relationship Id="rId31" Type="http://schemas.openxmlformats.org/officeDocument/2006/relationships/diagramColors" Target="diagrams/colors25.xml"/><Relationship Id="rId32" Type="http://schemas.microsoft.com/office/2007/relationships/diagramDrawing" Target="diagrams/drawing25.xml"/><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footer" Target="footer1.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0.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D85C9C8A-C4FB-4DE6-9C38-9E59E7DA88B6}" type="presOf" srcId="{55939C92-7CCE-4884-8B1A-90829385D281}" destId="{258D05C1-F876-450E-9AE5-71BB42EAA16F}"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3B6BD2DD-855E-41AF-BD86-CD3BD65935E2}" type="presOf" srcId="{3767F861-3671-4CF0-A4F2-89B146305B2F}" destId="{698AF8C2-C7AA-4AAB-8011-9275851D2B03}" srcOrd="0" destOrd="0" presId="urn:microsoft.com/office/officeart/2005/8/layout/venn1"/>
    <dgm:cxn modelId="{FBB8FAA7-1972-4CFB-91C3-770F9D35A671}" type="presOf" srcId="{DB1B5909-9C44-4E29-91B2-9F99B6D1CAFA}" destId="{463078C9-8344-4985-82C6-A9330FFFC45D}" srcOrd="1" destOrd="0" presId="urn:microsoft.com/office/officeart/2005/8/layout/venn1"/>
    <dgm:cxn modelId="{E907897C-B32C-4FEF-95FD-2CC88FA259BD}" type="presOf" srcId="{5A23E89D-1057-481A-98D8-CCF6D8440463}" destId="{AFEA496C-3960-4888-AFD5-D5AD062471AE}" srcOrd="0" destOrd="0" presId="urn:microsoft.com/office/officeart/2005/8/layout/venn1"/>
    <dgm:cxn modelId="{E67CF748-B843-4821-85F7-7409C42C271E}" type="presOf" srcId="{5A23E89D-1057-481A-98D8-CCF6D8440463}" destId="{6598BF88-833E-4B2F-B78A-734626308BCF}" srcOrd="1" destOrd="0" presId="urn:microsoft.com/office/officeart/2005/8/layout/venn1"/>
    <dgm:cxn modelId="{4E1A697E-8783-486D-8E5A-372C3AEFA044}"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2EBA1F5D-3975-4BA1-BB25-2DEF8AD051E5}" type="presOf" srcId="{DB1B5909-9C44-4E29-91B2-9F99B6D1CAFA}" destId="{432BA79E-F7C1-42A4-89FE-EDB06BE8A519}" srcOrd="0" destOrd="0" presId="urn:microsoft.com/office/officeart/2005/8/layout/venn1"/>
    <dgm:cxn modelId="{D6D20D34-19A5-4695-BCFD-B87FE4A88C24}" type="presParOf" srcId="{698AF8C2-C7AA-4AAB-8011-9275851D2B03}" destId="{432BA79E-F7C1-42A4-89FE-EDB06BE8A519}" srcOrd="0" destOrd="0" presId="urn:microsoft.com/office/officeart/2005/8/layout/venn1"/>
    <dgm:cxn modelId="{9269C682-346F-4211-A08D-507EC3AAEEAC}" type="presParOf" srcId="{698AF8C2-C7AA-4AAB-8011-9275851D2B03}" destId="{463078C9-8344-4985-82C6-A9330FFFC45D}" srcOrd="1" destOrd="0" presId="urn:microsoft.com/office/officeart/2005/8/layout/venn1"/>
    <dgm:cxn modelId="{FDA45A66-6DBC-44AC-AACA-BC767B36A507}" type="presParOf" srcId="{698AF8C2-C7AA-4AAB-8011-9275851D2B03}" destId="{AFEA496C-3960-4888-AFD5-D5AD062471AE}" srcOrd="2" destOrd="0" presId="urn:microsoft.com/office/officeart/2005/8/layout/venn1"/>
    <dgm:cxn modelId="{A4672ECA-CB79-4E11-8C44-31F5EBF17A72}" type="presParOf" srcId="{698AF8C2-C7AA-4AAB-8011-9275851D2B03}" destId="{6598BF88-833E-4B2F-B78A-734626308BCF}" srcOrd="3" destOrd="0" presId="urn:microsoft.com/office/officeart/2005/8/layout/venn1"/>
    <dgm:cxn modelId="{267A1BDE-EB1D-454D-9179-24ECC6936C2F}" type="presParOf" srcId="{698AF8C2-C7AA-4AAB-8011-9275851D2B03}" destId="{11CE28AD-9FC1-4B64-ADE9-3B56FE25BEA0}" srcOrd="4" destOrd="0" presId="urn:microsoft.com/office/officeart/2005/8/layout/venn1"/>
    <dgm:cxn modelId="{09B9A93B-ED17-45D3-B802-46E4604826A8}"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799D5353-DCD9-4A77-A49C-67542AD04A28}" type="presOf" srcId="{30899E34-B9C1-46CA-A757-ABF2F00E451D}" destId="{5B624BEE-EE6E-411E-9065-5BAF6FAAC7F9}" srcOrd="0" destOrd="0" presId="urn:microsoft.com/office/officeart/2005/8/layout/bProcess2"/>
    <dgm:cxn modelId="{26F37961-2918-4455-B800-0D44746C9198}" type="presOf" srcId="{C3EA8848-C1E1-472F-A848-34EEEEFF5E41}" destId="{51B275CB-56C7-471B-9EB4-BC589C3B4149}" srcOrd="0" destOrd="0" presId="urn:microsoft.com/office/officeart/2005/8/layout/bProcess2"/>
    <dgm:cxn modelId="{3EFA67E1-10F5-4757-B536-02324E83D6D8}" type="presOf" srcId="{1A4AA2AB-824C-4C59-A96D-8497AC5BF45B}" destId="{AED5D6B9-0AE8-4EA9-BB9A-05B1C31CC643}" srcOrd="0" destOrd="0" presId="urn:microsoft.com/office/officeart/2005/8/layout/bProcess2"/>
    <dgm:cxn modelId="{0F66FB15-B23A-4E5C-B78A-EEC2C96C5A02}"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8DE67F31-DBBC-4C1B-8CAC-5B39C8B5F437}" type="presOf" srcId="{65DC901F-BAC7-479B-BE61-E6062F87CD89}" destId="{24D25EFD-202C-4845-9552-5404649C8A9B}" srcOrd="0" destOrd="0" presId="urn:microsoft.com/office/officeart/2005/8/layout/bProcess2"/>
    <dgm:cxn modelId="{48C0D524-9F85-421E-8D5A-3C12C7811424}" type="presOf" srcId="{C8B6F481-2103-4AE8-9521-97175B62E715}" destId="{BEE78810-B521-4DF2-8D49-60AED509E2D5}" srcOrd="0" destOrd="0" presId="urn:microsoft.com/office/officeart/2005/8/layout/bProcess2"/>
    <dgm:cxn modelId="{B61DEFD0-9DF3-4911-BF5A-D21D77E908AF}" type="presOf" srcId="{01B762DF-11C5-432B-B0DF-3F7E3D658DA8}" destId="{3EE8F8E4-CFA0-42EE-9AFB-EECC3268309E}" srcOrd="0" destOrd="0" presId="urn:microsoft.com/office/officeart/2005/8/layout/bProcess2"/>
    <dgm:cxn modelId="{DFB0922C-5C19-413C-9420-D7CDA9FF3012}" type="presOf" srcId="{94830F21-92A5-45EC-84ED-8C48A654B720}" destId="{1C9834A2-2EDC-4144-836A-35FB0F8F1D4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3BC85F62-F15F-4DCB-83A6-05AAF57B5CF2}" type="presOf" srcId="{60435F55-F6B0-424A-994F-551FE42A4359}" destId="{8A2327D9-A09D-4DDA-8C18-8D15DF1210A2}" srcOrd="0" destOrd="0" presId="urn:microsoft.com/office/officeart/2005/8/layout/bProcess2"/>
    <dgm:cxn modelId="{07C0C32B-5DD5-4BA2-BE23-03FC8496DCF5}" type="presOf" srcId="{436D10E4-8BD7-49D2-88A9-BFE056D016DF}" destId="{150D0F23-FCB9-48B6-9942-8CF6513449EF}" srcOrd="0" destOrd="0" presId="urn:microsoft.com/office/officeart/2005/8/layout/bProcess2"/>
    <dgm:cxn modelId="{4F5B2D4A-12DF-4D6D-AE61-C761288EBE16}" type="presOf" srcId="{E958B1FF-93CB-4EB4-BC12-EB36C0D15451}" destId="{26F6F24D-3361-479E-B1EA-49488A1E395C}" srcOrd="0" destOrd="0" presId="urn:microsoft.com/office/officeart/2005/8/layout/bProcess2"/>
    <dgm:cxn modelId="{48922E0D-D73C-4361-9014-AF31FA64D56A}" type="presOf" srcId="{BB19EE38-2DAC-49CF-A3FA-95BDE76F8FFF}" destId="{FAFB4200-D47C-4DF0-87BE-82F759DCFF64}" srcOrd="0" destOrd="0" presId="urn:microsoft.com/office/officeart/2005/8/layout/bProcess2"/>
    <dgm:cxn modelId="{3F516396-C2AF-4A95-9BE2-E9456A987A6E}" type="presOf" srcId="{C0E94197-91F6-45F1-A028-31E1E1DE0F75}" destId="{9C04B4AB-8D96-4B18-9B44-0B09610C7C2B}" srcOrd="0" destOrd="0" presId="urn:microsoft.com/office/officeart/2005/8/layout/bProcess2"/>
    <dgm:cxn modelId="{9A38C941-D933-489B-AC14-57F235F31E4A}" type="presOf" srcId="{335A1C47-009D-4E29-8D67-EA95DF6C4E21}" destId="{06759619-5D9E-4B7A-BFBE-D601EA5A510E}"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6BA48571-0033-461C-8B1A-3FAB418A58A0}" type="presOf" srcId="{8695C4AA-A272-498B-B253-EE124DBA0004}" destId="{99B5BDFF-BCD4-47EC-A054-8982A0A84BEA}" srcOrd="0" destOrd="0" presId="urn:microsoft.com/office/officeart/2005/8/layout/bProcess2"/>
    <dgm:cxn modelId="{132B5743-17F5-414B-A32D-081957BFD5D4}" type="presOf" srcId="{4D8F363D-07ED-4129-B118-D27954F370F5}" destId="{FA112337-7451-4CD4-971E-1579C34C75F6}" srcOrd="0" destOrd="0" presId="urn:microsoft.com/office/officeart/2005/8/layout/bProcess2"/>
    <dgm:cxn modelId="{779BF58E-96CF-4A39-B563-F46F72E46A7D}" type="presOf" srcId="{289F23D2-DECA-418D-8867-2694389D94FF}" destId="{1178FC11-E4ED-434B-8D54-F553238B6AD8}"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C4B93AF-663B-4ED0-9CEE-262939B50985}" type="presOf" srcId="{CD4C7B13-3E2D-423D-BE02-90BF80C49FDC}" destId="{3817D64A-6B37-447D-890E-DDDF04441BFF}" srcOrd="0" destOrd="0" presId="urn:microsoft.com/office/officeart/2005/8/layout/bProcess2"/>
    <dgm:cxn modelId="{1CC2A867-1B57-476C-9CAC-5FAC66618513}" type="presParOf" srcId="{3817D64A-6B37-447D-890E-DDDF04441BFF}" destId="{FAFB4200-D47C-4DF0-87BE-82F759DCFF64}" srcOrd="0" destOrd="0" presId="urn:microsoft.com/office/officeart/2005/8/layout/bProcess2"/>
    <dgm:cxn modelId="{C6BB768A-1650-456C-BBE8-F8D44024EEA1}" type="presParOf" srcId="{3817D64A-6B37-447D-890E-DDDF04441BFF}" destId="{BEE78810-B521-4DF2-8D49-60AED509E2D5}" srcOrd="1" destOrd="0" presId="urn:microsoft.com/office/officeart/2005/8/layout/bProcess2"/>
    <dgm:cxn modelId="{E52237F0-83BC-4338-A482-7E2CEDE069B2}" type="presParOf" srcId="{3817D64A-6B37-447D-890E-DDDF04441BFF}" destId="{9391542C-18A0-4135-BFA1-41E7F2BE5138}" srcOrd="2" destOrd="0" presId="urn:microsoft.com/office/officeart/2005/8/layout/bProcess2"/>
    <dgm:cxn modelId="{E4CA13F7-4B43-4B29-B809-9BAACA13E57D}" type="presParOf" srcId="{9391542C-18A0-4135-BFA1-41E7F2BE5138}" destId="{952E765C-1196-45B3-BDA0-A74EBAD04AFC}" srcOrd="0" destOrd="0" presId="urn:microsoft.com/office/officeart/2005/8/layout/bProcess2"/>
    <dgm:cxn modelId="{60130D77-E534-475B-89EB-E70346DB662A}" type="presParOf" srcId="{9391542C-18A0-4135-BFA1-41E7F2BE5138}" destId="{FA112337-7451-4CD4-971E-1579C34C75F6}" srcOrd="1" destOrd="0" presId="urn:microsoft.com/office/officeart/2005/8/layout/bProcess2"/>
    <dgm:cxn modelId="{49830611-A1C5-4C48-9A07-F313BE9F9EA0}" type="presParOf" srcId="{3817D64A-6B37-447D-890E-DDDF04441BFF}" destId="{9C04B4AB-8D96-4B18-9B44-0B09610C7C2B}" srcOrd="3" destOrd="0" presId="urn:microsoft.com/office/officeart/2005/8/layout/bProcess2"/>
    <dgm:cxn modelId="{555B9B42-6B86-4B4A-83A0-0EDB8D1166C5}" type="presParOf" srcId="{3817D64A-6B37-447D-890E-DDDF04441BFF}" destId="{95F90B43-4929-4A82-95BC-431E28F7C5E9}" srcOrd="4" destOrd="0" presId="urn:microsoft.com/office/officeart/2005/8/layout/bProcess2"/>
    <dgm:cxn modelId="{8CAD403C-51C2-446D-A12F-430BB7149BEE}" type="presParOf" srcId="{95F90B43-4929-4A82-95BC-431E28F7C5E9}" destId="{2667A9BF-7B2F-45AB-BE26-2327BE65C87F}" srcOrd="0" destOrd="0" presId="urn:microsoft.com/office/officeart/2005/8/layout/bProcess2"/>
    <dgm:cxn modelId="{446ACE04-9D7B-4E73-AF09-613EF120FD48}" type="presParOf" srcId="{95F90B43-4929-4A82-95BC-431E28F7C5E9}" destId="{AED5D6B9-0AE8-4EA9-BB9A-05B1C31CC643}" srcOrd="1" destOrd="0" presId="urn:microsoft.com/office/officeart/2005/8/layout/bProcess2"/>
    <dgm:cxn modelId="{3A6E5370-5B14-4524-94E5-C0C846AA26D2}" type="presParOf" srcId="{3817D64A-6B37-447D-890E-DDDF04441BFF}" destId="{99B5BDFF-BCD4-47EC-A054-8982A0A84BEA}" srcOrd="5" destOrd="0" presId="urn:microsoft.com/office/officeart/2005/8/layout/bProcess2"/>
    <dgm:cxn modelId="{57FE8434-9A23-49E0-8F97-7ECE7E393063}" type="presParOf" srcId="{3817D64A-6B37-447D-890E-DDDF04441BFF}" destId="{40A9EBB5-D4F3-4BC8-8CF0-3728C7DF4F27}" srcOrd="6" destOrd="0" presId="urn:microsoft.com/office/officeart/2005/8/layout/bProcess2"/>
    <dgm:cxn modelId="{150543AE-543E-4E2C-BA5E-AC2C8B642C2C}" type="presParOf" srcId="{40A9EBB5-D4F3-4BC8-8CF0-3728C7DF4F27}" destId="{E7A4F37E-B19C-462F-BF7D-D08FBBF55935}" srcOrd="0" destOrd="0" presId="urn:microsoft.com/office/officeart/2005/8/layout/bProcess2"/>
    <dgm:cxn modelId="{1D5572A0-3052-45E2-AEA6-D4D099A8F03B}" type="presParOf" srcId="{40A9EBB5-D4F3-4BC8-8CF0-3728C7DF4F27}" destId="{26F6F24D-3361-479E-B1EA-49488A1E395C}" srcOrd="1" destOrd="0" presId="urn:microsoft.com/office/officeart/2005/8/layout/bProcess2"/>
    <dgm:cxn modelId="{6F51455C-9AFA-4D72-AC5D-3565360748FD}" type="presParOf" srcId="{3817D64A-6B37-447D-890E-DDDF04441BFF}" destId="{51B275CB-56C7-471B-9EB4-BC589C3B4149}" srcOrd="7" destOrd="0" presId="urn:microsoft.com/office/officeart/2005/8/layout/bProcess2"/>
    <dgm:cxn modelId="{FCC179D3-D223-4C5F-A063-E76C4A7092C8}" type="presParOf" srcId="{3817D64A-6B37-447D-890E-DDDF04441BFF}" destId="{6B11720C-505D-4C48-8F86-F35E80186853}" srcOrd="8" destOrd="0" presId="urn:microsoft.com/office/officeart/2005/8/layout/bProcess2"/>
    <dgm:cxn modelId="{D3BC4AB5-0FCB-428E-A421-2639BD8E507A}" type="presParOf" srcId="{6B11720C-505D-4C48-8F86-F35E80186853}" destId="{D16D12BC-FFA6-43D4-8B9D-9EAB4619727E}" srcOrd="0" destOrd="0" presId="urn:microsoft.com/office/officeart/2005/8/layout/bProcess2"/>
    <dgm:cxn modelId="{A959D46F-DD46-4D2B-B0DC-628CA648A02A}" type="presParOf" srcId="{6B11720C-505D-4C48-8F86-F35E80186853}" destId="{1C9834A2-2EDC-4144-836A-35FB0F8F1D4E}" srcOrd="1" destOrd="0" presId="urn:microsoft.com/office/officeart/2005/8/layout/bProcess2"/>
    <dgm:cxn modelId="{7A061BDD-D9B4-4CA3-B473-BC5110058853}" type="presParOf" srcId="{3817D64A-6B37-447D-890E-DDDF04441BFF}" destId="{150D0F23-FCB9-48B6-9942-8CF6513449EF}" srcOrd="9" destOrd="0" presId="urn:microsoft.com/office/officeart/2005/8/layout/bProcess2"/>
    <dgm:cxn modelId="{CC60A129-A6C8-4468-9D6F-1681A16157BD}" type="presParOf" srcId="{3817D64A-6B37-447D-890E-DDDF04441BFF}" destId="{F09BA4E1-434D-4096-97BB-4AE7412FA27C}" srcOrd="10" destOrd="0" presId="urn:microsoft.com/office/officeart/2005/8/layout/bProcess2"/>
    <dgm:cxn modelId="{3542AEA5-9B4F-49BC-B2B2-6B4FE4D95668}" type="presParOf" srcId="{F09BA4E1-434D-4096-97BB-4AE7412FA27C}" destId="{358B29F7-5B77-4998-B516-0C642A32FDDF}" srcOrd="0" destOrd="0" presId="urn:microsoft.com/office/officeart/2005/8/layout/bProcess2"/>
    <dgm:cxn modelId="{2A086082-1FB6-45C2-8E98-0CB57E9ED22A}" type="presParOf" srcId="{F09BA4E1-434D-4096-97BB-4AE7412FA27C}" destId="{1178FC11-E4ED-434B-8D54-F553238B6AD8}" srcOrd="1" destOrd="0" presId="urn:microsoft.com/office/officeart/2005/8/layout/bProcess2"/>
    <dgm:cxn modelId="{7C3E37A6-F982-4FEF-A258-5DABF47F3DD3}" type="presParOf" srcId="{3817D64A-6B37-447D-890E-DDDF04441BFF}" destId="{580F3B66-6AF5-4FF0-AA67-8BAEA6F73F66}" srcOrd="11" destOrd="0" presId="urn:microsoft.com/office/officeart/2005/8/layout/bProcess2"/>
    <dgm:cxn modelId="{A7E2AFD0-85ED-4B73-AD9D-F50C269C7620}" type="presParOf" srcId="{3817D64A-6B37-447D-890E-DDDF04441BFF}" destId="{C5316ACF-42DE-450E-831E-C8C3A42FE262}" srcOrd="12" destOrd="0" presId="urn:microsoft.com/office/officeart/2005/8/layout/bProcess2"/>
    <dgm:cxn modelId="{45CD7D95-AA24-4769-944A-3183CC020022}" type="presParOf" srcId="{C5316ACF-42DE-450E-831E-C8C3A42FE262}" destId="{DC176098-C297-4C30-B45F-59FE747C17D4}" srcOrd="0" destOrd="0" presId="urn:microsoft.com/office/officeart/2005/8/layout/bProcess2"/>
    <dgm:cxn modelId="{C1185025-4181-4D80-B65B-0C0A6C2DD45E}" type="presParOf" srcId="{C5316ACF-42DE-450E-831E-C8C3A42FE262}" destId="{06759619-5D9E-4B7A-BFBE-D601EA5A510E}" srcOrd="1" destOrd="0" presId="urn:microsoft.com/office/officeart/2005/8/layout/bProcess2"/>
    <dgm:cxn modelId="{4C53CC1E-B07D-414C-9BC3-C551CAFE8643}" type="presParOf" srcId="{3817D64A-6B37-447D-890E-DDDF04441BFF}" destId="{8A2327D9-A09D-4DDA-8C18-8D15DF1210A2}" srcOrd="13" destOrd="0" presId="urn:microsoft.com/office/officeart/2005/8/layout/bProcess2"/>
    <dgm:cxn modelId="{3C68E20C-77E9-4B08-8DED-4245C8C1BD36}" type="presParOf" srcId="{3817D64A-6B37-447D-890E-DDDF04441BFF}" destId="{C4A0B2C1-6D69-48DF-BDD9-9DABDF0533B7}" srcOrd="14" destOrd="0" presId="urn:microsoft.com/office/officeart/2005/8/layout/bProcess2"/>
    <dgm:cxn modelId="{84970A40-0617-44C1-BF2B-57683FA30F4A}" type="presParOf" srcId="{C4A0B2C1-6D69-48DF-BDD9-9DABDF0533B7}" destId="{7DD4B830-D59E-4C2D-9402-9DEAE73D84C6}" srcOrd="0" destOrd="0" presId="urn:microsoft.com/office/officeart/2005/8/layout/bProcess2"/>
    <dgm:cxn modelId="{33502C7F-8980-430F-8A62-2DF45E5E5155}" type="presParOf" srcId="{C4A0B2C1-6D69-48DF-BDD9-9DABDF0533B7}" destId="{24D25EFD-202C-4845-9552-5404649C8A9B}" srcOrd="1" destOrd="0" presId="urn:microsoft.com/office/officeart/2005/8/layout/bProcess2"/>
    <dgm:cxn modelId="{81B782C1-38BA-4BEF-A2AB-32897D1FB57C}" type="presParOf" srcId="{3817D64A-6B37-447D-890E-DDDF04441BFF}" destId="{3EE8F8E4-CFA0-42EE-9AFB-EECC3268309E}" srcOrd="15" destOrd="0" presId="urn:microsoft.com/office/officeart/2005/8/layout/bProcess2"/>
    <dgm:cxn modelId="{E0B66B50-8B66-42A6-B557-98C6804CDD4B}"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B1880FDA-4F04-46AD-BCFD-26F55E933657}" type="presOf" srcId="{BAFE8F05-A7EB-4FDC-97C1-AC89CB294B3C}" destId="{6BE63543-4F0D-4330-B7DE-4EEE63B7772B}" srcOrd="0" destOrd="0" presId="urn:microsoft.com/office/officeart/2005/8/layout/venn2"/>
    <dgm:cxn modelId="{11541CFC-ECC1-453D-A28B-678C8F7EBE71}" type="presOf" srcId="{B98A9880-EE85-497E-8AE9-4B6E0287AC96}" destId="{17686D76-A554-4E1E-A3B3-5CE85723278C}" srcOrd="0" destOrd="0" presId="urn:microsoft.com/office/officeart/2005/8/layout/venn2"/>
    <dgm:cxn modelId="{3DCCE436-E941-441E-B19B-C782EFC2449A}" type="presOf" srcId="{BAFE8F05-A7EB-4FDC-97C1-AC89CB294B3C}" destId="{ECF804D5-19B5-4513-A273-B9B4C0D822F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93EA781F-D3BB-4F3B-B8B3-D71AC2163730}" srcId="{FF9ABB1B-D2AD-4D58-88C6-0522C38F2CD6}" destId="{BAFE8F05-A7EB-4FDC-97C1-AC89CB294B3C}" srcOrd="1" destOrd="0" parTransId="{38D97FAE-E581-42B6-8B59-4C0066F00E0F}" sibTransId="{A836AF8C-9C17-448D-B56B-0CAA51F0124B}"/>
    <dgm:cxn modelId="{E9B08C04-9AA8-4FA2-8907-817C11DA3DA2}" type="presOf" srcId="{FF9ABB1B-D2AD-4D58-88C6-0522C38F2CD6}" destId="{5BB795DB-BD13-40C6-9E03-E15DCD60BDA3}" srcOrd="0" destOrd="0" presId="urn:microsoft.com/office/officeart/2005/8/layout/venn2"/>
    <dgm:cxn modelId="{24035556-50E1-489F-BFBF-98710355446D}" type="presOf" srcId="{B98A9880-EE85-497E-8AE9-4B6E0287AC96}" destId="{425A41AA-8EE4-4B5A-B8BF-04E17CB9DC61}" srcOrd="1" destOrd="0" presId="urn:microsoft.com/office/officeart/2005/8/layout/venn2"/>
    <dgm:cxn modelId="{B1220AE0-B9A8-4114-8D75-3B5007B0AC38}" type="presOf" srcId="{306F9EB0-D24F-46E3-9793-75F3F0215D3B}" destId="{DC8A71D8-8EC5-4AB0-8CB5-C2A5CC8B209E}" srcOrd="1" destOrd="0" presId="urn:microsoft.com/office/officeart/2005/8/layout/venn2"/>
    <dgm:cxn modelId="{6144E794-C599-4E0D-8102-FD9299092D2D}" type="presOf" srcId="{306F9EB0-D24F-46E3-9793-75F3F0215D3B}" destId="{6235B21C-1C13-4CF6-BE12-63EB735B5D9A}" srcOrd="0" destOrd="0" presId="urn:microsoft.com/office/officeart/2005/8/layout/venn2"/>
    <dgm:cxn modelId="{2DCCB671-40B4-4000-903D-6B2140085911}" type="presParOf" srcId="{5BB795DB-BD13-40C6-9E03-E15DCD60BDA3}" destId="{7E673C15-1344-4EAB-A5D6-F44D6437D2A3}" srcOrd="0" destOrd="0" presId="urn:microsoft.com/office/officeart/2005/8/layout/venn2"/>
    <dgm:cxn modelId="{9E2D5D64-B3E4-4F76-8A4D-C4B11512EE8F}" type="presParOf" srcId="{7E673C15-1344-4EAB-A5D6-F44D6437D2A3}" destId="{6235B21C-1C13-4CF6-BE12-63EB735B5D9A}" srcOrd="0" destOrd="0" presId="urn:microsoft.com/office/officeart/2005/8/layout/venn2"/>
    <dgm:cxn modelId="{A9DDFD0A-16C4-4201-B639-19EE383F4C63}" type="presParOf" srcId="{7E673C15-1344-4EAB-A5D6-F44D6437D2A3}" destId="{DC8A71D8-8EC5-4AB0-8CB5-C2A5CC8B209E}" srcOrd="1" destOrd="0" presId="urn:microsoft.com/office/officeart/2005/8/layout/venn2"/>
    <dgm:cxn modelId="{81E860D6-98B1-4002-90BA-D61307268C2D}" type="presParOf" srcId="{5BB795DB-BD13-40C6-9E03-E15DCD60BDA3}" destId="{AA39370A-EC10-4801-B0D4-36E963FE0E1D}" srcOrd="1" destOrd="0" presId="urn:microsoft.com/office/officeart/2005/8/layout/venn2"/>
    <dgm:cxn modelId="{7986EDC4-9026-477E-BFB5-8568B97F89F5}" type="presParOf" srcId="{AA39370A-EC10-4801-B0D4-36E963FE0E1D}" destId="{6BE63543-4F0D-4330-B7DE-4EEE63B7772B}" srcOrd="0" destOrd="0" presId="urn:microsoft.com/office/officeart/2005/8/layout/venn2"/>
    <dgm:cxn modelId="{B70AB030-A642-4E60-8722-2A25CEAFF2A2}" type="presParOf" srcId="{AA39370A-EC10-4801-B0D4-36E963FE0E1D}" destId="{ECF804D5-19B5-4513-A273-B9B4C0D822F1}" srcOrd="1" destOrd="0" presId="urn:microsoft.com/office/officeart/2005/8/layout/venn2"/>
    <dgm:cxn modelId="{854454D1-CA68-42AB-A71B-40D75C68D0FE}" type="presParOf" srcId="{5BB795DB-BD13-40C6-9E03-E15DCD60BDA3}" destId="{5FDBA2E5-63A2-4597-8EB7-CF1C30C04EF1}" srcOrd="2" destOrd="0" presId="urn:microsoft.com/office/officeart/2005/8/layout/venn2"/>
    <dgm:cxn modelId="{1B07F965-A323-4D1F-A25D-D7A52AC6CC2E}" type="presParOf" srcId="{5FDBA2E5-63A2-4597-8EB7-CF1C30C04EF1}" destId="{17686D76-A554-4E1E-A3B3-5CE85723278C}" srcOrd="0" destOrd="0" presId="urn:microsoft.com/office/officeart/2005/8/layout/venn2"/>
    <dgm:cxn modelId="{B95568C3-897B-4681-A1FC-E731681154A6}"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F3E59CF5-417F-4056-B732-83313A0175ED}" srcId="{60BC2597-9DCE-434A-8DB5-CC0D9710EFF9}" destId="{B4DF5DFB-7C71-4477-ADF3-F384586C4027}" srcOrd="1" destOrd="0" parTransId="{FD4E95D3-6167-4292-AEC6-4C72F6D4EC26}" sibTransId="{6B15B754-B3C5-4278-B169-3FD414009D25}"/>
    <dgm:cxn modelId="{5C4BE3A0-7BE1-4EEE-886D-AEB823A5BAFE}" srcId="{57C05875-CAF4-41BB-9C54-F9B1BBCEA332}" destId="{60BC2597-9DCE-434A-8DB5-CC0D9710EFF9}" srcOrd="0" destOrd="0" parTransId="{FB251D37-4057-44A2-B0A2-32E562434686}" sibTransId="{23B2F7E5-3908-49A0-BEE3-67EFB90DFA92}"/>
    <dgm:cxn modelId="{FEAFF3E9-4F8B-43B7-99BF-6CE39251150E}" type="presOf" srcId="{075B284C-A006-4A09-8408-0152CA32B689}" destId="{ADA771C4-795D-479E-BBD2-ED756AD20EDD}" srcOrd="0" destOrd="0" presId="urn:microsoft.com/office/officeart/2005/8/layout/hierarchy1"/>
    <dgm:cxn modelId="{FD7D8A12-1504-442D-8915-2008965B99C1}" type="presOf" srcId="{78BEA8C4-3491-4BBC-97AF-570CECF8ACA3}" destId="{FD95EA2F-A009-41B0-9DAD-661E3D21361A}"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F20E1879-AEAE-4161-8BD6-8C610088A66E}" srcId="{60BC2597-9DCE-434A-8DB5-CC0D9710EFF9}" destId="{BD979629-5B4D-4B94-8FFA-D4080EBA1C2F}" srcOrd="0" destOrd="0" parTransId="{51F2AAE9-75FF-40AA-BA16-BFEF9DB5DC33}" sibTransId="{720317A8-FAE8-4679-A9DB-0D4F174D52B3}"/>
    <dgm:cxn modelId="{0BCCD859-11B0-4578-BA22-A87DC8CEA3FD}" type="presOf" srcId="{5B444EA7-5A71-4FAD-81E2-E541B6821333}" destId="{51C873E4-EF13-4F7F-B7C5-89D500F5BD59}" srcOrd="0" destOrd="0" presId="urn:microsoft.com/office/officeart/2005/8/layout/hierarchy1"/>
    <dgm:cxn modelId="{BFC030BA-73DA-4D7E-956B-755E5DB6BF65}" type="presOf" srcId="{E59C8CC4-3E39-443E-8F62-441E4BC27F45}" destId="{228F0E35-2738-4A37-AE1E-3901DFF834D6}" srcOrd="0" destOrd="0" presId="urn:microsoft.com/office/officeart/2005/8/layout/hierarchy1"/>
    <dgm:cxn modelId="{1D9081C1-8B60-49A3-8CC4-E12BE1F63830}" type="presOf" srcId="{D301E466-FD51-44F2-802B-861DF80E5205}" destId="{5B0330FF-27A5-493A-B9DB-9C051E6B2619}" srcOrd="0" destOrd="0" presId="urn:microsoft.com/office/officeart/2005/8/layout/hierarchy1"/>
    <dgm:cxn modelId="{C994FED2-E595-405F-8DCD-86074644217C}" type="presOf" srcId="{67B60D53-B0D6-4043-842E-4C3EA0EF4342}" destId="{114EC990-6128-419A-8138-FE5E69552455}" srcOrd="0" destOrd="0" presId="urn:microsoft.com/office/officeart/2005/8/layout/hierarchy1"/>
    <dgm:cxn modelId="{4F214CA4-DF6D-4AE1-8F5E-58CC57D76DD2}" type="presOf" srcId="{F9846B59-2012-4BE8-BAB5-52FD49D87BB2}" destId="{B0795270-207A-40F1-B170-1DECFA51948F}" srcOrd="0" destOrd="0" presId="urn:microsoft.com/office/officeart/2005/8/layout/hierarchy1"/>
    <dgm:cxn modelId="{90471EAF-FEF5-4F6F-94CB-E568D3F001D4}" type="presOf" srcId="{25FDE8B0-1B1F-4BD1-9026-409A1FA42F99}" destId="{20032DBE-6CFA-47A1-AD42-0E350037F03E}" srcOrd="0" destOrd="0" presId="urn:microsoft.com/office/officeart/2005/8/layout/hierarchy1"/>
    <dgm:cxn modelId="{9C7F2342-167F-4DFF-B9BA-99E4883234E3}" type="presOf" srcId="{3A5C02C3-0816-4DB5-A694-464DC44DC16C}" destId="{1BF7443C-FCD0-4B94-8598-0AA95351B04F}" srcOrd="0" destOrd="0" presId="urn:microsoft.com/office/officeart/2005/8/layout/hierarchy1"/>
    <dgm:cxn modelId="{25C92A8A-1FF4-4916-BF5E-9B3534F32CCA}" srcId="{D301E466-FD51-44F2-802B-861DF80E5205}" destId="{736E8F85-00AA-463F-982C-83ADFDBEC012}" srcOrd="0" destOrd="0" parTransId="{F9846B59-2012-4BE8-BAB5-52FD49D87BB2}" sibTransId="{D19DC9D2-BC03-4363-ACB9-39CF9FD29991}"/>
    <dgm:cxn modelId="{F7470A9A-E2DB-4233-8DCF-34701A2C6B25}" srcId="{BD979629-5B4D-4B94-8FFA-D4080EBA1C2F}" destId="{91B8CE9A-1CF9-4CB8-AB24-4CE29CD46265}" srcOrd="0" destOrd="0" parTransId="{BF86E14A-B860-45B0-917C-E8EFFD82EF91}" sibTransId="{D548A4D0-E788-4478-82D2-11727FEC2635}"/>
    <dgm:cxn modelId="{6F4BCC9E-163C-4A0C-83F1-39A399265C6D}" type="presOf" srcId="{6F5C1607-B848-44CF-93FF-7337A1D90C52}" destId="{11718F58-87E2-4D86-87F0-79CA26861423}" srcOrd="0" destOrd="0" presId="urn:microsoft.com/office/officeart/2005/8/layout/hierarchy1"/>
    <dgm:cxn modelId="{01476C61-5A38-458F-9D04-840FFA4A9797}" type="presOf" srcId="{E156DACB-D33F-4B91-9F9D-57B4673DABEF}" destId="{B2B04573-36B6-4EFF-867E-DD8B8D962454}" srcOrd="0" destOrd="0" presId="urn:microsoft.com/office/officeart/2005/8/layout/hierarchy1"/>
    <dgm:cxn modelId="{6ECF11CF-DAAF-482E-ABFB-574C5E6B2470}" type="presOf" srcId="{B4DF5DFB-7C71-4477-ADF3-F384586C4027}" destId="{23272BD2-3507-4D6F-AF7C-32BDB7C4D32A}" srcOrd="0" destOrd="0" presId="urn:microsoft.com/office/officeart/2005/8/layout/hierarchy1"/>
    <dgm:cxn modelId="{67E16850-6B52-4353-8D79-72A3F29C9FA5}" type="presOf" srcId="{DB6008B5-BD28-48AB-AD4B-9D0098FE6AD3}" destId="{0ECFA4F4-F69C-45B4-9E87-D5BE15466005}" srcOrd="0" destOrd="0" presId="urn:microsoft.com/office/officeart/2005/8/layout/hierarchy1"/>
    <dgm:cxn modelId="{CB9A88B7-5B64-4AB2-B57B-AB64A71B61E3}" srcId="{25FDE8B0-1B1F-4BD1-9026-409A1FA42F99}" destId="{BE77D0C8-97BF-4DBC-BD8C-D4817C89884E}" srcOrd="0" destOrd="0" parTransId="{A7D7B25C-6F9D-4D42-AF81-0ADCF4183037}" sibTransId="{69E1ABCD-7DB1-4B24-857D-E5C7321816C6}"/>
    <dgm:cxn modelId="{532F9ABA-6EE7-4733-9590-716D49DE6B54}" srcId="{6F5C1607-B848-44CF-93FF-7337A1D90C52}" destId="{57C05875-CAF4-41BB-9C54-F9B1BBCEA332}" srcOrd="0" destOrd="0" parTransId="{075B284C-A006-4A09-8408-0152CA32B689}" sibTransId="{B99D98BB-B822-42D3-9B35-AD8EC6750C9C}"/>
    <dgm:cxn modelId="{C7736A58-C8B2-4C7B-9043-C121E622E187}" type="presOf" srcId="{FD4E95D3-6167-4292-AEC6-4C72F6D4EC26}" destId="{6303E870-624B-497C-99FF-D2E2A41E1C7D}" srcOrd="0" destOrd="0" presId="urn:microsoft.com/office/officeart/2005/8/layout/hierarchy1"/>
    <dgm:cxn modelId="{BCA42756-197E-42E9-A506-36B5667FF62D}" type="presOf" srcId="{57C05875-CAF4-41BB-9C54-F9B1BBCEA332}" destId="{29E4DB5B-5AE8-4625-A383-409DF185BC01}" srcOrd="0" destOrd="0" presId="urn:microsoft.com/office/officeart/2005/8/layout/hierarchy1"/>
    <dgm:cxn modelId="{BE572AC2-4820-4CD4-9DFF-34E6F13D9C1F}" type="presOf" srcId="{A7D7B25C-6F9D-4D42-AF81-0ADCF4183037}" destId="{6BF9AE6C-2C6C-415D-AA46-3A4C9B74FEA9}" srcOrd="0" destOrd="0" presId="urn:microsoft.com/office/officeart/2005/8/layout/hierarchy1"/>
    <dgm:cxn modelId="{455E5F91-5C0C-4898-990C-259030783DA4}" type="presOf" srcId="{91B8CE9A-1CF9-4CB8-AB24-4CE29CD46265}" destId="{BB88129B-5508-494E-90F4-64934EE8C50D}"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AC67FCCF-AC22-40CE-9215-2E2B294C0E7B}" type="presOf" srcId="{928A81E0-CDB8-46B4-9FF3-630E8D06B270}" destId="{2E6EA78C-07C8-4BF3-B381-FA6323E8A6EB}" srcOrd="0" destOrd="0" presId="urn:microsoft.com/office/officeart/2005/8/layout/hierarchy1"/>
    <dgm:cxn modelId="{B8991416-B873-4599-AB33-038546161AE8}" type="presOf" srcId="{60BC2597-9DCE-434A-8DB5-CC0D9710EFF9}" destId="{64A8908B-F7BE-4B0F-BF97-F3295F9EA6B8}"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7913DD1A-5340-4BD7-9663-6287ADF683AB}" type="presOf" srcId="{FB251D37-4057-44A2-B0A2-32E562434686}" destId="{34C9408D-6056-46DC-AE7C-742506B77618}" srcOrd="0" destOrd="0" presId="urn:microsoft.com/office/officeart/2005/8/layout/hierarchy1"/>
    <dgm:cxn modelId="{78C465F1-5BD7-4169-A2AD-C357DADFF1E7}" type="presOf" srcId="{BD979629-5B4D-4B94-8FFA-D4080EBA1C2F}" destId="{C7ED1DC9-6C37-4AFA-AE71-A13E754EAD19}" srcOrd="0" destOrd="0" presId="urn:microsoft.com/office/officeart/2005/8/layout/hierarchy1"/>
    <dgm:cxn modelId="{31D87340-F8CB-4804-842F-2B19D10A7120}" type="presOf" srcId="{BF86E14A-B860-45B0-917C-E8EFFD82EF91}" destId="{29B23903-983A-431C-8F7A-B251DF50C289}" srcOrd="0" destOrd="0" presId="urn:microsoft.com/office/officeart/2005/8/layout/hierarchy1"/>
    <dgm:cxn modelId="{780FD2EC-6237-4A35-811C-F95EB16725FA}" type="presOf" srcId="{882086BA-674D-4930-B968-C12C38466300}" destId="{DFC54ED5-5952-4B26-98EA-F05CA3B2DC4F}" srcOrd="0" destOrd="0" presId="urn:microsoft.com/office/officeart/2005/8/layout/hierarchy1"/>
    <dgm:cxn modelId="{B0F7CB73-744E-4DF9-9898-1CACC663E0A4}" type="presOf" srcId="{BE77D0C8-97BF-4DBC-BD8C-D4817C89884E}" destId="{33FBCFD2-F7B6-44B1-9704-6A937C313117}" srcOrd="0" destOrd="0" presId="urn:microsoft.com/office/officeart/2005/8/layout/hierarchy1"/>
    <dgm:cxn modelId="{D159013F-EC1B-4B0D-AA95-AACC31D124F7}" type="presOf" srcId="{51F2AAE9-75FF-40AA-BA16-BFEF9DB5DC33}" destId="{875CCF52-B107-4623-AC57-3B73B00F6193}" srcOrd="0" destOrd="0" presId="urn:microsoft.com/office/officeart/2005/8/layout/hierarchy1"/>
    <dgm:cxn modelId="{B647A6E5-1B57-4E05-8ED1-BEAA3AD0A5F6}" srcId="{67B60D53-B0D6-4043-842E-4C3EA0EF4342}" destId="{3A5C02C3-0816-4DB5-A694-464DC44DC16C}" srcOrd="0" destOrd="0" parTransId="{DB6008B5-BD28-48AB-AD4B-9D0098FE6AD3}" sibTransId="{4FB0FBEC-4B09-4E04-B973-FC28D5177ABC}"/>
    <dgm:cxn modelId="{1338828E-281B-4CB5-953A-D1B4A10CB6D1}" srcId="{57C05875-CAF4-41BB-9C54-F9B1BBCEA332}" destId="{25FDE8B0-1B1F-4BD1-9026-409A1FA42F99}" srcOrd="1" destOrd="0" parTransId="{928A81E0-CDB8-46B4-9FF3-630E8D06B270}" sibTransId="{80F4E12B-E925-4826-B118-686E7586DC7A}"/>
    <dgm:cxn modelId="{2C270421-8F33-477D-B3AB-CCD2C85216F3}" srcId="{3A5C02C3-0816-4DB5-A694-464DC44DC16C}" destId="{6F5C1607-B848-44CF-93FF-7337A1D90C52}" srcOrd="0" destOrd="0" parTransId="{5B444EA7-5A71-4FAD-81E2-E541B6821333}" sibTransId="{88656ADA-43C2-47AE-9DA9-23630DD8AB17}"/>
    <dgm:cxn modelId="{BDDBD936-88FF-48E6-AA0C-C5B7DCC0AE9B}" type="presOf" srcId="{736E8F85-00AA-463F-982C-83ADFDBEC012}" destId="{984E19FA-797E-4655-B686-64AC89BEB473}" srcOrd="0" destOrd="0" presId="urn:microsoft.com/office/officeart/2005/8/layout/hierarchy1"/>
    <dgm:cxn modelId="{ED75E5AA-1236-409D-A70A-FC82361202C9}" type="presParOf" srcId="{B2B04573-36B6-4EFF-867E-DD8B8D962454}" destId="{47A37ED4-B24A-4374-B6DC-9AF4D7FAC331}" srcOrd="0" destOrd="0" presId="urn:microsoft.com/office/officeart/2005/8/layout/hierarchy1"/>
    <dgm:cxn modelId="{E7910497-A089-46AD-AD19-E8CF668DEEEF}" type="presParOf" srcId="{47A37ED4-B24A-4374-B6DC-9AF4D7FAC331}" destId="{F12203E8-E93F-477F-8D3E-195AF3159F1D}" srcOrd="0" destOrd="0" presId="urn:microsoft.com/office/officeart/2005/8/layout/hierarchy1"/>
    <dgm:cxn modelId="{841D42B2-36BF-4041-9DD1-8E27FFE85B98}" type="presParOf" srcId="{F12203E8-E93F-477F-8D3E-195AF3159F1D}" destId="{2CBE2DA6-7D45-4DAA-B922-6737CAD04D13}" srcOrd="0" destOrd="0" presId="urn:microsoft.com/office/officeart/2005/8/layout/hierarchy1"/>
    <dgm:cxn modelId="{0122534C-E04C-4F0B-8669-3945B7348282}" type="presParOf" srcId="{F12203E8-E93F-477F-8D3E-195AF3159F1D}" destId="{114EC990-6128-419A-8138-FE5E69552455}" srcOrd="1" destOrd="0" presId="urn:microsoft.com/office/officeart/2005/8/layout/hierarchy1"/>
    <dgm:cxn modelId="{F3842948-032B-440A-ABFF-3A53AEFB18E6}" type="presParOf" srcId="{47A37ED4-B24A-4374-B6DC-9AF4D7FAC331}" destId="{9DCF7D29-1EA8-4B68-9184-18E76F5FD93F}" srcOrd="1" destOrd="0" presId="urn:microsoft.com/office/officeart/2005/8/layout/hierarchy1"/>
    <dgm:cxn modelId="{634187E4-9DCF-4421-B309-234D19BC0F2D}" type="presParOf" srcId="{9DCF7D29-1EA8-4B68-9184-18E76F5FD93F}" destId="{0ECFA4F4-F69C-45B4-9E87-D5BE15466005}" srcOrd="0" destOrd="0" presId="urn:microsoft.com/office/officeart/2005/8/layout/hierarchy1"/>
    <dgm:cxn modelId="{1205271A-5AB8-4C5C-9315-54D26E39F6E3}" type="presParOf" srcId="{9DCF7D29-1EA8-4B68-9184-18E76F5FD93F}" destId="{4BF7B26A-8EF5-4A97-AEFB-2900C7DFE20B}" srcOrd="1" destOrd="0" presId="urn:microsoft.com/office/officeart/2005/8/layout/hierarchy1"/>
    <dgm:cxn modelId="{FB3AD7BC-18FC-4DDB-B9D9-BEE9CC9A07F3}" type="presParOf" srcId="{4BF7B26A-8EF5-4A97-AEFB-2900C7DFE20B}" destId="{E4ED831A-61B6-44B3-AA96-0EEFD47A8F7C}" srcOrd="0" destOrd="0" presId="urn:microsoft.com/office/officeart/2005/8/layout/hierarchy1"/>
    <dgm:cxn modelId="{83333BE4-19F5-42DC-AFC2-32BB3B754CDC}" type="presParOf" srcId="{E4ED831A-61B6-44B3-AA96-0EEFD47A8F7C}" destId="{45EDAA5A-0D59-4710-9EE9-8763BAED1498}" srcOrd="0" destOrd="0" presId="urn:microsoft.com/office/officeart/2005/8/layout/hierarchy1"/>
    <dgm:cxn modelId="{400CD4E9-E486-4BD2-B1E6-624A0E12ACD0}" type="presParOf" srcId="{E4ED831A-61B6-44B3-AA96-0EEFD47A8F7C}" destId="{1BF7443C-FCD0-4B94-8598-0AA95351B04F}" srcOrd="1" destOrd="0" presId="urn:microsoft.com/office/officeart/2005/8/layout/hierarchy1"/>
    <dgm:cxn modelId="{A11CA93D-AC83-4AF6-B1BE-08F7856903B2}" type="presParOf" srcId="{4BF7B26A-8EF5-4A97-AEFB-2900C7DFE20B}" destId="{BD46C1BD-03F1-4F87-A8C0-5EABD6C4A8FA}" srcOrd="1" destOrd="0" presId="urn:microsoft.com/office/officeart/2005/8/layout/hierarchy1"/>
    <dgm:cxn modelId="{7B653033-C0A3-4DD4-A85B-EB04F85A28DC}" type="presParOf" srcId="{BD46C1BD-03F1-4F87-A8C0-5EABD6C4A8FA}" destId="{51C873E4-EF13-4F7F-B7C5-89D500F5BD59}" srcOrd="0" destOrd="0" presId="urn:microsoft.com/office/officeart/2005/8/layout/hierarchy1"/>
    <dgm:cxn modelId="{49CC3D2D-7B31-4859-8A4D-46EF19860CF2}" type="presParOf" srcId="{BD46C1BD-03F1-4F87-A8C0-5EABD6C4A8FA}" destId="{DA61FDE3-D344-4C78-9884-64D9429F004E}" srcOrd="1" destOrd="0" presId="urn:microsoft.com/office/officeart/2005/8/layout/hierarchy1"/>
    <dgm:cxn modelId="{BA6CE683-0140-4C14-8C26-E3C06976978D}" type="presParOf" srcId="{DA61FDE3-D344-4C78-9884-64D9429F004E}" destId="{1ABB717B-B1FB-4399-85EC-431B19DAAC2D}" srcOrd="0" destOrd="0" presId="urn:microsoft.com/office/officeart/2005/8/layout/hierarchy1"/>
    <dgm:cxn modelId="{06142EEC-B757-4FAC-9769-14D9EBAC4482}" type="presParOf" srcId="{1ABB717B-B1FB-4399-85EC-431B19DAAC2D}" destId="{31A5A14D-58A2-4372-BB5A-1DF536CA6187}" srcOrd="0" destOrd="0" presId="urn:microsoft.com/office/officeart/2005/8/layout/hierarchy1"/>
    <dgm:cxn modelId="{533B326F-68A4-4A81-8137-08A642E160B1}" type="presParOf" srcId="{1ABB717B-B1FB-4399-85EC-431B19DAAC2D}" destId="{11718F58-87E2-4D86-87F0-79CA26861423}" srcOrd="1" destOrd="0" presId="urn:microsoft.com/office/officeart/2005/8/layout/hierarchy1"/>
    <dgm:cxn modelId="{7BDEEA1C-F320-4E98-A24C-007D53348D92}" type="presParOf" srcId="{DA61FDE3-D344-4C78-9884-64D9429F004E}" destId="{885D3FD7-4669-4EC1-88E1-DADE0EF1BB77}" srcOrd="1" destOrd="0" presId="urn:microsoft.com/office/officeart/2005/8/layout/hierarchy1"/>
    <dgm:cxn modelId="{4963D16D-6F20-424D-BFA8-2832B7B3F5AB}" type="presParOf" srcId="{885D3FD7-4669-4EC1-88E1-DADE0EF1BB77}" destId="{ADA771C4-795D-479E-BBD2-ED756AD20EDD}" srcOrd="0" destOrd="0" presId="urn:microsoft.com/office/officeart/2005/8/layout/hierarchy1"/>
    <dgm:cxn modelId="{4BB27EDD-79D1-4446-A2A8-8145EDFBD532}" type="presParOf" srcId="{885D3FD7-4669-4EC1-88E1-DADE0EF1BB77}" destId="{F0973928-E14D-4206-AE75-E8CED7C7961D}" srcOrd="1" destOrd="0" presId="urn:microsoft.com/office/officeart/2005/8/layout/hierarchy1"/>
    <dgm:cxn modelId="{B88E848B-7FAE-4B90-B2FA-E8652CF34844}" type="presParOf" srcId="{F0973928-E14D-4206-AE75-E8CED7C7961D}" destId="{32B66756-77A0-4F33-BDDA-53D3EE38805F}" srcOrd="0" destOrd="0" presId="urn:microsoft.com/office/officeart/2005/8/layout/hierarchy1"/>
    <dgm:cxn modelId="{144876FE-6C9D-4A86-AD21-EA671BB04DBC}" type="presParOf" srcId="{32B66756-77A0-4F33-BDDA-53D3EE38805F}" destId="{E79153C1-8BA4-430C-AAD1-12CACC6E5CD1}" srcOrd="0" destOrd="0" presId="urn:microsoft.com/office/officeart/2005/8/layout/hierarchy1"/>
    <dgm:cxn modelId="{7F97AC29-1693-49F7-AA34-F96120037897}" type="presParOf" srcId="{32B66756-77A0-4F33-BDDA-53D3EE38805F}" destId="{29E4DB5B-5AE8-4625-A383-409DF185BC01}" srcOrd="1" destOrd="0" presId="urn:microsoft.com/office/officeart/2005/8/layout/hierarchy1"/>
    <dgm:cxn modelId="{9DFF1E26-1F4F-436C-A25B-CFC20F7807E5}" type="presParOf" srcId="{F0973928-E14D-4206-AE75-E8CED7C7961D}" destId="{786E59D1-502D-493A-B8E9-A53C83229269}" srcOrd="1" destOrd="0" presId="urn:microsoft.com/office/officeart/2005/8/layout/hierarchy1"/>
    <dgm:cxn modelId="{DACC9075-BF90-4415-8509-DD2F0E6E0953}" type="presParOf" srcId="{786E59D1-502D-493A-B8E9-A53C83229269}" destId="{34C9408D-6056-46DC-AE7C-742506B77618}" srcOrd="0" destOrd="0" presId="urn:microsoft.com/office/officeart/2005/8/layout/hierarchy1"/>
    <dgm:cxn modelId="{F6F61C55-5A6C-4098-BF62-24C611EE46E2}" type="presParOf" srcId="{786E59D1-502D-493A-B8E9-A53C83229269}" destId="{9A90FB7A-A76F-42D8-B067-68250A25CAE4}" srcOrd="1" destOrd="0" presId="urn:microsoft.com/office/officeart/2005/8/layout/hierarchy1"/>
    <dgm:cxn modelId="{A7390518-FCF5-4D00-9805-B5D34BE651E9}" type="presParOf" srcId="{9A90FB7A-A76F-42D8-B067-68250A25CAE4}" destId="{E6E122E8-55E7-4131-BF34-42A3CF1EEE47}" srcOrd="0" destOrd="0" presId="urn:microsoft.com/office/officeart/2005/8/layout/hierarchy1"/>
    <dgm:cxn modelId="{D5A9ADCD-D60E-425C-BBCD-B2103D55FFC1}" type="presParOf" srcId="{E6E122E8-55E7-4131-BF34-42A3CF1EEE47}" destId="{9FB0D38F-25BF-4455-80B1-DDD2A1B6D58D}" srcOrd="0" destOrd="0" presId="urn:microsoft.com/office/officeart/2005/8/layout/hierarchy1"/>
    <dgm:cxn modelId="{E9D967CC-A634-44D0-9236-59755E778915}" type="presParOf" srcId="{E6E122E8-55E7-4131-BF34-42A3CF1EEE47}" destId="{64A8908B-F7BE-4B0F-BF97-F3295F9EA6B8}" srcOrd="1" destOrd="0" presId="urn:microsoft.com/office/officeart/2005/8/layout/hierarchy1"/>
    <dgm:cxn modelId="{AA68FF13-25D6-4846-B01A-4182B37E5EA4}" type="presParOf" srcId="{9A90FB7A-A76F-42D8-B067-68250A25CAE4}" destId="{523A2630-16B7-421B-AE9F-51C39593FD75}" srcOrd="1" destOrd="0" presId="urn:microsoft.com/office/officeart/2005/8/layout/hierarchy1"/>
    <dgm:cxn modelId="{F5A14A20-16F8-43F1-9BBD-250719D4016E}" type="presParOf" srcId="{523A2630-16B7-421B-AE9F-51C39593FD75}" destId="{875CCF52-B107-4623-AC57-3B73B00F6193}" srcOrd="0" destOrd="0" presId="urn:microsoft.com/office/officeart/2005/8/layout/hierarchy1"/>
    <dgm:cxn modelId="{1FF3EC36-57F7-4377-B693-8D354385FD2B}" type="presParOf" srcId="{523A2630-16B7-421B-AE9F-51C39593FD75}" destId="{53225DAC-73E2-4B7B-B0CC-D29E2D3483D6}" srcOrd="1" destOrd="0" presId="urn:microsoft.com/office/officeart/2005/8/layout/hierarchy1"/>
    <dgm:cxn modelId="{D5757C01-C6B6-4FFA-9565-5AA5844B2010}" type="presParOf" srcId="{53225DAC-73E2-4B7B-B0CC-D29E2D3483D6}" destId="{B7A222BA-68A8-4FDF-830F-EE2841DEC032}" srcOrd="0" destOrd="0" presId="urn:microsoft.com/office/officeart/2005/8/layout/hierarchy1"/>
    <dgm:cxn modelId="{11D44B08-83AD-4AED-8113-A74B70DA6A46}" type="presParOf" srcId="{B7A222BA-68A8-4FDF-830F-EE2841DEC032}" destId="{9DD496B0-029D-48C5-97F9-8C08D08E7F28}" srcOrd="0" destOrd="0" presId="urn:microsoft.com/office/officeart/2005/8/layout/hierarchy1"/>
    <dgm:cxn modelId="{50F602D6-BCB4-44AB-828C-5879153CCBAB}" type="presParOf" srcId="{B7A222BA-68A8-4FDF-830F-EE2841DEC032}" destId="{C7ED1DC9-6C37-4AFA-AE71-A13E754EAD19}" srcOrd="1" destOrd="0" presId="urn:microsoft.com/office/officeart/2005/8/layout/hierarchy1"/>
    <dgm:cxn modelId="{9BB040A6-E8BA-4297-AF02-CEC1BCB60C8F}" type="presParOf" srcId="{53225DAC-73E2-4B7B-B0CC-D29E2D3483D6}" destId="{58435CCF-11AE-4EB5-9601-14150CB45A02}" srcOrd="1" destOrd="0" presId="urn:microsoft.com/office/officeart/2005/8/layout/hierarchy1"/>
    <dgm:cxn modelId="{60D20A9B-41B1-462B-A244-639DC673138C}" type="presParOf" srcId="{58435CCF-11AE-4EB5-9601-14150CB45A02}" destId="{29B23903-983A-431C-8F7A-B251DF50C289}" srcOrd="0" destOrd="0" presId="urn:microsoft.com/office/officeart/2005/8/layout/hierarchy1"/>
    <dgm:cxn modelId="{D3A45027-2771-4552-B54A-DA3F1DBE099F}" type="presParOf" srcId="{58435CCF-11AE-4EB5-9601-14150CB45A02}" destId="{EBA55470-8A1D-4990-9259-666718FED74C}" srcOrd="1" destOrd="0" presId="urn:microsoft.com/office/officeart/2005/8/layout/hierarchy1"/>
    <dgm:cxn modelId="{1E9F920C-6ECD-41F6-9214-89AA042F99C6}" type="presParOf" srcId="{EBA55470-8A1D-4990-9259-666718FED74C}" destId="{EB89B23E-6657-409F-B8F1-06F226B883BB}" srcOrd="0" destOrd="0" presId="urn:microsoft.com/office/officeart/2005/8/layout/hierarchy1"/>
    <dgm:cxn modelId="{46CC2EED-2A25-47FA-9A8B-A732DD36A206}" type="presParOf" srcId="{EB89B23E-6657-409F-B8F1-06F226B883BB}" destId="{45047FDD-ECA5-4746-B61E-10369D06CDD8}" srcOrd="0" destOrd="0" presId="urn:microsoft.com/office/officeart/2005/8/layout/hierarchy1"/>
    <dgm:cxn modelId="{C851D019-F564-44AA-BFB0-DAD9BA0480F0}" type="presParOf" srcId="{EB89B23E-6657-409F-B8F1-06F226B883BB}" destId="{BB88129B-5508-494E-90F4-64934EE8C50D}" srcOrd="1" destOrd="0" presId="urn:microsoft.com/office/officeart/2005/8/layout/hierarchy1"/>
    <dgm:cxn modelId="{4201B43F-5067-4843-8AEC-0CC2CF691934}" type="presParOf" srcId="{EBA55470-8A1D-4990-9259-666718FED74C}" destId="{C8803FB2-6B66-46F5-9CE6-4E760CA3A7A8}" srcOrd="1" destOrd="0" presId="urn:microsoft.com/office/officeart/2005/8/layout/hierarchy1"/>
    <dgm:cxn modelId="{79ABD998-1987-4F24-9363-CF72BB77F05C}" type="presParOf" srcId="{523A2630-16B7-421B-AE9F-51C39593FD75}" destId="{6303E870-624B-497C-99FF-D2E2A41E1C7D}" srcOrd="2" destOrd="0" presId="urn:microsoft.com/office/officeart/2005/8/layout/hierarchy1"/>
    <dgm:cxn modelId="{DB0C1CEF-83C8-4F10-9C25-0C1A26709467}" type="presParOf" srcId="{523A2630-16B7-421B-AE9F-51C39593FD75}" destId="{23BFD761-3980-4E68-8B80-6E4BC648CE84}" srcOrd="3" destOrd="0" presId="urn:microsoft.com/office/officeart/2005/8/layout/hierarchy1"/>
    <dgm:cxn modelId="{D602E37F-39A8-4F3D-959C-A7069395C731}" type="presParOf" srcId="{23BFD761-3980-4E68-8B80-6E4BC648CE84}" destId="{ECF854DE-78E4-4DFA-816A-37AEBD0E17FC}" srcOrd="0" destOrd="0" presId="urn:microsoft.com/office/officeart/2005/8/layout/hierarchy1"/>
    <dgm:cxn modelId="{4C2C995B-6FE2-4FA1-9C8C-3A37B2FD9B22}" type="presParOf" srcId="{ECF854DE-78E4-4DFA-816A-37AEBD0E17FC}" destId="{08E736E4-3C4E-4FA2-9CBF-0FCFE22AF028}" srcOrd="0" destOrd="0" presId="urn:microsoft.com/office/officeart/2005/8/layout/hierarchy1"/>
    <dgm:cxn modelId="{097B426E-53AC-4A76-AD4F-5DFCAD196426}" type="presParOf" srcId="{ECF854DE-78E4-4DFA-816A-37AEBD0E17FC}" destId="{23272BD2-3507-4D6F-AF7C-32BDB7C4D32A}" srcOrd="1" destOrd="0" presId="urn:microsoft.com/office/officeart/2005/8/layout/hierarchy1"/>
    <dgm:cxn modelId="{7B660157-F131-413E-809F-96FBE486923F}" type="presParOf" srcId="{23BFD761-3980-4E68-8B80-6E4BC648CE84}" destId="{79F04668-AFE8-4B87-9A66-C70D0D7B20A7}" srcOrd="1" destOrd="0" presId="urn:microsoft.com/office/officeart/2005/8/layout/hierarchy1"/>
    <dgm:cxn modelId="{D8042315-C1A9-4E9D-912D-B99CAB0EF38F}" type="presParOf" srcId="{786E59D1-502D-493A-B8E9-A53C83229269}" destId="{2E6EA78C-07C8-4BF3-B381-FA6323E8A6EB}" srcOrd="2" destOrd="0" presId="urn:microsoft.com/office/officeart/2005/8/layout/hierarchy1"/>
    <dgm:cxn modelId="{5A8066E7-7506-4542-B70D-B7A840514B21}" type="presParOf" srcId="{786E59D1-502D-493A-B8E9-A53C83229269}" destId="{A6CB71B0-83D1-4507-BEEB-C9F481152B3F}" srcOrd="3" destOrd="0" presId="urn:microsoft.com/office/officeart/2005/8/layout/hierarchy1"/>
    <dgm:cxn modelId="{431EC3E7-2EA9-4081-9286-7E52091CFE1C}" type="presParOf" srcId="{A6CB71B0-83D1-4507-BEEB-C9F481152B3F}" destId="{791E76A5-48F5-48E5-82D0-67CB74DB04A4}" srcOrd="0" destOrd="0" presId="urn:microsoft.com/office/officeart/2005/8/layout/hierarchy1"/>
    <dgm:cxn modelId="{B5FBE6FD-5CF0-4455-A0DA-572500D321C3}" type="presParOf" srcId="{791E76A5-48F5-48E5-82D0-67CB74DB04A4}" destId="{09A6BA5D-B333-4569-9F35-B0C0145AE529}" srcOrd="0" destOrd="0" presId="urn:microsoft.com/office/officeart/2005/8/layout/hierarchy1"/>
    <dgm:cxn modelId="{D29B42B4-7D80-420A-ADE5-958D1A338D64}" type="presParOf" srcId="{791E76A5-48F5-48E5-82D0-67CB74DB04A4}" destId="{20032DBE-6CFA-47A1-AD42-0E350037F03E}" srcOrd="1" destOrd="0" presId="urn:microsoft.com/office/officeart/2005/8/layout/hierarchy1"/>
    <dgm:cxn modelId="{1324F825-2494-4219-AB17-FC6342B913C0}" type="presParOf" srcId="{A6CB71B0-83D1-4507-BEEB-C9F481152B3F}" destId="{194D4472-D1B0-460E-BD3D-70F90C2AEC42}" srcOrd="1" destOrd="0" presId="urn:microsoft.com/office/officeart/2005/8/layout/hierarchy1"/>
    <dgm:cxn modelId="{2DBE8F65-A80D-4C8C-95C8-6A304C9A3228}" type="presParOf" srcId="{194D4472-D1B0-460E-BD3D-70F90C2AEC42}" destId="{6BF9AE6C-2C6C-415D-AA46-3A4C9B74FEA9}" srcOrd="0" destOrd="0" presId="urn:microsoft.com/office/officeart/2005/8/layout/hierarchy1"/>
    <dgm:cxn modelId="{6E2B0A42-C4D0-43E8-A9E6-9D0F0777676B}" type="presParOf" srcId="{194D4472-D1B0-460E-BD3D-70F90C2AEC42}" destId="{FD914EDF-EFC3-4428-8309-1EC4BA945DA4}" srcOrd="1" destOrd="0" presId="urn:microsoft.com/office/officeart/2005/8/layout/hierarchy1"/>
    <dgm:cxn modelId="{7F381DED-4C9E-4276-9F4F-C807467D24E4}" type="presParOf" srcId="{FD914EDF-EFC3-4428-8309-1EC4BA945DA4}" destId="{B40CD65C-3201-47EB-91EF-962229D31BEE}" srcOrd="0" destOrd="0" presId="urn:microsoft.com/office/officeart/2005/8/layout/hierarchy1"/>
    <dgm:cxn modelId="{22E23465-F038-4471-BAC3-A5037834A2D1}" type="presParOf" srcId="{B40CD65C-3201-47EB-91EF-962229D31BEE}" destId="{79548BA7-E8E1-4099-989F-3E5C28EDD2CB}" srcOrd="0" destOrd="0" presId="urn:microsoft.com/office/officeart/2005/8/layout/hierarchy1"/>
    <dgm:cxn modelId="{5F897BAE-5927-4BA3-906F-4B897BB920E8}" type="presParOf" srcId="{B40CD65C-3201-47EB-91EF-962229D31BEE}" destId="{33FBCFD2-F7B6-44B1-9704-6A937C313117}" srcOrd="1" destOrd="0" presId="urn:microsoft.com/office/officeart/2005/8/layout/hierarchy1"/>
    <dgm:cxn modelId="{7FD005CB-FB2C-4A55-B15B-20925C789BE0}" type="presParOf" srcId="{FD914EDF-EFC3-4428-8309-1EC4BA945DA4}" destId="{7D61CA68-B952-41A0-9F5A-CCF473D66358}" srcOrd="1" destOrd="0" presId="urn:microsoft.com/office/officeart/2005/8/layout/hierarchy1"/>
    <dgm:cxn modelId="{33F7C838-E9FD-4BC2-A905-F9EEC99E8C19}" type="presParOf" srcId="{7D61CA68-B952-41A0-9F5A-CCF473D66358}" destId="{FD95EA2F-A009-41B0-9DAD-661E3D21361A}" srcOrd="0" destOrd="0" presId="urn:microsoft.com/office/officeart/2005/8/layout/hierarchy1"/>
    <dgm:cxn modelId="{10CF9BF1-31D4-4218-8D9F-ADEE40FC824D}" type="presParOf" srcId="{7D61CA68-B952-41A0-9F5A-CCF473D66358}" destId="{1DBF93AD-6B2F-41CC-A3CB-B4EF772F1465}" srcOrd="1" destOrd="0" presId="urn:microsoft.com/office/officeart/2005/8/layout/hierarchy1"/>
    <dgm:cxn modelId="{9C4DB8C2-A664-4A22-9484-D97E35C2CBBD}" type="presParOf" srcId="{1DBF93AD-6B2F-41CC-A3CB-B4EF772F1465}" destId="{3D9AB2FC-1C49-465F-9E4C-E062246645AB}" srcOrd="0" destOrd="0" presId="urn:microsoft.com/office/officeart/2005/8/layout/hierarchy1"/>
    <dgm:cxn modelId="{CC628E4D-0A92-4A30-9F02-E0F61704531D}" type="presParOf" srcId="{3D9AB2FC-1C49-465F-9E4C-E062246645AB}" destId="{5D25DBC5-8590-495C-AAFB-0FD86BC46258}" srcOrd="0" destOrd="0" presId="urn:microsoft.com/office/officeart/2005/8/layout/hierarchy1"/>
    <dgm:cxn modelId="{FF8445DB-EF86-4C04-834C-77B6E4D71437}" type="presParOf" srcId="{3D9AB2FC-1C49-465F-9E4C-E062246645AB}" destId="{5B0330FF-27A5-493A-B9DB-9C051E6B2619}" srcOrd="1" destOrd="0" presId="urn:microsoft.com/office/officeart/2005/8/layout/hierarchy1"/>
    <dgm:cxn modelId="{9690F996-C300-4AE2-85D8-11A99CE914BB}" type="presParOf" srcId="{1DBF93AD-6B2F-41CC-A3CB-B4EF772F1465}" destId="{F7232B54-C3A3-4447-B0D0-E831261FC8B3}" srcOrd="1" destOrd="0" presId="urn:microsoft.com/office/officeart/2005/8/layout/hierarchy1"/>
    <dgm:cxn modelId="{AB15BEEA-62A2-4511-B8CD-B5DCCC0616E4}" type="presParOf" srcId="{F7232B54-C3A3-4447-B0D0-E831261FC8B3}" destId="{B0795270-207A-40F1-B170-1DECFA51948F}" srcOrd="0" destOrd="0" presId="urn:microsoft.com/office/officeart/2005/8/layout/hierarchy1"/>
    <dgm:cxn modelId="{2CC3D888-95F7-4F22-B354-4E582FDEDCEC}" type="presParOf" srcId="{F7232B54-C3A3-4447-B0D0-E831261FC8B3}" destId="{E48D8CEE-D97F-453E-86FF-A131A8995D45}" srcOrd="1" destOrd="0" presId="urn:microsoft.com/office/officeart/2005/8/layout/hierarchy1"/>
    <dgm:cxn modelId="{B497F178-62AB-4DEF-8054-4F713E927BAD}" type="presParOf" srcId="{E48D8CEE-D97F-453E-86FF-A131A8995D45}" destId="{2D27455A-8523-4191-8F47-6CC186A64CAC}" srcOrd="0" destOrd="0" presId="urn:microsoft.com/office/officeart/2005/8/layout/hierarchy1"/>
    <dgm:cxn modelId="{D902E068-2CE8-4BF4-96C0-B7007BFA515D}" type="presParOf" srcId="{2D27455A-8523-4191-8F47-6CC186A64CAC}" destId="{AFD1C9A0-5D2A-44A6-B7FB-54A0EDC2123C}" srcOrd="0" destOrd="0" presId="urn:microsoft.com/office/officeart/2005/8/layout/hierarchy1"/>
    <dgm:cxn modelId="{99D46BC7-4416-4561-9813-13F7A85FF465}" type="presParOf" srcId="{2D27455A-8523-4191-8F47-6CC186A64CAC}" destId="{984E19FA-797E-4655-B686-64AC89BEB473}" srcOrd="1" destOrd="0" presId="urn:microsoft.com/office/officeart/2005/8/layout/hierarchy1"/>
    <dgm:cxn modelId="{38EB5AA4-FF15-40FB-8EB8-B8E358B4EADB}" type="presParOf" srcId="{E48D8CEE-D97F-453E-86FF-A131A8995D45}" destId="{F07E4390-C62B-4B1D-9151-5E985D0CAB01}" srcOrd="1" destOrd="0" presId="urn:microsoft.com/office/officeart/2005/8/layout/hierarchy1"/>
    <dgm:cxn modelId="{1C91C463-EE39-4AD8-8469-A05BA65A2F34}" type="presParOf" srcId="{F7232B54-C3A3-4447-B0D0-E831261FC8B3}" destId="{228F0E35-2738-4A37-AE1E-3901DFF834D6}" srcOrd="2" destOrd="0" presId="urn:microsoft.com/office/officeart/2005/8/layout/hierarchy1"/>
    <dgm:cxn modelId="{F7C124A4-190E-4967-B7F3-0E98DAD0AB3C}" type="presParOf" srcId="{F7232B54-C3A3-4447-B0D0-E831261FC8B3}" destId="{3B4CDFDB-F960-4989-8DC7-023213A1049E}" srcOrd="3" destOrd="0" presId="urn:microsoft.com/office/officeart/2005/8/layout/hierarchy1"/>
    <dgm:cxn modelId="{CE942F22-9FE6-481E-B541-2CB20F7F6C3B}" type="presParOf" srcId="{3B4CDFDB-F960-4989-8DC7-023213A1049E}" destId="{2897B8EB-183A-4A37-B398-7DE7AF214E1A}" srcOrd="0" destOrd="0" presId="urn:microsoft.com/office/officeart/2005/8/layout/hierarchy1"/>
    <dgm:cxn modelId="{63FD37A1-4838-444F-BD3B-BD083C4217D4}" type="presParOf" srcId="{2897B8EB-183A-4A37-B398-7DE7AF214E1A}" destId="{779047DF-DC20-4A9D-98D7-9034EA2F12AB}" srcOrd="0" destOrd="0" presId="urn:microsoft.com/office/officeart/2005/8/layout/hierarchy1"/>
    <dgm:cxn modelId="{B5AFC55F-14A9-4F0E-AED5-7B8F2902EA01}" type="presParOf" srcId="{2897B8EB-183A-4A37-B398-7DE7AF214E1A}" destId="{DFC54ED5-5952-4B26-98EA-F05CA3B2DC4F}" srcOrd="1" destOrd="0" presId="urn:microsoft.com/office/officeart/2005/8/layout/hierarchy1"/>
    <dgm:cxn modelId="{E16226A6-4A30-44BC-99D8-CE7ADAEC4A6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A66B015-8745-4226-97E3-2C99FBB26618}" type="presOf" srcId="{C0B4462B-87FA-4D12-9FB7-7F55642795DD}" destId="{E585A3D6-9285-40AD-A1AF-49EC86300BFE}" srcOrd="1" destOrd="0" presId="urn:microsoft.com/office/officeart/2005/8/layout/venn2"/>
    <dgm:cxn modelId="{420CDBF6-707F-482A-94CC-8CEEA67F8C51}" type="presOf" srcId="{C0B4462B-87FA-4D12-9FB7-7F55642795DD}" destId="{9FD5A989-9F07-42FE-876F-D9DDF1134325}" srcOrd="0" destOrd="0" presId="urn:microsoft.com/office/officeart/2005/8/layout/venn2"/>
    <dgm:cxn modelId="{72181941-F15D-4E27-BCB8-016A8D68205A}" type="presOf" srcId="{09553C64-5D9E-4EA9-B256-0A22DC3BFEC5}" destId="{E5D928AE-1E46-4CC1-B2AB-10E98C4A6D1E}" srcOrd="0" destOrd="0" presId="urn:microsoft.com/office/officeart/2005/8/layout/venn2"/>
    <dgm:cxn modelId="{D178313D-BCA5-4934-B970-3FB1B10D53FE}"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120A8DF1-294D-4961-B470-796B05DCCEBB}" type="presOf" srcId="{2D7565F1-3FD1-45CB-B101-2AD2230CCE25}" destId="{7190D432-D0C8-43DB-92CD-306A94BEBAA0}" srcOrd="1" destOrd="0" presId="urn:microsoft.com/office/officeart/2005/8/layout/venn2"/>
    <dgm:cxn modelId="{45A21266-4A82-44B0-AA59-43EECD47CE0C}" type="presOf" srcId="{2D7565F1-3FD1-45CB-B101-2AD2230CCE25}" destId="{3A1C9C2B-C6A3-41F9-AA35-A638DFAEDDD0}" srcOrd="0" destOrd="0" presId="urn:microsoft.com/office/officeart/2005/8/layout/venn2"/>
    <dgm:cxn modelId="{752B5DDA-56A9-4416-80B9-816F3EDCEFD1}" type="presOf" srcId="{F20767A4-F2F1-4F37-B705-CA6957DD9298}" destId="{B37D50A2-8179-4F86-8F50-A29CF382A52C}" srcOrd="1" destOrd="0" presId="urn:microsoft.com/office/officeart/2005/8/layout/venn2"/>
    <dgm:cxn modelId="{AFB51557-12E9-4386-8217-EE913FAB20BE}" type="presParOf" srcId="{E5D928AE-1E46-4CC1-B2AB-10E98C4A6D1E}" destId="{1D3E6EA9-9555-44B7-9907-E9EFFE97D1F5}" srcOrd="0" destOrd="0" presId="urn:microsoft.com/office/officeart/2005/8/layout/venn2"/>
    <dgm:cxn modelId="{79CAF58A-BBC9-4F4B-9DDD-30C0903CBC6A}" type="presParOf" srcId="{1D3E6EA9-9555-44B7-9907-E9EFFE97D1F5}" destId="{9FD5A989-9F07-42FE-876F-D9DDF1134325}" srcOrd="0" destOrd="0" presId="urn:microsoft.com/office/officeart/2005/8/layout/venn2"/>
    <dgm:cxn modelId="{1D6828AF-A949-4F13-A325-218CCD1E53D8}" type="presParOf" srcId="{1D3E6EA9-9555-44B7-9907-E9EFFE97D1F5}" destId="{E585A3D6-9285-40AD-A1AF-49EC86300BFE}" srcOrd="1" destOrd="0" presId="urn:microsoft.com/office/officeart/2005/8/layout/venn2"/>
    <dgm:cxn modelId="{12FA07B8-5E3E-412D-AAF2-887D09541D50}" type="presParOf" srcId="{E5D928AE-1E46-4CC1-B2AB-10E98C4A6D1E}" destId="{D10DF1C6-0F39-41A2-972A-6FC53CE6EBB7}" srcOrd="1" destOrd="0" presId="urn:microsoft.com/office/officeart/2005/8/layout/venn2"/>
    <dgm:cxn modelId="{9C3C3BB6-43B8-40EC-98BD-9A2E5B952F4B}" type="presParOf" srcId="{D10DF1C6-0F39-41A2-972A-6FC53CE6EBB7}" destId="{19A2BF32-79ED-4483-84CF-CC55B887441E}" srcOrd="0" destOrd="0" presId="urn:microsoft.com/office/officeart/2005/8/layout/venn2"/>
    <dgm:cxn modelId="{47AE940B-A9D9-41D8-BF18-C0631BE80829}" type="presParOf" srcId="{D10DF1C6-0F39-41A2-972A-6FC53CE6EBB7}" destId="{B37D50A2-8179-4F86-8F50-A29CF382A52C}" srcOrd="1" destOrd="0" presId="urn:microsoft.com/office/officeart/2005/8/layout/venn2"/>
    <dgm:cxn modelId="{DAE1D5AF-F794-4921-914C-EF6AF2D2C964}" type="presParOf" srcId="{E5D928AE-1E46-4CC1-B2AB-10E98C4A6D1E}" destId="{E0244CAC-7FC5-44A1-9601-C2660C342D2E}" srcOrd="2" destOrd="0" presId="urn:microsoft.com/office/officeart/2005/8/layout/venn2"/>
    <dgm:cxn modelId="{0533EDDA-E299-4A8C-9BC0-2E0434F0CF21}" type="presParOf" srcId="{E0244CAC-7FC5-44A1-9601-C2660C342D2E}" destId="{3A1C9C2B-C6A3-41F9-AA35-A638DFAEDDD0}" srcOrd="0" destOrd="0" presId="urn:microsoft.com/office/officeart/2005/8/layout/venn2"/>
    <dgm:cxn modelId="{FB5B1D22-2913-4636-A235-B0F9E8A964E5}"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layout10.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0D887-A1A7-4A8F-9BDB-0A0CEAA8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Application>LibreOffice/5.1.4.2$Linux_X86_64 LibreOffice_project/10m0$Build-2</Application>
  <Pages>109</Pages>
  <Words>37019</Words>
  <Characters>200089</Characters>
  <CharactersWithSpaces>235966</CharactersWithSpaces>
  <Paragraphs>785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2016-08-28T12:19:00Z</dcterms:created>
  <dc:creator>Ioannis Maragos</dc:creator>
  <dc:description/>
  <dc:language>en-US</dc:language>
  <cp:lastModifiedBy/>
  <cp:lastPrinted>2016-05-19T19:37:00Z</cp:lastPrinted>
  <dcterms:modified xsi:type="dcterms:W3CDTF">2016-08-28T15:34:57Z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9" name="ZOTERO_PREF_2">
    <vt:lpwstr>nces" value="true"/&gt;&lt;pref name="automaticJournalAbbreviations" value="true"/&gt;&lt;pref name="noteType" value=""/&gt;&lt;/prefs&gt;&lt;/data&gt;</vt:lpwstr>
  </property>
</Properties>
</file>