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FE7" w:rsidRDefault="008E1815" w:rsidP="0015510A">
      <w:pPr>
        <w:rPr>
          <w:rFonts w:ascii="Times New Roman" w:eastAsia="Times New Roman" w:hAnsi="Times New Roman" w:cs="Times New Roman"/>
          <w:sz w:val="24"/>
          <w:szCs w:val="24"/>
          <w:lang w:val="es-MX" w:eastAsia="es-MX"/>
        </w:rPr>
      </w:pPr>
      <w:r w:rsidRPr="008E1815">
        <w:rPr>
          <w:noProof/>
          <w:lang w:val="es-MX" w:eastAsia="es-MX"/>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Cuadro de texto 2" o:spid="_x0000_s1026" type="#_x0000_t176" style="position:absolute;margin-left:134.6pt;margin-top:-25.3pt;width:429.75pt;height:79.05pt;z-index:251659776;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" fillcolor="#f79646 [3209]" strokecolor="#f2f2f2 [3041]" strokeweight="3pt">
            <v:shadow on="t" color="#974706 [1609]" opacity=".5" offset="1pt"/>
            <v:textbox>
              <w:txbxContent>
                <w:p w:rsidR="009F68C5" w:rsidRPr="006B5537" w:rsidRDefault="003D35C6" w:rsidP="00AF73DE">
                  <w:pPr>
                    <w:jc w:val="center"/>
                    <w:rPr>
                      <w:sz w:val="28"/>
                      <w:szCs w:val="28"/>
                    </w:rPr>
                  </w:pPr>
                  <w:r>
                    <w:rPr>
                      <w:sz w:val="28"/>
                      <w:szCs w:val="28"/>
                    </w:rPr>
                    <w:t xml:space="preserve">Practica. </w:t>
                  </w:r>
                  <w:bookmarkStart w:id="0" w:name="_GoBack"/>
                  <w:bookmarkEnd w:id="0"/>
                  <w:r w:rsidR="006D2279" w:rsidRPr="006B5537">
                    <w:rPr>
                      <w:sz w:val="28"/>
                      <w:szCs w:val="28"/>
                    </w:rPr>
                    <w:t xml:space="preserve">EVALUACION DE UN PROYECTO DE INVERSION </w:t>
                  </w:r>
                </w:p>
                <w:p w:rsidR="00AF73DE" w:rsidRPr="006B5537" w:rsidRDefault="00AF0BF0" w:rsidP="00AF73DE">
                  <w:pPr>
                    <w:jc w:val="center"/>
                    <w:rPr>
                      <w:sz w:val="28"/>
                      <w:szCs w:val="28"/>
                    </w:rPr>
                  </w:pPr>
                  <w:r w:rsidRPr="006B5537">
                    <w:rPr>
                      <w:sz w:val="28"/>
                      <w:szCs w:val="28"/>
                    </w:rPr>
                    <w:t>“CALZADO</w:t>
                  </w:r>
                  <w:r w:rsidR="009F68C5" w:rsidRPr="006B5537">
                    <w:rPr>
                      <w:sz w:val="28"/>
                      <w:szCs w:val="28"/>
                    </w:rPr>
                    <w:t xml:space="preserve"> GABY, S.A”</w:t>
                  </w:r>
                  <w:r w:rsidR="00E13B92" w:rsidRPr="006B5537">
                    <w:rPr>
                      <w:sz w:val="28"/>
                      <w:szCs w:val="28"/>
                    </w:rPr>
                    <w:t xml:space="preserve"> </w:t>
                  </w:r>
                </w:p>
                <w:p w:rsidR="006D2279" w:rsidRPr="00C07F38" w:rsidRDefault="006D2279" w:rsidP="00AF73DE">
                  <w:pPr>
                    <w:jc w:val="center"/>
                    <w:rPr>
                      <w:sz w:val="36"/>
                      <w:szCs w:val="36"/>
                    </w:rPr>
                  </w:pPr>
                </w:p>
              </w:txbxContent>
            </v:textbox>
            <w10:wrap type="topAndBottom" anchorx="page"/>
          </v:shape>
        </w:pict>
      </w:r>
      <w:r w:rsidR="006B5537">
        <w:rPr>
          <w:noProof/>
          <w:lang w:eastAsia="es-ES"/>
        </w:rPr>
        <w:drawing>
          <wp:anchor distT="0" distB="0" distL="114300" distR="114300" simplePos="0" relativeHeight="251654656" behindDoc="0" locked="0" layoutInCell="1" allowOverlap="1">
            <wp:simplePos x="0" y="0"/>
            <wp:positionH relativeFrom="column">
              <wp:posOffset>-634972</wp:posOffset>
            </wp:positionH>
            <wp:positionV relativeFrom="paragraph">
              <wp:posOffset>197320</wp:posOffset>
            </wp:positionV>
            <wp:extent cx="933450" cy="314325"/>
            <wp:effectExtent l="0" t="0" r="0" b="0"/>
            <wp:wrapSquare wrapText="bothSides"/>
            <wp:docPr id="3" name="Imagen 3" descr="Resultado de imagen para vpn y 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vpn y ti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3450" cy="314325"/>
                    </a:xfrm>
                    <a:prstGeom prst="rect">
                      <a:avLst/>
                    </a:prstGeom>
                    <a:noFill/>
                    <a:ln>
                      <a:noFill/>
                    </a:ln>
                  </pic:spPr>
                </pic:pic>
              </a:graphicData>
            </a:graphic>
          </wp:anchor>
        </w:drawing>
      </w:r>
    </w:p>
    <w:p w:rsidR="00A510D5" w:rsidRDefault="009F68C5"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El Lic. Saúl Morales, gerente de proyectos de la empresa “</w:t>
      </w:r>
      <w:r w:rsidR="00BD6D39">
        <w:rPr>
          <w:rFonts w:ascii="Times New Roman" w:eastAsia="Times New Roman" w:hAnsi="Times New Roman" w:cs="Times New Roman"/>
          <w:sz w:val="24"/>
          <w:szCs w:val="24"/>
          <w:lang w:val="es-MX" w:eastAsia="es-MX"/>
        </w:rPr>
        <w:t>Calzado</w:t>
      </w:r>
      <w:r>
        <w:rPr>
          <w:rFonts w:ascii="Times New Roman" w:eastAsia="Times New Roman" w:hAnsi="Times New Roman" w:cs="Times New Roman"/>
          <w:sz w:val="24"/>
          <w:szCs w:val="24"/>
          <w:lang w:val="es-MX" w:eastAsia="es-MX"/>
        </w:rPr>
        <w:t xml:space="preserve"> Gaby, S.A” localizada en la Ciudad  de Monterre</w:t>
      </w:r>
      <w:r w:rsidR="007320F2">
        <w:rPr>
          <w:rFonts w:ascii="Times New Roman" w:eastAsia="Times New Roman" w:hAnsi="Times New Roman" w:cs="Times New Roman"/>
          <w:sz w:val="24"/>
          <w:szCs w:val="24"/>
          <w:lang w:val="es-MX" w:eastAsia="es-MX"/>
        </w:rPr>
        <w:t>y, se encontraba en mayo de 2016</w:t>
      </w:r>
      <w:r w:rsidR="00BD6D39">
        <w:rPr>
          <w:rFonts w:ascii="Times New Roman" w:eastAsia="Times New Roman" w:hAnsi="Times New Roman" w:cs="Times New Roman"/>
          <w:sz w:val="24"/>
          <w:szCs w:val="24"/>
          <w:lang w:val="es-MX" w:eastAsia="es-MX"/>
        </w:rPr>
        <w:t xml:space="preserve"> en la feria de Calzado</w:t>
      </w:r>
      <w:r>
        <w:rPr>
          <w:rFonts w:ascii="Times New Roman" w:eastAsia="Times New Roman" w:hAnsi="Times New Roman" w:cs="Times New Roman"/>
          <w:sz w:val="24"/>
          <w:szCs w:val="24"/>
          <w:lang w:val="es-MX" w:eastAsia="es-MX"/>
        </w:rPr>
        <w:t xml:space="preserve"> de la Ciudad de México para contactar a los proveedores de maquinaria y equipo que requeriría la empresa para el proyecto del lanzamiento de una nueva línea </w:t>
      </w:r>
      <w:r w:rsidR="00BD6D39">
        <w:rPr>
          <w:rFonts w:ascii="Times New Roman" w:eastAsia="Times New Roman" w:hAnsi="Times New Roman" w:cs="Times New Roman"/>
          <w:sz w:val="24"/>
          <w:szCs w:val="24"/>
          <w:lang w:val="es-MX" w:eastAsia="es-MX"/>
        </w:rPr>
        <w:t>de zapatos para dama</w:t>
      </w:r>
      <w:r>
        <w:rPr>
          <w:rFonts w:ascii="Times New Roman" w:eastAsia="Times New Roman" w:hAnsi="Times New Roman" w:cs="Times New Roman"/>
          <w:sz w:val="24"/>
          <w:szCs w:val="24"/>
          <w:lang w:val="es-MX" w:eastAsia="es-MX"/>
        </w:rPr>
        <w:t xml:space="preserve"> en el mercado de Centroamérica. Al llegar a su hotel encontró un informe que recientemente había enviado la Cámara</w:t>
      </w:r>
      <w:r w:rsidR="00D34300">
        <w:rPr>
          <w:rFonts w:ascii="Times New Roman" w:eastAsia="Times New Roman" w:hAnsi="Times New Roman" w:cs="Times New Roman"/>
          <w:sz w:val="24"/>
          <w:szCs w:val="24"/>
          <w:lang w:val="es-MX" w:eastAsia="es-MX"/>
        </w:rPr>
        <w:t xml:space="preserve"> de la industria del Calzado</w:t>
      </w:r>
      <w:r>
        <w:rPr>
          <w:rFonts w:ascii="Times New Roman" w:eastAsia="Times New Roman" w:hAnsi="Times New Roman" w:cs="Times New Roman"/>
          <w:sz w:val="24"/>
          <w:szCs w:val="24"/>
          <w:lang w:val="es-MX" w:eastAsia="es-MX"/>
        </w:rPr>
        <w:t xml:space="preserve"> sobre la entrada de China a la Organización</w:t>
      </w:r>
      <w:r w:rsidR="007320F2">
        <w:rPr>
          <w:rFonts w:ascii="Times New Roman" w:eastAsia="Times New Roman" w:hAnsi="Times New Roman" w:cs="Times New Roman"/>
          <w:sz w:val="24"/>
          <w:szCs w:val="24"/>
          <w:lang w:val="es-MX" w:eastAsia="es-MX"/>
        </w:rPr>
        <w:t xml:space="preserve"> Mundial de Comercio, lo que provocaría un incremento en las exp</w:t>
      </w:r>
      <w:r w:rsidR="00D34300">
        <w:rPr>
          <w:rFonts w:ascii="Times New Roman" w:eastAsia="Times New Roman" w:hAnsi="Times New Roman" w:cs="Times New Roman"/>
          <w:sz w:val="24"/>
          <w:szCs w:val="24"/>
          <w:lang w:val="es-MX" w:eastAsia="es-MX"/>
        </w:rPr>
        <w:t>ortaciones de calzado</w:t>
      </w:r>
      <w:r w:rsidR="007320F2">
        <w:rPr>
          <w:rFonts w:ascii="Times New Roman" w:eastAsia="Times New Roman" w:hAnsi="Times New Roman" w:cs="Times New Roman"/>
          <w:sz w:val="24"/>
          <w:szCs w:val="24"/>
          <w:lang w:val="es-MX" w:eastAsia="es-MX"/>
        </w:rPr>
        <w:t xml:space="preserve"> de ese país hacia Centroamérica y  por lo tanto podría af</w:t>
      </w:r>
      <w:r w:rsidR="00D34300">
        <w:rPr>
          <w:rFonts w:ascii="Times New Roman" w:eastAsia="Times New Roman" w:hAnsi="Times New Roman" w:cs="Times New Roman"/>
          <w:sz w:val="24"/>
          <w:szCs w:val="24"/>
          <w:lang w:val="es-MX" w:eastAsia="es-MX"/>
        </w:rPr>
        <w:t>ectar las exportaciones de calzado</w:t>
      </w:r>
      <w:r w:rsidR="007320F2">
        <w:rPr>
          <w:rFonts w:ascii="Times New Roman" w:eastAsia="Times New Roman" w:hAnsi="Times New Roman" w:cs="Times New Roman"/>
          <w:sz w:val="24"/>
          <w:szCs w:val="24"/>
          <w:lang w:val="es-MX" w:eastAsia="es-MX"/>
        </w:rPr>
        <w:t xml:space="preserve"> de México a ese mercado previstas </w:t>
      </w:r>
      <w:proofErr w:type="gramStart"/>
      <w:r w:rsidR="007320F2">
        <w:rPr>
          <w:rFonts w:ascii="Times New Roman" w:eastAsia="Times New Roman" w:hAnsi="Times New Roman" w:cs="Times New Roman"/>
          <w:sz w:val="24"/>
          <w:szCs w:val="24"/>
          <w:lang w:val="es-MX" w:eastAsia="es-MX"/>
        </w:rPr>
        <w:t>para</w:t>
      </w:r>
      <w:proofErr w:type="gramEnd"/>
      <w:r w:rsidR="007320F2">
        <w:rPr>
          <w:rFonts w:ascii="Times New Roman" w:eastAsia="Times New Roman" w:hAnsi="Times New Roman" w:cs="Times New Roman"/>
          <w:sz w:val="24"/>
          <w:szCs w:val="24"/>
          <w:lang w:val="es-MX" w:eastAsia="es-MX"/>
        </w:rPr>
        <w:t xml:space="preserve"> los próximos cinco años, ya que se estimaba que la ventas pronosticadas se podrían reducir desde un 25 hasta un 50</w:t>
      </w:r>
      <w:r w:rsidR="00D34300">
        <w:rPr>
          <w:rFonts w:ascii="Times New Roman" w:eastAsia="Times New Roman" w:hAnsi="Times New Roman" w:cs="Times New Roman"/>
          <w:sz w:val="24"/>
          <w:szCs w:val="24"/>
          <w:lang w:val="es-MX" w:eastAsia="es-MX"/>
        </w:rPr>
        <w:t>%.</w:t>
      </w:r>
    </w:p>
    <w:p w:rsidR="007320F2" w:rsidRDefault="007320F2" w:rsidP="009F68C5">
      <w:pPr>
        <w:spacing w:after="0" w:line="240" w:lineRule="auto"/>
        <w:contextualSpacing/>
        <w:jc w:val="both"/>
        <w:rPr>
          <w:rFonts w:ascii="Times New Roman" w:eastAsia="Times New Roman" w:hAnsi="Times New Roman" w:cs="Times New Roman"/>
          <w:sz w:val="24"/>
          <w:szCs w:val="24"/>
          <w:lang w:val="es-MX" w:eastAsia="es-MX"/>
        </w:rPr>
      </w:pPr>
    </w:p>
    <w:p w:rsidR="007320F2" w:rsidRDefault="007320F2"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ANTECEDENTES DEL PROYECTO DE INVERSIÒN</w:t>
      </w:r>
    </w:p>
    <w:p w:rsidR="007320F2" w:rsidRDefault="007320F2" w:rsidP="009F68C5">
      <w:pPr>
        <w:spacing w:after="0" w:line="240" w:lineRule="auto"/>
        <w:contextualSpacing/>
        <w:jc w:val="both"/>
        <w:rPr>
          <w:rFonts w:ascii="Times New Roman" w:eastAsia="Times New Roman" w:hAnsi="Times New Roman" w:cs="Times New Roman"/>
          <w:sz w:val="24"/>
          <w:szCs w:val="24"/>
          <w:lang w:val="es-MX" w:eastAsia="es-MX"/>
        </w:rPr>
      </w:pPr>
    </w:p>
    <w:p w:rsidR="00BD6D39" w:rsidRDefault="007320F2"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A principios del año 2015, el </w:t>
      </w:r>
      <w:r w:rsidR="00B41F76">
        <w:rPr>
          <w:rFonts w:ascii="Times New Roman" w:eastAsia="Times New Roman" w:hAnsi="Times New Roman" w:cs="Times New Roman"/>
          <w:sz w:val="24"/>
          <w:szCs w:val="24"/>
          <w:lang w:val="es-MX" w:eastAsia="es-MX"/>
        </w:rPr>
        <w:t>Presidente</w:t>
      </w:r>
      <w:r>
        <w:rPr>
          <w:rFonts w:ascii="Times New Roman" w:eastAsia="Times New Roman" w:hAnsi="Times New Roman" w:cs="Times New Roman"/>
          <w:sz w:val="24"/>
          <w:szCs w:val="24"/>
          <w:lang w:val="es-MX" w:eastAsia="es-MX"/>
        </w:rPr>
        <w:t xml:space="preserve"> de “</w:t>
      </w:r>
      <w:r w:rsidR="00D34300">
        <w:rPr>
          <w:rFonts w:ascii="Times New Roman" w:eastAsia="Times New Roman" w:hAnsi="Times New Roman" w:cs="Times New Roman"/>
          <w:sz w:val="24"/>
          <w:szCs w:val="24"/>
          <w:lang w:val="es-MX" w:eastAsia="es-MX"/>
        </w:rPr>
        <w:t>Calzado</w:t>
      </w:r>
      <w:r>
        <w:rPr>
          <w:rFonts w:ascii="Times New Roman" w:eastAsia="Times New Roman" w:hAnsi="Times New Roman" w:cs="Times New Roman"/>
          <w:sz w:val="24"/>
          <w:szCs w:val="24"/>
          <w:lang w:val="es-MX" w:eastAsia="es-MX"/>
        </w:rPr>
        <w:t xml:space="preserve"> Gaby, S.A” considero </w:t>
      </w:r>
      <w:r w:rsidR="00BD6D39">
        <w:rPr>
          <w:rFonts w:ascii="Times New Roman" w:eastAsia="Times New Roman" w:hAnsi="Times New Roman" w:cs="Times New Roman"/>
          <w:sz w:val="24"/>
          <w:szCs w:val="24"/>
          <w:lang w:val="es-MX" w:eastAsia="es-MX"/>
        </w:rPr>
        <w:t>conveniente exportar sus productos, por lo que solicito a una empresa consultora un estudio de mercado para estimar la demand</w:t>
      </w:r>
      <w:r w:rsidR="00D34300">
        <w:rPr>
          <w:rFonts w:ascii="Times New Roman" w:eastAsia="Times New Roman" w:hAnsi="Times New Roman" w:cs="Times New Roman"/>
          <w:sz w:val="24"/>
          <w:szCs w:val="24"/>
          <w:lang w:val="es-MX" w:eastAsia="es-MX"/>
        </w:rPr>
        <w:t xml:space="preserve">a </w:t>
      </w:r>
      <w:r w:rsidR="00970732">
        <w:rPr>
          <w:rFonts w:ascii="Times New Roman" w:eastAsia="Times New Roman" w:hAnsi="Times New Roman" w:cs="Times New Roman"/>
          <w:sz w:val="24"/>
          <w:szCs w:val="24"/>
          <w:lang w:val="es-MX" w:eastAsia="es-MX"/>
        </w:rPr>
        <w:t>potencial de los zapatos de mujer</w:t>
      </w:r>
      <w:r w:rsidR="00BD6D39">
        <w:rPr>
          <w:rFonts w:ascii="Times New Roman" w:eastAsia="Times New Roman" w:hAnsi="Times New Roman" w:cs="Times New Roman"/>
          <w:sz w:val="24"/>
          <w:szCs w:val="24"/>
          <w:lang w:val="es-MX" w:eastAsia="es-MX"/>
        </w:rPr>
        <w:t xml:space="preserve"> en el mercado de Centroamérica.</w:t>
      </w:r>
    </w:p>
    <w:p w:rsidR="00BD6D39" w:rsidRDefault="00BD6D39" w:rsidP="009F68C5">
      <w:pPr>
        <w:spacing w:after="0" w:line="240" w:lineRule="auto"/>
        <w:contextualSpacing/>
        <w:jc w:val="both"/>
        <w:rPr>
          <w:rFonts w:ascii="Times New Roman" w:eastAsia="Times New Roman" w:hAnsi="Times New Roman" w:cs="Times New Roman"/>
          <w:sz w:val="24"/>
          <w:szCs w:val="24"/>
          <w:lang w:val="es-MX" w:eastAsia="es-MX"/>
        </w:rPr>
      </w:pPr>
    </w:p>
    <w:p w:rsidR="00D34300" w:rsidRDefault="00BD6D39"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 </w:t>
      </w:r>
      <w:r w:rsidR="007320F2">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Según dicho estudio, las ventas pronosticadas para la empresa en el año 2017 </w:t>
      </w:r>
      <w:r w:rsidR="00D34300">
        <w:rPr>
          <w:rFonts w:ascii="Times New Roman" w:eastAsia="Times New Roman" w:hAnsi="Times New Roman" w:cs="Times New Roman"/>
          <w:sz w:val="24"/>
          <w:szCs w:val="24"/>
          <w:lang w:val="es-MX" w:eastAsia="es-MX"/>
        </w:rPr>
        <w:t xml:space="preserve">podrían ser de 20 000 pares de zapatos </w:t>
      </w:r>
      <w:r>
        <w:rPr>
          <w:rFonts w:ascii="Times New Roman" w:eastAsia="Times New Roman" w:hAnsi="Times New Roman" w:cs="Times New Roman"/>
          <w:sz w:val="24"/>
          <w:szCs w:val="24"/>
          <w:lang w:val="es-MX" w:eastAsia="es-MX"/>
        </w:rPr>
        <w:t xml:space="preserve"> y  se estimaba crecer </w:t>
      </w:r>
      <w:r w:rsidR="00D34300">
        <w:rPr>
          <w:rFonts w:ascii="Times New Roman" w:eastAsia="Times New Roman" w:hAnsi="Times New Roman" w:cs="Times New Roman"/>
          <w:sz w:val="24"/>
          <w:szCs w:val="24"/>
          <w:lang w:val="es-MX" w:eastAsia="es-MX"/>
        </w:rPr>
        <w:t>a una tasa promedio anual del 5% en los siguientes años, de acuerdo con el incremento esperado en las exportaciones de zapatos de México hacia Centroamérica. Asimismo, el estudio indicaba que el precio al cual se podría vender dicho producto, incluyendo el impuesto al valor agregado, seria aproximadamente $ 800.00 pesos en el primer año de operación y que el incremento futuro estaría relacionado con la variación del tipo de cambio de la moneda local con respecto al dólar (se esperaba que la variación fuera de aproximadamente 5% anual).</w:t>
      </w:r>
    </w:p>
    <w:p w:rsidR="00D34300" w:rsidRDefault="00D34300" w:rsidP="009F68C5">
      <w:pPr>
        <w:spacing w:after="0" w:line="240" w:lineRule="auto"/>
        <w:contextualSpacing/>
        <w:jc w:val="both"/>
        <w:rPr>
          <w:rFonts w:ascii="Times New Roman" w:eastAsia="Times New Roman" w:hAnsi="Times New Roman" w:cs="Times New Roman"/>
          <w:sz w:val="24"/>
          <w:szCs w:val="24"/>
          <w:lang w:val="es-MX" w:eastAsia="es-MX"/>
        </w:rPr>
      </w:pPr>
    </w:p>
    <w:p w:rsidR="007320F2" w:rsidRDefault="00D34300"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 El Presidente de la empresa, luego de revisar el estu</w:t>
      </w:r>
      <w:r w:rsidR="00970732">
        <w:rPr>
          <w:rFonts w:ascii="Times New Roman" w:eastAsia="Times New Roman" w:hAnsi="Times New Roman" w:cs="Times New Roman"/>
          <w:sz w:val="24"/>
          <w:szCs w:val="24"/>
          <w:lang w:val="es-MX" w:eastAsia="es-MX"/>
        </w:rPr>
        <w:t xml:space="preserve">dio con el Gerente de Proyectos, considero conveniente en la ampliación de la planta con el fin de lograr un incremento en la capacidad de producción de la empresa y satisfacer la demanda del mercado de exportación. Se esperaba que el proyecto fuera financiado con recursos propios, ya que la inversión se mantendría en el rango de la estructura de capital definida en las políticas de la </w:t>
      </w:r>
      <w:r w:rsidR="00DA1653">
        <w:rPr>
          <w:rFonts w:ascii="Times New Roman" w:eastAsia="Times New Roman" w:hAnsi="Times New Roman" w:cs="Times New Roman"/>
          <w:sz w:val="24"/>
          <w:szCs w:val="24"/>
          <w:lang w:val="es-MX" w:eastAsia="es-MX"/>
        </w:rPr>
        <w:t>empresa</w:t>
      </w:r>
      <w:r w:rsidR="00970732">
        <w:rPr>
          <w:rFonts w:ascii="Times New Roman" w:eastAsia="Times New Roman" w:hAnsi="Times New Roman" w:cs="Times New Roman"/>
          <w:sz w:val="24"/>
          <w:szCs w:val="24"/>
          <w:lang w:val="es-MX" w:eastAsia="es-MX"/>
        </w:rPr>
        <w:t>. Fue entonces cuando al Lic. Morales se le asignó la responsabilidad de evaluar y en su caso implementar el nuevo proyecto de inversión.</w:t>
      </w:r>
    </w:p>
    <w:p w:rsidR="00970732" w:rsidRDefault="00970732" w:rsidP="009F68C5">
      <w:pPr>
        <w:spacing w:after="0" w:line="240" w:lineRule="auto"/>
        <w:contextualSpacing/>
        <w:jc w:val="both"/>
        <w:rPr>
          <w:rFonts w:ascii="Times New Roman" w:eastAsia="Times New Roman" w:hAnsi="Times New Roman" w:cs="Times New Roman"/>
          <w:sz w:val="24"/>
          <w:szCs w:val="24"/>
          <w:lang w:val="es-MX" w:eastAsia="es-MX"/>
        </w:rPr>
      </w:pPr>
    </w:p>
    <w:p w:rsidR="00970732" w:rsidRDefault="00970732"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PLAN DE INVERSIÒN </w:t>
      </w:r>
    </w:p>
    <w:p w:rsidR="00970732" w:rsidRDefault="00970732" w:rsidP="009F68C5">
      <w:pPr>
        <w:spacing w:after="0" w:line="240" w:lineRule="auto"/>
        <w:contextualSpacing/>
        <w:jc w:val="both"/>
        <w:rPr>
          <w:rFonts w:ascii="Times New Roman" w:eastAsia="Times New Roman" w:hAnsi="Times New Roman" w:cs="Times New Roman"/>
          <w:sz w:val="24"/>
          <w:szCs w:val="24"/>
          <w:lang w:val="es-MX" w:eastAsia="es-MX"/>
        </w:rPr>
      </w:pPr>
    </w:p>
    <w:p w:rsidR="00970732" w:rsidRDefault="00970732"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El Lic. Morales estimo que para iniciar la producción de la nueva línea de zapatos necesitaría realizar en primer lugar, una inversión inicial de $ 100 000.00 pesos para la compra de un terreno y de $ 500 000.00 pesos para la construcción de la infraestructura </w:t>
      </w:r>
      <w:r>
        <w:rPr>
          <w:rFonts w:ascii="Times New Roman" w:eastAsia="Times New Roman" w:hAnsi="Times New Roman" w:cs="Times New Roman"/>
          <w:sz w:val="24"/>
          <w:szCs w:val="24"/>
          <w:lang w:val="es-MX" w:eastAsia="es-MX"/>
        </w:rPr>
        <w:lastRenderedPageBreak/>
        <w:t xml:space="preserve">y facilidades requeridas para la instalación (se </w:t>
      </w:r>
      <w:r w:rsidR="00DA1653">
        <w:rPr>
          <w:rFonts w:ascii="Times New Roman" w:eastAsia="Times New Roman" w:hAnsi="Times New Roman" w:cs="Times New Roman"/>
          <w:sz w:val="24"/>
          <w:szCs w:val="24"/>
          <w:lang w:val="es-MX" w:eastAsia="es-MX"/>
        </w:rPr>
        <w:t>estimó</w:t>
      </w:r>
      <w:r>
        <w:rPr>
          <w:rFonts w:ascii="Times New Roman" w:eastAsia="Times New Roman" w:hAnsi="Times New Roman" w:cs="Times New Roman"/>
          <w:sz w:val="24"/>
          <w:szCs w:val="24"/>
          <w:lang w:val="es-MX" w:eastAsia="es-MX"/>
        </w:rPr>
        <w:t xml:space="preserve"> que el tiempo de vida es de 30 años).</w:t>
      </w:r>
    </w:p>
    <w:p w:rsidR="00C67E5B" w:rsidRDefault="00C67E5B"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Luego a los tres meses de iniciada la construcción, se requeriría una inversión total de $ 1 000 000.00 pesos para comprar dos nuevas </w:t>
      </w:r>
      <w:r w:rsidR="00DA1653">
        <w:rPr>
          <w:rFonts w:ascii="Times New Roman" w:eastAsia="Times New Roman" w:hAnsi="Times New Roman" w:cs="Times New Roman"/>
          <w:sz w:val="24"/>
          <w:szCs w:val="24"/>
          <w:lang w:val="es-MX" w:eastAsia="es-MX"/>
        </w:rPr>
        <w:t>máquinas</w:t>
      </w:r>
      <w:r>
        <w:rPr>
          <w:rFonts w:ascii="Times New Roman" w:eastAsia="Times New Roman" w:hAnsi="Times New Roman" w:cs="Times New Roman"/>
          <w:sz w:val="24"/>
          <w:szCs w:val="24"/>
          <w:lang w:val="es-MX" w:eastAsia="es-MX"/>
        </w:rPr>
        <w:t xml:space="preserve"> con capacidad de producción anual de 25 000 pares de zapatos; se </w:t>
      </w:r>
      <w:r w:rsidR="00DA1653">
        <w:rPr>
          <w:rFonts w:ascii="Times New Roman" w:eastAsia="Times New Roman" w:hAnsi="Times New Roman" w:cs="Times New Roman"/>
          <w:sz w:val="24"/>
          <w:szCs w:val="24"/>
          <w:lang w:val="es-MX" w:eastAsia="es-MX"/>
        </w:rPr>
        <w:t>estimó</w:t>
      </w:r>
      <w:r>
        <w:rPr>
          <w:rFonts w:ascii="Times New Roman" w:eastAsia="Times New Roman" w:hAnsi="Times New Roman" w:cs="Times New Roman"/>
          <w:sz w:val="24"/>
          <w:szCs w:val="24"/>
          <w:lang w:val="es-MX" w:eastAsia="es-MX"/>
        </w:rPr>
        <w:t xml:space="preserve"> que las maquinas estarían listas para la producción a finales del año 2016. Según experiencias anteriores, la vida útil de estas </w:t>
      </w:r>
      <w:r w:rsidR="00DA1653">
        <w:rPr>
          <w:rFonts w:ascii="Times New Roman" w:eastAsia="Times New Roman" w:hAnsi="Times New Roman" w:cs="Times New Roman"/>
          <w:sz w:val="24"/>
          <w:szCs w:val="24"/>
          <w:lang w:val="es-MX" w:eastAsia="es-MX"/>
        </w:rPr>
        <w:t>máquinas</w:t>
      </w:r>
      <w:r>
        <w:rPr>
          <w:rFonts w:ascii="Times New Roman" w:eastAsia="Times New Roman" w:hAnsi="Times New Roman" w:cs="Times New Roman"/>
          <w:sz w:val="24"/>
          <w:szCs w:val="24"/>
          <w:lang w:val="es-MX" w:eastAsia="es-MX"/>
        </w:rPr>
        <w:t xml:space="preserve"> seria de cinco años, al final de los cuales tendrían un valor de recuperación  de $ 100 000.00 pesos, por lo que si el proyecto se extendiera </w:t>
      </w:r>
      <w:r w:rsidR="00DA1653">
        <w:rPr>
          <w:rFonts w:ascii="Times New Roman" w:eastAsia="Times New Roman" w:hAnsi="Times New Roman" w:cs="Times New Roman"/>
          <w:sz w:val="24"/>
          <w:szCs w:val="24"/>
          <w:lang w:val="es-MX" w:eastAsia="es-MX"/>
        </w:rPr>
        <w:t>más</w:t>
      </w:r>
      <w:r>
        <w:rPr>
          <w:rFonts w:ascii="Times New Roman" w:eastAsia="Times New Roman" w:hAnsi="Times New Roman" w:cs="Times New Roman"/>
          <w:sz w:val="24"/>
          <w:szCs w:val="24"/>
          <w:lang w:val="es-MX" w:eastAsia="es-MX"/>
        </w:rPr>
        <w:t xml:space="preserve"> allá de cinco años, sería necesario comprar maquinaria nueva para seguir poder produciendo. Además se consideró que si la capacidad del equipo no satisface la demanda del mercado, se podría subcontratar la producción faltante a un  precio de $ 400.00 pesos por par.</w:t>
      </w:r>
    </w:p>
    <w:p w:rsidR="00C67E5B" w:rsidRDefault="00C67E5B" w:rsidP="009F68C5">
      <w:pPr>
        <w:spacing w:after="0" w:line="240" w:lineRule="auto"/>
        <w:contextualSpacing/>
        <w:jc w:val="both"/>
        <w:rPr>
          <w:rFonts w:ascii="Times New Roman" w:eastAsia="Times New Roman" w:hAnsi="Times New Roman" w:cs="Times New Roman"/>
          <w:sz w:val="24"/>
          <w:szCs w:val="24"/>
          <w:lang w:val="es-MX" w:eastAsia="es-MX"/>
        </w:rPr>
      </w:pPr>
    </w:p>
    <w:p w:rsidR="00970732" w:rsidRDefault="00C67E5B"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 </w:t>
      </w:r>
      <w:r w:rsidR="00970732">
        <w:rPr>
          <w:rFonts w:ascii="Times New Roman" w:eastAsia="Times New Roman" w:hAnsi="Times New Roman" w:cs="Times New Roman"/>
          <w:sz w:val="24"/>
          <w:szCs w:val="24"/>
          <w:lang w:val="es-MX" w:eastAsia="es-MX"/>
        </w:rPr>
        <w:t xml:space="preserve"> </w:t>
      </w:r>
      <w:r w:rsidR="0024692C">
        <w:rPr>
          <w:rFonts w:ascii="Times New Roman" w:eastAsia="Times New Roman" w:hAnsi="Times New Roman" w:cs="Times New Roman"/>
          <w:sz w:val="24"/>
          <w:szCs w:val="24"/>
          <w:lang w:val="es-MX" w:eastAsia="es-MX"/>
        </w:rPr>
        <w:t xml:space="preserve">En mayo de 2016 el Gerente de Proyectos de la empresa viajo a la Ciudad de </w:t>
      </w:r>
      <w:r w:rsidR="006B5537">
        <w:rPr>
          <w:rFonts w:ascii="Times New Roman" w:eastAsia="Times New Roman" w:hAnsi="Times New Roman" w:cs="Times New Roman"/>
          <w:sz w:val="24"/>
          <w:szCs w:val="24"/>
          <w:lang w:val="es-MX" w:eastAsia="es-MX"/>
        </w:rPr>
        <w:t>México</w:t>
      </w:r>
      <w:r w:rsidR="0024692C">
        <w:rPr>
          <w:rFonts w:ascii="Times New Roman" w:eastAsia="Times New Roman" w:hAnsi="Times New Roman" w:cs="Times New Roman"/>
          <w:sz w:val="24"/>
          <w:szCs w:val="24"/>
          <w:lang w:val="es-MX" w:eastAsia="es-MX"/>
        </w:rPr>
        <w:t xml:space="preserve"> para asistir a la feria del calzado y contactar a los proveedores de maquinaria para la elaboración de calzado. Asimismo, estimo otros datos para los principales rubros del proyecto, los cuales se presentan en las siguientes tablas:</w:t>
      </w:r>
    </w:p>
    <w:p w:rsidR="0024692C" w:rsidRDefault="0024692C" w:rsidP="009F68C5">
      <w:pPr>
        <w:spacing w:after="0" w:line="240" w:lineRule="auto"/>
        <w:contextualSpacing/>
        <w:jc w:val="both"/>
        <w:rPr>
          <w:rFonts w:ascii="Times New Roman" w:eastAsia="Times New Roman" w:hAnsi="Times New Roman" w:cs="Times New Roman"/>
          <w:sz w:val="24"/>
          <w:szCs w:val="24"/>
          <w:lang w:val="es-MX" w:eastAsia="es-MX"/>
        </w:rPr>
      </w:pPr>
    </w:p>
    <w:p w:rsidR="0024692C" w:rsidRDefault="00500B77"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Costos para el proyecto de ampliación de la planta:</w:t>
      </w:r>
    </w:p>
    <w:p w:rsidR="00500B77" w:rsidRDefault="00500B77" w:rsidP="009F68C5">
      <w:pPr>
        <w:spacing w:after="0" w:line="240" w:lineRule="auto"/>
        <w:contextualSpacing/>
        <w:jc w:val="both"/>
        <w:rPr>
          <w:rFonts w:ascii="Times New Roman" w:eastAsia="Times New Roman" w:hAnsi="Times New Roman" w:cs="Times New Roman"/>
          <w:sz w:val="24"/>
          <w:szCs w:val="24"/>
          <w:lang w:val="es-MX" w:eastAsia="es-MX"/>
        </w:rPr>
      </w:pPr>
    </w:p>
    <w:tbl>
      <w:tblPr>
        <w:tblStyle w:val="Tabladecuadrcula4-nfasis61"/>
        <w:tblW w:w="0" w:type="auto"/>
        <w:tblLook w:val="04A0"/>
      </w:tblPr>
      <w:tblGrid>
        <w:gridCol w:w="3794"/>
        <w:gridCol w:w="1968"/>
        <w:gridCol w:w="2882"/>
      </w:tblGrid>
      <w:tr w:rsidR="00500B77" w:rsidTr="00500B77">
        <w:trPr>
          <w:cnfStyle w:val="100000000000"/>
        </w:trPr>
        <w:tc>
          <w:tcPr>
            <w:cnfStyle w:val="001000000000"/>
            <w:tcW w:w="3794" w:type="dxa"/>
          </w:tcPr>
          <w:p w:rsidR="00500B77" w:rsidRDefault="00500B77" w:rsidP="009F68C5">
            <w:pPr>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Rubro </w:t>
            </w:r>
          </w:p>
        </w:tc>
        <w:tc>
          <w:tcPr>
            <w:tcW w:w="1968" w:type="dxa"/>
          </w:tcPr>
          <w:p w:rsidR="00500B77" w:rsidRDefault="00500B77" w:rsidP="009F68C5">
            <w:pPr>
              <w:contextualSpacing/>
              <w:jc w:val="both"/>
              <w:cnfStyle w:val="1000000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Valor inicial (pesos)</w:t>
            </w:r>
          </w:p>
        </w:tc>
        <w:tc>
          <w:tcPr>
            <w:tcW w:w="2882" w:type="dxa"/>
          </w:tcPr>
          <w:p w:rsidR="00500B77" w:rsidRDefault="00500B77" w:rsidP="009F68C5">
            <w:pPr>
              <w:contextualSpacing/>
              <w:jc w:val="both"/>
              <w:cnfStyle w:val="1000000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Incremento anual esperado</w:t>
            </w:r>
          </w:p>
        </w:tc>
      </w:tr>
      <w:tr w:rsidR="00500B77" w:rsidTr="00500B77">
        <w:trPr>
          <w:cnfStyle w:val="000000100000"/>
        </w:trPr>
        <w:tc>
          <w:tcPr>
            <w:cnfStyle w:val="001000000000"/>
            <w:tcW w:w="3794" w:type="dxa"/>
          </w:tcPr>
          <w:p w:rsidR="00500B77" w:rsidRDefault="00500B77" w:rsidP="00500B77">
            <w:pPr>
              <w:contextualSpacing/>
              <w:jc w:val="right"/>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Costo de materia prima A/ unidad </w:t>
            </w:r>
          </w:p>
        </w:tc>
        <w:tc>
          <w:tcPr>
            <w:tcW w:w="1968" w:type="dxa"/>
          </w:tcPr>
          <w:p w:rsidR="00500B77" w:rsidRDefault="00500B77" w:rsidP="00500B77">
            <w:pPr>
              <w:contextualSpacing/>
              <w:jc w:val="right"/>
              <w:cnfStyle w:val="0000001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$ 120</w:t>
            </w:r>
          </w:p>
        </w:tc>
        <w:tc>
          <w:tcPr>
            <w:tcW w:w="2882" w:type="dxa"/>
          </w:tcPr>
          <w:p w:rsidR="00500B77" w:rsidRDefault="00500B77" w:rsidP="00500B77">
            <w:pPr>
              <w:contextualSpacing/>
              <w:jc w:val="right"/>
              <w:cnfStyle w:val="0000001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Según inflación (8%)</w:t>
            </w:r>
          </w:p>
        </w:tc>
      </w:tr>
      <w:tr w:rsidR="00500B77" w:rsidTr="00500B77">
        <w:tc>
          <w:tcPr>
            <w:cnfStyle w:val="001000000000"/>
            <w:tcW w:w="3794" w:type="dxa"/>
          </w:tcPr>
          <w:p w:rsidR="00500B77" w:rsidRDefault="00500B77" w:rsidP="00500B77">
            <w:pPr>
              <w:contextualSpacing/>
              <w:jc w:val="right"/>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Costo de materia prima B/ unidad </w:t>
            </w:r>
          </w:p>
        </w:tc>
        <w:tc>
          <w:tcPr>
            <w:tcW w:w="1968" w:type="dxa"/>
          </w:tcPr>
          <w:p w:rsidR="00500B77" w:rsidRDefault="00500B77" w:rsidP="00500B77">
            <w:pPr>
              <w:contextualSpacing/>
              <w:jc w:val="right"/>
              <w:cnfStyle w:val="0000000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$ 80</w:t>
            </w:r>
          </w:p>
        </w:tc>
        <w:tc>
          <w:tcPr>
            <w:tcW w:w="2882" w:type="dxa"/>
          </w:tcPr>
          <w:p w:rsidR="00500B77" w:rsidRDefault="00500B77" w:rsidP="00500B77">
            <w:pPr>
              <w:contextualSpacing/>
              <w:jc w:val="right"/>
              <w:cnfStyle w:val="0000000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Según inflación (8%)</w:t>
            </w:r>
          </w:p>
        </w:tc>
      </w:tr>
      <w:tr w:rsidR="00500B77" w:rsidTr="00500B77">
        <w:trPr>
          <w:cnfStyle w:val="000000100000"/>
        </w:trPr>
        <w:tc>
          <w:tcPr>
            <w:cnfStyle w:val="001000000000"/>
            <w:tcW w:w="3794" w:type="dxa"/>
          </w:tcPr>
          <w:p w:rsidR="00500B77" w:rsidRDefault="00500B77" w:rsidP="00500B77">
            <w:pPr>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Costo de materiales /unidad </w:t>
            </w:r>
          </w:p>
        </w:tc>
        <w:tc>
          <w:tcPr>
            <w:tcW w:w="1968" w:type="dxa"/>
          </w:tcPr>
          <w:p w:rsidR="00500B77" w:rsidRDefault="00500B77" w:rsidP="00500B77">
            <w:pPr>
              <w:contextualSpacing/>
              <w:jc w:val="right"/>
              <w:cnfStyle w:val="0000001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$ 50</w:t>
            </w:r>
          </w:p>
        </w:tc>
        <w:tc>
          <w:tcPr>
            <w:tcW w:w="2882" w:type="dxa"/>
          </w:tcPr>
          <w:p w:rsidR="00500B77" w:rsidRDefault="00500B77" w:rsidP="00281BEE">
            <w:pPr>
              <w:contextualSpacing/>
              <w:jc w:val="right"/>
              <w:cnfStyle w:val="0000001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Según inflación (8%)</w:t>
            </w:r>
          </w:p>
        </w:tc>
      </w:tr>
      <w:tr w:rsidR="00500B77" w:rsidTr="00500B77">
        <w:tc>
          <w:tcPr>
            <w:cnfStyle w:val="001000000000"/>
            <w:tcW w:w="3794" w:type="dxa"/>
          </w:tcPr>
          <w:p w:rsidR="00500B77" w:rsidRDefault="00500B77" w:rsidP="00500B77">
            <w:pPr>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Costo de mano de obra/unidad</w:t>
            </w:r>
          </w:p>
        </w:tc>
        <w:tc>
          <w:tcPr>
            <w:tcW w:w="1968" w:type="dxa"/>
          </w:tcPr>
          <w:p w:rsidR="00500B77" w:rsidRDefault="00500B77" w:rsidP="00500B77">
            <w:pPr>
              <w:contextualSpacing/>
              <w:jc w:val="right"/>
              <w:cnfStyle w:val="0000000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$ 50</w:t>
            </w:r>
          </w:p>
        </w:tc>
        <w:tc>
          <w:tcPr>
            <w:tcW w:w="2882" w:type="dxa"/>
          </w:tcPr>
          <w:p w:rsidR="00500B77" w:rsidRDefault="00500B77" w:rsidP="00281BEE">
            <w:pPr>
              <w:contextualSpacing/>
              <w:jc w:val="right"/>
              <w:cnfStyle w:val="0000000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Según inflación (8%)</w:t>
            </w:r>
          </w:p>
        </w:tc>
      </w:tr>
      <w:tr w:rsidR="00500B77" w:rsidTr="00500B77">
        <w:trPr>
          <w:cnfStyle w:val="000000100000"/>
        </w:trPr>
        <w:tc>
          <w:tcPr>
            <w:cnfStyle w:val="001000000000"/>
            <w:tcW w:w="3794" w:type="dxa"/>
          </w:tcPr>
          <w:p w:rsidR="00500B77" w:rsidRDefault="00500B77" w:rsidP="00500B77">
            <w:pPr>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Costo de mantenimiento /año </w:t>
            </w:r>
          </w:p>
        </w:tc>
        <w:tc>
          <w:tcPr>
            <w:tcW w:w="1968" w:type="dxa"/>
          </w:tcPr>
          <w:p w:rsidR="00500B77" w:rsidRDefault="00500B77" w:rsidP="00500B77">
            <w:pPr>
              <w:contextualSpacing/>
              <w:jc w:val="right"/>
              <w:cnfStyle w:val="0000001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$ 150 000</w:t>
            </w:r>
          </w:p>
        </w:tc>
        <w:tc>
          <w:tcPr>
            <w:tcW w:w="2882" w:type="dxa"/>
          </w:tcPr>
          <w:p w:rsidR="00500B77" w:rsidRDefault="00500B77" w:rsidP="00500B77">
            <w:pPr>
              <w:contextualSpacing/>
              <w:jc w:val="right"/>
              <w:cnfStyle w:val="0000001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Según inflación (8%)</w:t>
            </w:r>
          </w:p>
        </w:tc>
      </w:tr>
      <w:tr w:rsidR="00500B77" w:rsidTr="00500B77">
        <w:tc>
          <w:tcPr>
            <w:cnfStyle w:val="001000000000"/>
            <w:tcW w:w="3794" w:type="dxa"/>
          </w:tcPr>
          <w:p w:rsidR="00500B77" w:rsidRDefault="00500B77" w:rsidP="00500B77">
            <w:pPr>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Gastos administrativos/ unidad </w:t>
            </w:r>
          </w:p>
        </w:tc>
        <w:tc>
          <w:tcPr>
            <w:tcW w:w="1968" w:type="dxa"/>
          </w:tcPr>
          <w:p w:rsidR="00500B77" w:rsidRDefault="00500B77" w:rsidP="00500B77">
            <w:pPr>
              <w:contextualSpacing/>
              <w:jc w:val="right"/>
              <w:cnfStyle w:val="0000000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$ 100</w:t>
            </w:r>
          </w:p>
        </w:tc>
        <w:tc>
          <w:tcPr>
            <w:tcW w:w="2882" w:type="dxa"/>
          </w:tcPr>
          <w:p w:rsidR="00500B77" w:rsidRDefault="00500B77" w:rsidP="00500B77">
            <w:pPr>
              <w:contextualSpacing/>
              <w:jc w:val="right"/>
              <w:cnfStyle w:val="0000000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5%</w:t>
            </w:r>
          </w:p>
        </w:tc>
      </w:tr>
      <w:tr w:rsidR="00500B77" w:rsidTr="00500B77">
        <w:trPr>
          <w:cnfStyle w:val="000000100000"/>
        </w:trPr>
        <w:tc>
          <w:tcPr>
            <w:cnfStyle w:val="001000000000"/>
            <w:tcW w:w="3794" w:type="dxa"/>
          </w:tcPr>
          <w:p w:rsidR="00500B77" w:rsidRDefault="00500B77" w:rsidP="00500B77">
            <w:pPr>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Gastos de venta </w:t>
            </w:r>
          </w:p>
        </w:tc>
        <w:tc>
          <w:tcPr>
            <w:tcW w:w="1968" w:type="dxa"/>
          </w:tcPr>
          <w:p w:rsidR="00500B77" w:rsidRDefault="00500B77" w:rsidP="00500B77">
            <w:pPr>
              <w:contextualSpacing/>
              <w:jc w:val="right"/>
              <w:cnfStyle w:val="0000001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$ 200</w:t>
            </w:r>
          </w:p>
        </w:tc>
        <w:tc>
          <w:tcPr>
            <w:tcW w:w="2882" w:type="dxa"/>
          </w:tcPr>
          <w:p w:rsidR="00500B77" w:rsidRDefault="00500B77" w:rsidP="00500B77">
            <w:pPr>
              <w:contextualSpacing/>
              <w:jc w:val="right"/>
              <w:cnfStyle w:val="0000001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5%</w:t>
            </w:r>
          </w:p>
        </w:tc>
      </w:tr>
      <w:tr w:rsidR="00500B77" w:rsidTr="00500B77">
        <w:tc>
          <w:tcPr>
            <w:cnfStyle w:val="001000000000"/>
            <w:tcW w:w="3794" w:type="dxa"/>
          </w:tcPr>
          <w:p w:rsidR="00500B77" w:rsidRDefault="00500B77" w:rsidP="00500B77">
            <w:pPr>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Valor de recuperación del equipo</w:t>
            </w:r>
          </w:p>
        </w:tc>
        <w:tc>
          <w:tcPr>
            <w:tcW w:w="1968" w:type="dxa"/>
          </w:tcPr>
          <w:p w:rsidR="00500B77" w:rsidRDefault="00500B77" w:rsidP="00500B77">
            <w:pPr>
              <w:contextualSpacing/>
              <w:jc w:val="right"/>
              <w:cnfStyle w:val="0000000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$ 100 000</w:t>
            </w:r>
          </w:p>
        </w:tc>
        <w:tc>
          <w:tcPr>
            <w:tcW w:w="2882" w:type="dxa"/>
          </w:tcPr>
          <w:p w:rsidR="00500B77" w:rsidRDefault="00500B77" w:rsidP="00500B77">
            <w:pPr>
              <w:contextualSpacing/>
              <w:jc w:val="right"/>
              <w:cnfStyle w:val="000000000000"/>
              <w:rPr>
                <w:rFonts w:ascii="Times New Roman" w:eastAsia="Times New Roman" w:hAnsi="Times New Roman" w:cs="Times New Roman"/>
                <w:sz w:val="24"/>
                <w:szCs w:val="24"/>
                <w:lang w:val="es-MX" w:eastAsia="es-MX"/>
              </w:rPr>
            </w:pPr>
          </w:p>
        </w:tc>
      </w:tr>
      <w:tr w:rsidR="00500B77" w:rsidTr="00500B77">
        <w:trPr>
          <w:cnfStyle w:val="000000100000"/>
        </w:trPr>
        <w:tc>
          <w:tcPr>
            <w:cnfStyle w:val="001000000000"/>
            <w:tcW w:w="3794" w:type="dxa"/>
          </w:tcPr>
          <w:p w:rsidR="00500B77" w:rsidRDefault="00500B77" w:rsidP="00500B77">
            <w:pPr>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Capital de trabajo requerido </w:t>
            </w:r>
          </w:p>
        </w:tc>
        <w:tc>
          <w:tcPr>
            <w:tcW w:w="1968" w:type="dxa"/>
          </w:tcPr>
          <w:p w:rsidR="00500B77" w:rsidRDefault="00500B77" w:rsidP="00500B77">
            <w:pPr>
              <w:contextualSpacing/>
              <w:jc w:val="right"/>
              <w:cnfStyle w:val="00000010000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$ 200 000</w:t>
            </w:r>
          </w:p>
        </w:tc>
        <w:tc>
          <w:tcPr>
            <w:tcW w:w="2882" w:type="dxa"/>
          </w:tcPr>
          <w:p w:rsidR="00500B77" w:rsidRDefault="00500B77" w:rsidP="00500B77">
            <w:pPr>
              <w:contextualSpacing/>
              <w:jc w:val="right"/>
              <w:cnfStyle w:val="000000100000"/>
              <w:rPr>
                <w:rFonts w:ascii="Times New Roman" w:eastAsia="Times New Roman" w:hAnsi="Times New Roman" w:cs="Times New Roman"/>
                <w:sz w:val="24"/>
                <w:szCs w:val="24"/>
                <w:lang w:val="es-MX" w:eastAsia="es-MX"/>
              </w:rPr>
            </w:pPr>
          </w:p>
        </w:tc>
      </w:tr>
    </w:tbl>
    <w:p w:rsidR="00500B77" w:rsidRDefault="00500B77" w:rsidP="00500B77">
      <w:pPr>
        <w:spacing w:after="0" w:line="240" w:lineRule="auto"/>
        <w:contextualSpacing/>
        <w:jc w:val="right"/>
        <w:rPr>
          <w:rFonts w:ascii="Times New Roman" w:eastAsia="Times New Roman" w:hAnsi="Times New Roman" w:cs="Times New Roman"/>
          <w:sz w:val="24"/>
          <w:szCs w:val="24"/>
          <w:lang w:val="es-MX" w:eastAsia="es-MX"/>
        </w:rPr>
      </w:pPr>
    </w:p>
    <w:p w:rsidR="007C513A" w:rsidRDefault="007C513A" w:rsidP="00500B77">
      <w:pPr>
        <w:spacing w:after="0" w:line="240" w:lineRule="auto"/>
        <w:contextualSpacing/>
        <w:jc w:val="right"/>
        <w:rPr>
          <w:rFonts w:ascii="Times New Roman" w:eastAsia="Times New Roman" w:hAnsi="Times New Roman" w:cs="Times New Roman"/>
          <w:sz w:val="24"/>
          <w:szCs w:val="24"/>
          <w:lang w:val="es-MX" w:eastAsia="es-MX"/>
        </w:rPr>
      </w:pPr>
    </w:p>
    <w:p w:rsidR="00E13B92" w:rsidRPr="007C513A" w:rsidRDefault="00E13B92" w:rsidP="009F68C5">
      <w:pPr>
        <w:jc w:val="both"/>
        <w:rPr>
          <w:rFonts w:ascii="Times New Roman" w:eastAsia="Times New Roman" w:hAnsi="Times New Roman" w:cs="Times New Roman"/>
          <w:color w:val="4B4B4B"/>
          <w:lang w:eastAsia="es-ES"/>
        </w:rPr>
      </w:pPr>
    </w:p>
    <w:p w:rsidR="007C513A" w:rsidRDefault="007C513A" w:rsidP="009F68C5">
      <w:pPr>
        <w:jc w:val="both"/>
        <w:rPr>
          <w:rFonts w:ascii="Arial" w:eastAsia="Times New Roman" w:hAnsi="Arial" w:cs="Arial"/>
          <w:color w:val="4B4B4B"/>
          <w:lang w:eastAsia="es-ES"/>
        </w:rPr>
      </w:pPr>
      <w:r>
        <w:rPr>
          <w:rFonts w:ascii="Arial" w:eastAsia="Times New Roman" w:hAnsi="Arial" w:cs="Arial"/>
          <w:color w:val="4B4B4B"/>
          <w:lang w:eastAsia="es-ES"/>
        </w:rPr>
        <w:t>Impuestos sobre la renta</w:t>
      </w:r>
    </w:p>
    <w:tbl>
      <w:tblPr>
        <w:tblStyle w:val="Tabladecuadrcula4-nfasis61"/>
        <w:tblW w:w="0" w:type="auto"/>
        <w:tblLook w:val="04A0"/>
      </w:tblPr>
      <w:tblGrid>
        <w:gridCol w:w="2161"/>
        <w:gridCol w:w="2161"/>
        <w:gridCol w:w="2161"/>
        <w:gridCol w:w="2161"/>
      </w:tblGrid>
      <w:tr w:rsidR="007C513A" w:rsidTr="007C513A">
        <w:trPr>
          <w:cnfStyle w:val="100000000000"/>
        </w:trPr>
        <w:tc>
          <w:tcPr>
            <w:cnfStyle w:val="001000000000"/>
            <w:tcW w:w="4322" w:type="dxa"/>
            <w:gridSpan w:val="2"/>
          </w:tcPr>
          <w:p w:rsidR="007C513A" w:rsidRDefault="007C513A" w:rsidP="007C513A">
            <w:pPr>
              <w:jc w:val="center"/>
              <w:rPr>
                <w:rFonts w:ascii="Arial" w:eastAsia="Times New Roman" w:hAnsi="Arial" w:cs="Arial"/>
                <w:color w:val="4B4B4B"/>
                <w:lang w:eastAsia="es-ES"/>
              </w:rPr>
            </w:pPr>
            <w:r>
              <w:rPr>
                <w:rFonts w:ascii="Arial" w:eastAsia="Times New Roman" w:hAnsi="Arial" w:cs="Arial"/>
                <w:color w:val="4B4B4B"/>
                <w:lang w:eastAsia="es-ES"/>
              </w:rPr>
              <w:t>Nivel de utilidades (en pesos)</w:t>
            </w:r>
          </w:p>
        </w:tc>
        <w:tc>
          <w:tcPr>
            <w:tcW w:w="2161" w:type="dxa"/>
            <w:vMerge w:val="restart"/>
          </w:tcPr>
          <w:p w:rsidR="007C513A" w:rsidRDefault="007C513A" w:rsidP="007C513A">
            <w:pPr>
              <w:jc w:val="center"/>
              <w:cnfStyle w:val="100000000000"/>
              <w:rPr>
                <w:rFonts w:ascii="Arial" w:eastAsia="Times New Roman" w:hAnsi="Arial" w:cs="Arial"/>
                <w:color w:val="4B4B4B"/>
                <w:lang w:eastAsia="es-ES"/>
              </w:rPr>
            </w:pPr>
          </w:p>
          <w:p w:rsidR="007C513A" w:rsidRDefault="007C513A" w:rsidP="007C513A">
            <w:pPr>
              <w:jc w:val="center"/>
              <w:cnfStyle w:val="100000000000"/>
              <w:rPr>
                <w:rFonts w:ascii="Arial" w:eastAsia="Times New Roman" w:hAnsi="Arial" w:cs="Arial"/>
                <w:color w:val="4B4B4B"/>
                <w:lang w:eastAsia="es-ES"/>
              </w:rPr>
            </w:pPr>
            <w:r>
              <w:rPr>
                <w:rFonts w:ascii="Arial" w:eastAsia="Times New Roman" w:hAnsi="Arial" w:cs="Arial"/>
                <w:color w:val="4B4B4B"/>
                <w:lang w:eastAsia="es-ES"/>
              </w:rPr>
              <w:t>Cuota fija</w:t>
            </w:r>
          </w:p>
          <w:p w:rsidR="007C513A" w:rsidRDefault="007C513A" w:rsidP="007C513A">
            <w:pPr>
              <w:jc w:val="center"/>
              <w:cnfStyle w:val="100000000000"/>
              <w:rPr>
                <w:rFonts w:ascii="Arial" w:eastAsia="Times New Roman" w:hAnsi="Arial" w:cs="Arial"/>
                <w:color w:val="4B4B4B"/>
                <w:lang w:eastAsia="es-ES"/>
              </w:rPr>
            </w:pPr>
            <w:r>
              <w:rPr>
                <w:rFonts w:ascii="Arial" w:eastAsia="Times New Roman" w:hAnsi="Arial" w:cs="Arial"/>
                <w:color w:val="4B4B4B"/>
                <w:lang w:eastAsia="es-ES"/>
              </w:rPr>
              <w:t xml:space="preserve">En pesos </w:t>
            </w:r>
          </w:p>
        </w:tc>
        <w:tc>
          <w:tcPr>
            <w:tcW w:w="2161" w:type="dxa"/>
            <w:vMerge w:val="restart"/>
          </w:tcPr>
          <w:p w:rsidR="007C513A" w:rsidRDefault="007C513A" w:rsidP="007C513A">
            <w:pPr>
              <w:jc w:val="center"/>
              <w:cnfStyle w:val="100000000000"/>
              <w:rPr>
                <w:rFonts w:ascii="Arial" w:eastAsia="Times New Roman" w:hAnsi="Arial" w:cs="Arial"/>
                <w:color w:val="4B4B4B"/>
                <w:lang w:eastAsia="es-ES"/>
              </w:rPr>
            </w:pPr>
          </w:p>
          <w:p w:rsidR="007C513A" w:rsidRDefault="007C513A" w:rsidP="007C513A">
            <w:pPr>
              <w:jc w:val="center"/>
              <w:cnfStyle w:val="100000000000"/>
              <w:rPr>
                <w:rFonts w:ascii="Arial" w:eastAsia="Times New Roman" w:hAnsi="Arial" w:cs="Arial"/>
                <w:color w:val="4B4B4B"/>
                <w:lang w:eastAsia="es-ES"/>
              </w:rPr>
            </w:pPr>
            <w:r>
              <w:rPr>
                <w:rFonts w:ascii="Arial" w:eastAsia="Times New Roman" w:hAnsi="Arial" w:cs="Arial"/>
                <w:color w:val="4B4B4B"/>
                <w:lang w:eastAsia="es-ES"/>
              </w:rPr>
              <w:t>Tasa de impuestos</w:t>
            </w:r>
          </w:p>
        </w:tc>
      </w:tr>
      <w:tr w:rsidR="007C513A" w:rsidTr="007C513A">
        <w:trPr>
          <w:cnfStyle w:val="000000100000"/>
        </w:trPr>
        <w:tc>
          <w:tcPr>
            <w:cnfStyle w:val="001000000000"/>
            <w:tcW w:w="2161" w:type="dxa"/>
          </w:tcPr>
          <w:p w:rsidR="007C513A" w:rsidRDefault="007C513A" w:rsidP="009F68C5">
            <w:pPr>
              <w:jc w:val="both"/>
              <w:rPr>
                <w:rFonts w:ascii="Arial" w:eastAsia="Times New Roman" w:hAnsi="Arial" w:cs="Arial"/>
                <w:color w:val="4B4B4B"/>
                <w:lang w:eastAsia="es-ES"/>
              </w:rPr>
            </w:pPr>
          </w:p>
          <w:p w:rsidR="007C513A" w:rsidRDefault="007C513A" w:rsidP="009F68C5">
            <w:pPr>
              <w:jc w:val="both"/>
              <w:rPr>
                <w:rFonts w:ascii="Arial" w:eastAsia="Times New Roman" w:hAnsi="Arial" w:cs="Arial"/>
                <w:color w:val="4B4B4B"/>
                <w:lang w:eastAsia="es-ES"/>
              </w:rPr>
            </w:pPr>
            <w:r>
              <w:rPr>
                <w:rFonts w:ascii="Arial" w:eastAsia="Times New Roman" w:hAnsi="Arial" w:cs="Arial"/>
                <w:color w:val="4B4B4B"/>
                <w:lang w:eastAsia="es-ES"/>
              </w:rPr>
              <w:t xml:space="preserve">Límite inferior </w:t>
            </w:r>
          </w:p>
        </w:tc>
        <w:tc>
          <w:tcPr>
            <w:tcW w:w="2161" w:type="dxa"/>
          </w:tcPr>
          <w:p w:rsidR="007C513A" w:rsidRDefault="007C513A" w:rsidP="009F68C5">
            <w:pPr>
              <w:jc w:val="both"/>
              <w:cnfStyle w:val="000000100000"/>
              <w:rPr>
                <w:rFonts w:ascii="Arial" w:eastAsia="Times New Roman" w:hAnsi="Arial" w:cs="Arial"/>
                <w:color w:val="4B4B4B"/>
                <w:lang w:eastAsia="es-ES"/>
              </w:rPr>
            </w:pPr>
          </w:p>
          <w:p w:rsidR="007C513A" w:rsidRDefault="007C513A" w:rsidP="009F68C5">
            <w:pPr>
              <w:jc w:val="both"/>
              <w:cnfStyle w:val="000000100000"/>
              <w:rPr>
                <w:rFonts w:ascii="Arial" w:eastAsia="Times New Roman" w:hAnsi="Arial" w:cs="Arial"/>
                <w:color w:val="4B4B4B"/>
                <w:lang w:eastAsia="es-ES"/>
              </w:rPr>
            </w:pPr>
            <w:r>
              <w:rPr>
                <w:rFonts w:ascii="Arial" w:eastAsia="Times New Roman" w:hAnsi="Arial" w:cs="Arial"/>
                <w:color w:val="4B4B4B"/>
                <w:lang w:eastAsia="es-ES"/>
              </w:rPr>
              <w:t xml:space="preserve">Límite superior </w:t>
            </w:r>
          </w:p>
        </w:tc>
        <w:tc>
          <w:tcPr>
            <w:tcW w:w="2161" w:type="dxa"/>
            <w:vMerge/>
          </w:tcPr>
          <w:p w:rsidR="007C513A" w:rsidRDefault="007C513A" w:rsidP="009F68C5">
            <w:pPr>
              <w:jc w:val="both"/>
              <w:cnfStyle w:val="000000100000"/>
              <w:rPr>
                <w:rFonts w:ascii="Arial" w:eastAsia="Times New Roman" w:hAnsi="Arial" w:cs="Arial"/>
                <w:color w:val="4B4B4B"/>
                <w:lang w:eastAsia="es-ES"/>
              </w:rPr>
            </w:pPr>
          </w:p>
        </w:tc>
        <w:tc>
          <w:tcPr>
            <w:tcW w:w="2161" w:type="dxa"/>
            <w:vMerge/>
          </w:tcPr>
          <w:p w:rsidR="007C513A" w:rsidRDefault="007C513A" w:rsidP="009F68C5">
            <w:pPr>
              <w:jc w:val="both"/>
              <w:cnfStyle w:val="000000100000"/>
              <w:rPr>
                <w:rFonts w:ascii="Arial" w:eastAsia="Times New Roman" w:hAnsi="Arial" w:cs="Arial"/>
                <w:color w:val="4B4B4B"/>
                <w:lang w:eastAsia="es-ES"/>
              </w:rPr>
            </w:pPr>
          </w:p>
        </w:tc>
      </w:tr>
      <w:tr w:rsidR="007C513A" w:rsidTr="007C513A">
        <w:tc>
          <w:tcPr>
            <w:cnfStyle w:val="001000000000"/>
            <w:tcW w:w="2161" w:type="dxa"/>
          </w:tcPr>
          <w:p w:rsidR="007C513A" w:rsidRDefault="007C513A" w:rsidP="007C513A">
            <w:pPr>
              <w:jc w:val="right"/>
              <w:rPr>
                <w:rFonts w:ascii="Arial" w:eastAsia="Times New Roman" w:hAnsi="Arial" w:cs="Arial"/>
                <w:color w:val="4B4B4B"/>
                <w:lang w:eastAsia="es-ES"/>
              </w:rPr>
            </w:pPr>
            <w:r>
              <w:rPr>
                <w:rFonts w:ascii="Arial" w:eastAsia="Times New Roman" w:hAnsi="Arial" w:cs="Arial"/>
                <w:color w:val="4B4B4B"/>
                <w:lang w:eastAsia="es-ES"/>
              </w:rPr>
              <w:t>0</w:t>
            </w:r>
          </w:p>
        </w:tc>
        <w:tc>
          <w:tcPr>
            <w:tcW w:w="2161" w:type="dxa"/>
          </w:tcPr>
          <w:p w:rsidR="007C513A" w:rsidRDefault="007C513A" w:rsidP="007C513A">
            <w:pPr>
              <w:jc w:val="right"/>
              <w:cnfStyle w:val="000000000000"/>
              <w:rPr>
                <w:rFonts w:ascii="Arial" w:eastAsia="Times New Roman" w:hAnsi="Arial" w:cs="Arial"/>
                <w:color w:val="4B4B4B"/>
                <w:lang w:eastAsia="es-ES"/>
              </w:rPr>
            </w:pPr>
            <w:r>
              <w:rPr>
                <w:rFonts w:ascii="Arial" w:eastAsia="Times New Roman" w:hAnsi="Arial" w:cs="Arial"/>
                <w:color w:val="4B4B4B"/>
                <w:lang w:eastAsia="es-ES"/>
              </w:rPr>
              <w:t>999</w:t>
            </w:r>
          </w:p>
        </w:tc>
        <w:tc>
          <w:tcPr>
            <w:tcW w:w="2161" w:type="dxa"/>
          </w:tcPr>
          <w:p w:rsidR="007C513A" w:rsidRDefault="007C513A" w:rsidP="007C513A">
            <w:pPr>
              <w:jc w:val="right"/>
              <w:cnfStyle w:val="000000000000"/>
              <w:rPr>
                <w:rFonts w:ascii="Arial" w:eastAsia="Times New Roman" w:hAnsi="Arial" w:cs="Arial"/>
                <w:color w:val="4B4B4B"/>
                <w:lang w:eastAsia="es-ES"/>
              </w:rPr>
            </w:pPr>
            <w:r>
              <w:rPr>
                <w:rFonts w:ascii="Arial" w:eastAsia="Times New Roman" w:hAnsi="Arial" w:cs="Arial"/>
                <w:color w:val="4B4B4B"/>
                <w:lang w:eastAsia="es-ES"/>
              </w:rPr>
              <w:t>0</w:t>
            </w:r>
          </w:p>
        </w:tc>
        <w:tc>
          <w:tcPr>
            <w:tcW w:w="2161" w:type="dxa"/>
          </w:tcPr>
          <w:p w:rsidR="007C513A" w:rsidRDefault="007C513A" w:rsidP="007C513A">
            <w:pPr>
              <w:jc w:val="right"/>
              <w:cnfStyle w:val="000000000000"/>
              <w:rPr>
                <w:rFonts w:ascii="Arial" w:eastAsia="Times New Roman" w:hAnsi="Arial" w:cs="Arial"/>
                <w:color w:val="4B4B4B"/>
                <w:lang w:eastAsia="es-ES"/>
              </w:rPr>
            </w:pPr>
            <w:r>
              <w:rPr>
                <w:rFonts w:ascii="Arial" w:eastAsia="Times New Roman" w:hAnsi="Arial" w:cs="Arial"/>
                <w:color w:val="4B4B4B"/>
                <w:lang w:eastAsia="es-ES"/>
              </w:rPr>
              <w:t>5%</w:t>
            </w:r>
          </w:p>
        </w:tc>
      </w:tr>
      <w:tr w:rsidR="007C513A" w:rsidTr="007C513A">
        <w:trPr>
          <w:cnfStyle w:val="000000100000"/>
        </w:trPr>
        <w:tc>
          <w:tcPr>
            <w:cnfStyle w:val="001000000000"/>
            <w:tcW w:w="2161" w:type="dxa"/>
          </w:tcPr>
          <w:p w:rsidR="007C513A" w:rsidRDefault="007C513A" w:rsidP="007C513A">
            <w:pPr>
              <w:jc w:val="right"/>
              <w:rPr>
                <w:rFonts w:ascii="Arial" w:eastAsia="Times New Roman" w:hAnsi="Arial" w:cs="Arial"/>
                <w:color w:val="4B4B4B"/>
                <w:lang w:eastAsia="es-ES"/>
              </w:rPr>
            </w:pPr>
            <w:r>
              <w:rPr>
                <w:rFonts w:ascii="Arial" w:eastAsia="Times New Roman" w:hAnsi="Arial" w:cs="Arial"/>
                <w:color w:val="4B4B4B"/>
                <w:lang w:eastAsia="es-ES"/>
              </w:rPr>
              <w:t>1 000</w:t>
            </w:r>
          </w:p>
        </w:tc>
        <w:tc>
          <w:tcPr>
            <w:tcW w:w="2161" w:type="dxa"/>
          </w:tcPr>
          <w:p w:rsidR="007C513A" w:rsidRDefault="007C513A" w:rsidP="007C513A">
            <w:pPr>
              <w:jc w:val="right"/>
              <w:cnfStyle w:val="000000100000"/>
              <w:rPr>
                <w:rFonts w:ascii="Arial" w:eastAsia="Times New Roman" w:hAnsi="Arial" w:cs="Arial"/>
                <w:color w:val="4B4B4B"/>
                <w:lang w:eastAsia="es-ES"/>
              </w:rPr>
            </w:pPr>
            <w:r>
              <w:rPr>
                <w:rFonts w:ascii="Arial" w:eastAsia="Times New Roman" w:hAnsi="Arial" w:cs="Arial"/>
                <w:color w:val="4B4B4B"/>
                <w:lang w:eastAsia="es-ES"/>
              </w:rPr>
              <w:t>9 999</w:t>
            </w:r>
          </w:p>
        </w:tc>
        <w:tc>
          <w:tcPr>
            <w:tcW w:w="2161" w:type="dxa"/>
          </w:tcPr>
          <w:p w:rsidR="007C513A" w:rsidRDefault="007C513A" w:rsidP="007C513A">
            <w:pPr>
              <w:jc w:val="right"/>
              <w:cnfStyle w:val="000000100000"/>
              <w:rPr>
                <w:rFonts w:ascii="Arial" w:eastAsia="Times New Roman" w:hAnsi="Arial" w:cs="Arial"/>
                <w:color w:val="4B4B4B"/>
                <w:lang w:eastAsia="es-ES"/>
              </w:rPr>
            </w:pPr>
            <w:r>
              <w:rPr>
                <w:rFonts w:ascii="Arial" w:eastAsia="Times New Roman" w:hAnsi="Arial" w:cs="Arial"/>
                <w:color w:val="4B4B4B"/>
                <w:lang w:eastAsia="es-ES"/>
              </w:rPr>
              <w:t>50</w:t>
            </w:r>
          </w:p>
        </w:tc>
        <w:tc>
          <w:tcPr>
            <w:tcW w:w="2161" w:type="dxa"/>
          </w:tcPr>
          <w:p w:rsidR="007C513A" w:rsidRDefault="007C513A" w:rsidP="007C513A">
            <w:pPr>
              <w:jc w:val="right"/>
              <w:cnfStyle w:val="000000100000"/>
              <w:rPr>
                <w:rFonts w:ascii="Arial" w:eastAsia="Times New Roman" w:hAnsi="Arial" w:cs="Arial"/>
                <w:color w:val="4B4B4B"/>
                <w:lang w:eastAsia="es-ES"/>
              </w:rPr>
            </w:pPr>
            <w:r>
              <w:rPr>
                <w:rFonts w:ascii="Arial" w:eastAsia="Times New Roman" w:hAnsi="Arial" w:cs="Arial"/>
                <w:color w:val="4B4B4B"/>
                <w:lang w:eastAsia="es-ES"/>
              </w:rPr>
              <w:t>10%</w:t>
            </w:r>
          </w:p>
        </w:tc>
      </w:tr>
      <w:tr w:rsidR="007C513A" w:rsidTr="007C513A">
        <w:tc>
          <w:tcPr>
            <w:cnfStyle w:val="001000000000"/>
            <w:tcW w:w="2161" w:type="dxa"/>
          </w:tcPr>
          <w:p w:rsidR="007C513A" w:rsidRDefault="007C513A" w:rsidP="007C513A">
            <w:pPr>
              <w:jc w:val="right"/>
              <w:rPr>
                <w:rFonts w:ascii="Arial" w:eastAsia="Times New Roman" w:hAnsi="Arial" w:cs="Arial"/>
                <w:color w:val="4B4B4B"/>
                <w:lang w:eastAsia="es-ES"/>
              </w:rPr>
            </w:pPr>
            <w:r>
              <w:rPr>
                <w:rFonts w:ascii="Arial" w:eastAsia="Times New Roman" w:hAnsi="Arial" w:cs="Arial"/>
                <w:color w:val="4B4B4B"/>
                <w:lang w:eastAsia="es-ES"/>
              </w:rPr>
              <w:t>10 000</w:t>
            </w:r>
          </w:p>
        </w:tc>
        <w:tc>
          <w:tcPr>
            <w:tcW w:w="2161" w:type="dxa"/>
          </w:tcPr>
          <w:p w:rsidR="007C513A" w:rsidRDefault="007C513A" w:rsidP="007C513A">
            <w:pPr>
              <w:jc w:val="right"/>
              <w:cnfStyle w:val="000000000000"/>
              <w:rPr>
                <w:rFonts w:ascii="Arial" w:eastAsia="Times New Roman" w:hAnsi="Arial" w:cs="Arial"/>
                <w:color w:val="4B4B4B"/>
                <w:lang w:eastAsia="es-ES"/>
              </w:rPr>
            </w:pPr>
            <w:r>
              <w:rPr>
                <w:rFonts w:ascii="Arial" w:eastAsia="Times New Roman" w:hAnsi="Arial" w:cs="Arial"/>
                <w:color w:val="4B4B4B"/>
                <w:lang w:eastAsia="es-ES"/>
              </w:rPr>
              <w:t>49 999</w:t>
            </w:r>
          </w:p>
        </w:tc>
        <w:tc>
          <w:tcPr>
            <w:tcW w:w="2161" w:type="dxa"/>
          </w:tcPr>
          <w:p w:rsidR="007C513A" w:rsidRDefault="007C513A" w:rsidP="007C513A">
            <w:pPr>
              <w:jc w:val="right"/>
              <w:cnfStyle w:val="000000000000"/>
              <w:rPr>
                <w:rFonts w:ascii="Arial" w:eastAsia="Times New Roman" w:hAnsi="Arial" w:cs="Arial"/>
                <w:color w:val="4B4B4B"/>
                <w:lang w:eastAsia="es-ES"/>
              </w:rPr>
            </w:pPr>
            <w:r>
              <w:rPr>
                <w:rFonts w:ascii="Arial" w:eastAsia="Times New Roman" w:hAnsi="Arial" w:cs="Arial"/>
                <w:color w:val="4B4B4B"/>
                <w:lang w:eastAsia="es-ES"/>
              </w:rPr>
              <w:t>950</w:t>
            </w:r>
          </w:p>
        </w:tc>
        <w:tc>
          <w:tcPr>
            <w:tcW w:w="2161" w:type="dxa"/>
          </w:tcPr>
          <w:p w:rsidR="007C513A" w:rsidRDefault="007C513A" w:rsidP="007C513A">
            <w:pPr>
              <w:jc w:val="right"/>
              <w:cnfStyle w:val="000000000000"/>
              <w:rPr>
                <w:rFonts w:ascii="Arial" w:eastAsia="Times New Roman" w:hAnsi="Arial" w:cs="Arial"/>
                <w:color w:val="4B4B4B"/>
                <w:lang w:eastAsia="es-ES"/>
              </w:rPr>
            </w:pPr>
            <w:r>
              <w:rPr>
                <w:rFonts w:ascii="Arial" w:eastAsia="Times New Roman" w:hAnsi="Arial" w:cs="Arial"/>
                <w:color w:val="4B4B4B"/>
                <w:lang w:eastAsia="es-ES"/>
              </w:rPr>
              <w:t>15%</w:t>
            </w:r>
          </w:p>
        </w:tc>
      </w:tr>
      <w:tr w:rsidR="007C513A" w:rsidTr="007C513A">
        <w:trPr>
          <w:cnfStyle w:val="000000100000"/>
        </w:trPr>
        <w:tc>
          <w:tcPr>
            <w:cnfStyle w:val="001000000000"/>
            <w:tcW w:w="2161" w:type="dxa"/>
          </w:tcPr>
          <w:p w:rsidR="007C513A" w:rsidRDefault="007C513A" w:rsidP="007C513A">
            <w:pPr>
              <w:jc w:val="right"/>
              <w:rPr>
                <w:rFonts w:ascii="Arial" w:eastAsia="Times New Roman" w:hAnsi="Arial" w:cs="Arial"/>
                <w:color w:val="4B4B4B"/>
                <w:lang w:eastAsia="es-ES"/>
              </w:rPr>
            </w:pPr>
            <w:r>
              <w:rPr>
                <w:rFonts w:ascii="Arial" w:eastAsia="Times New Roman" w:hAnsi="Arial" w:cs="Arial"/>
                <w:color w:val="4B4B4B"/>
                <w:lang w:eastAsia="es-ES"/>
              </w:rPr>
              <w:t>50 000</w:t>
            </w:r>
          </w:p>
        </w:tc>
        <w:tc>
          <w:tcPr>
            <w:tcW w:w="2161" w:type="dxa"/>
          </w:tcPr>
          <w:p w:rsidR="007C513A" w:rsidRDefault="007C513A" w:rsidP="007C513A">
            <w:pPr>
              <w:jc w:val="right"/>
              <w:cnfStyle w:val="000000100000"/>
              <w:rPr>
                <w:rFonts w:ascii="Arial" w:eastAsia="Times New Roman" w:hAnsi="Arial" w:cs="Arial"/>
                <w:color w:val="4B4B4B"/>
                <w:lang w:eastAsia="es-ES"/>
              </w:rPr>
            </w:pPr>
            <w:r>
              <w:rPr>
                <w:rFonts w:ascii="Arial" w:eastAsia="Times New Roman" w:hAnsi="Arial" w:cs="Arial"/>
                <w:color w:val="4B4B4B"/>
                <w:lang w:eastAsia="es-ES"/>
              </w:rPr>
              <w:t>99 000</w:t>
            </w:r>
          </w:p>
        </w:tc>
        <w:tc>
          <w:tcPr>
            <w:tcW w:w="2161" w:type="dxa"/>
          </w:tcPr>
          <w:p w:rsidR="007C513A" w:rsidRDefault="007C513A" w:rsidP="007C513A">
            <w:pPr>
              <w:jc w:val="right"/>
              <w:cnfStyle w:val="000000100000"/>
              <w:rPr>
                <w:rFonts w:ascii="Arial" w:eastAsia="Times New Roman" w:hAnsi="Arial" w:cs="Arial"/>
                <w:color w:val="4B4B4B"/>
                <w:lang w:eastAsia="es-ES"/>
              </w:rPr>
            </w:pPr>
            <w:r>
              <w:rPr>
                <w:rFonts w:ascii="Arial" w:eastAsia="Times New Roman" w:hAnsi="Arial" w:cs="Arial"/>
                <w:color w:val="4B4B4B"/>
                <w:lang w:eastAsia="es-ES"/>
              </w:rPr>
              <w:t>6 950</w:t>
            </w:r>
          </w:p>
        </w:tc>
        <w:tc>
          <w:tcPr>
            <w:tcW w:w="2161" w:type="dxa"/>
          </w:tcPr>
          <w:p w:rsidR="007C513A" w:rsidRDefault="007C513A" w:rsidP="007C513A">
            <w:pPr>
              <w:jc w:val="right"/>
              <w:cnfStyle w:val="000000100000"/>
              <w:rPr>
                <w:rFonts w:ascii="Arial" w:eastAsia="Times New Roman" w:hAnsi="Arial" w:cs="Arial"/>
                <w:color w:val="4B4B4B"/>
                <w:lang w:eastAsia="es-ES"/>
              </w:rPr>
            </w:pPr>
            <w:r>
              <w:rPr>
                <w:rFonts w:ascii="Arial" w:eastAsia="Times New Roman" w:hAnsi="Arial" w:cs="Arial"/>
                <w:color w:val="4B4B4B"/>
                <w:lang w:eastAsia="es-ES"/>
              </w:rPr>
              <w:t>20%</w:t>
            </w:r>
          </w:p>
        </w:tc>
      </w:tr>
      <w:tr w:rsidR="007C513A" w:rsidTr="007C513A">
        <w:tc>
          <w:tcPr>
            <w:cnfStyle w:val="001000000000"/>
            <w:tcW w:w="2161" w:type="dxa"/>
          </w:tcPr>
          <w:p w:rsidR="007C513A" w:rsidRDefault="007C513A" w:rsidP="007C513A">
            <w:pPr>
              <w:jc w:val="right"/>
              <w:rPr>
                <w:rFonts w:ascii="Arial" w:eastAsia="Times New Roman" w:hAnsi="Arial" w:cs="Arial"/>
                <w:color w:val="4B4B4B"/>
                <w:lang w:eastAsia="es-ES"/>
              </w:rPr>
            </w:pPr>
            <w:r>
              <w:rPr>
                <w:rFonts w:ascii="Arial" w:eastAsia="Times New Roman" w:hAnsi="Arial" w:cs="Arial"/>
                <w:color w:val="4B4B4B"/>
                <w:lang w:eastAsia="es-ES"/>
              </w:rPr>
              <w:t>100 000</w:t>
            </w:r>
          </w:p>
        </w:tc>
        <w:tc>
          <w:tcPr>
            <w:tcW w:w="2161" w:type="dxa"/>
          </w:tcPr>
          <w:p w:rsidR="007C513A" w:rsidRDefault="007C513A" w:rsidP="007C513A">
            <w:pPr>
              <w:jc w:val="right"/>
              <w:cnfStyle w:val="000000000000"/>
              <w:rPr>
                <w:rFonts w:ascii="Arial" w:eastAsia="Times New Roman" w:hAnsi="Arial" w:cs="Arial"/>
                <w:color w:val="4B4B4B"/>
                <w:lang w:eastAsia="es-ES"/>
              </w:rPr>
            </w:pPr>
            <w:r>
              <w:rPr>
                <w:rFonts w:ascii="Arial" w:eastAsia="Times New Roman" w:hAnsi="Arial" w:cs="Arial"/>
                <w:color w:val="4B4B4B"/>
                <w:lang w:eastAsia="es-ES"/>
              </w:rPr>
              <w:t>499 000</w:t>
            </w:r>
          </w:p>
        </w:tc>
        <w:tc>
          <w:tcPr>
            <w:tcW w:w="2161" w:type="dxa"/>
          </w:tcPr>
          <w:p w:rsidR="007C513A" w:rsidRDefault="007C513A" w:rsidP="007C513A">
            <w:pPr>
              <w:jc w:val="right"/>
              <w:cnfStyle w:val="000000000000"/>
              <w:rPr>
                <w:rFonts w:ascii="Arial" w:eastAsia="Times New Roman" w:hAnsi="Arial" w:cs="Arial"/>
                <w:color w:val="4B4B4B"/>
                <w:lang w:eastAsia="es-ES"/>
              </w:rPr>
            </w:pPr>
            <w:r>
              <w:rPr>
                <w:rFonts w:ascii="Arial" w:eastAsia="Times New Roman" w:hAnsi="Arial" w:cs="Arial"/>
                <w:color w:val="4B4B4B"/>
                <w:lang w:eastAsia="es-ES"/>
              </w:rPr>
              <w:t>16 950</w:t>
            </w:r>
          </w:p>
        </w:tc>
        <w:tc>
          <w:tcPr>
            <w:tcW w:w="2161" w:type="dxa"/>
          </w:tcPr>
          <w:p w:rsidR="007C513A" w:rsidRDefault="007C513A" w:rsidP="007C513A">
            <w:pPr>
              <w:jc w:val="right"/>
              <w:cnfStyle w:val="000000000000"/>
              <w:rPr>
                <w:rFonts w:ascii="Arial" w:eastAsia="Times New Roman" w:hAnsi="Arial" w:cs="Arial"/>
                <w:color w:val="4B4B4B"/>
                <w:lang w:eastAsia="es-ES"/>
              </w:rPr>
            </w:pPr>
            <w:r>
              <w:rPr>
                <w:rFonts w:ascii="Arial" w:eastAsia="Times New Roman" w:hAnsi="Arial" w:cs="Arial"/>
                <w:color w:val="4B4B4B"/>
                <w:lang w:eastAsia="es-ES"/>
              </w:rPr>
              <w:t>25%</w:t>
            </w:r>
          </w:p>
        </w:tc>
      </w:tr>
      <w:tr w:rsidR="007C513A" w:rsidTr="007C513A">
        <w:trPr>
          <w:cnfStyle w:val="000000100000"/>
        </w:trPr>
        <w:tc>
          <w:tcPr>
            <w:cnfStyle w:val="001000000000"/>
            <w:tcW w:w="2161" w:type="dxa"/>
          </w:tcPr>
          <w:p w:rsidR="007C513A" w:rsidRDefault="007C513A" w:rsidP="007C513A">
            <w:pPr>
              <w:jc w:val="right"/>
              <w:rPr>
                <w:rFonts w:ascii="Arial" w:eastAsia="Times New Roman" w:hAnsi="Arial" w:cs="Arial"/>
                <w:color w:val="4B4B4B"/>
                <w:lang w:eastAsia="es-ES"/>
              </w:rPr>
            </w:pPr>
            <w:r>
              <w:rPr>
                <w:rFonts w:ascii="Arial" w:eastAsia="Times New Roman" w:hAnsi="Arial" w:cs="Arial"/>
                <w:color w:val="4B4B4B"/>
                <w:lang w:eastAsia="es-ES"/>
              </w:rPr>
              <w:t>500 000</w:t>
            </w:r>
          </w:p>
        </w:tc>
        <w:tc>
          <w:tcPr>
            <w:tcW w:w="2161" w:type="dxa"/>
          </w:tcPr>
          <w:p w:rsidR="007C513A" w:rsidRDefault="007C513A" w:rsidP="007C513A">
            <w:pPr>
              <w:jc w:val="right"/>
              <w:cnfStyle w:val="000000100000"/>
              <w:rPr>
                <w:rFonts w:ascii="Arial" w:eastAsia="Times New Roman" w:hAnsi="Arial" w:cs="Arial"/>
                <w:color w:val="4B4B4B"/>
                <w:lang w:eastAsia="es-ES"/>
              </w:rPr>
            </w:pPr>
            <w:r>
              <w:rPr>
                <w:rFonts w:ascii="Arial" w:eastAsia="Times New Roman" w:hAnsi="Arial" w:cs="Arial"/>
                <w:color w:val="4B4B4B"/>
                <w:lang w:eastAsia="es-ES"/>
              </w:rPr>
              <w:t xml:space="preserve">999 </w:t>
            </w:r>
            <w:proofErr w:type="spellStart"/>
            <w:r>
              <w:rPr>
                <w:rFonts w:ascii="Arial" w:eastAsia="Times New Roman" w:hAnsi="Arial" w:cs="Arial"/>
                <w:color w:val="4B4B4B"/>
                <w:lang w:eastAsia="es-ES"/>
              </w:rPr>
              <w:t>999</w:t>
            </w:r>
            <w:proofErr w:type="spellEnd"/>
          </w:p>
        </w:tc>
        <w:tc>
          <w:tcPr>
            <w:tcW w:w="2161" w:type="dxa"/>
          </w:tcPr>
          <w:p w:rsidR="007C513A" w:rsidRDefault="007C513A" w:rsidP="007C513A">
            <w:pPr>
              <w:jc w:val="right"/>
              <w:cnfStyle w:val="000000100000"/>
              <w:rPr>
                <w:rFonts w:ascii="Arial" w:eastAsia="Times New Roman" w:hAnsi="Arial" w:cs="Arial"/>
                <w:color w:val="4B4B4B"/>
                <w:lang w:eastAsia="es-ES"/>
              </w:rPr>
            </w:pPr>
            <w:r>
              <w:rPr>
                <w:rFonts w:ascii="Arial" w:eastAsia="Times New Roman" w:hAnsi="Arial" w:cs="Arial"/>
                <w:color w:val="4B4B4B"/>
                <w:lang w:eastAsia="es-ES"/>
              </w:rPr>
              <w:t>116 949</w:t>
            </w:r>
          </w:p>
        </w:tc>
        <w:tc>
          <w:tcPr>
            <w:tcW w:w="2161" w:type="dxa"/>
          </w:tcPr>
          <w:p w:rsidR="007C513A" w:rsidRDefault="007C513A" w:rsidP="007C513A">
            <w:pPr>
              <w:jc w:val="right"/>
              <w:cnfStyle w:val="000000100000"/>
              <w:rPr>
                <w:rFonts w:ascii="Arial" w:eastAsia="Times New Roman" w:hAnsi="Arial" w:cs="Arial"/>
                <w:color w:val="4B4B4B"/>
                <w:lang w:eastAsia="es-ES"/>
              </w:rPr>
            </w:pPr>
            <w:r>
              <w:rPr>
                <w:rFonts w:ascii="Arial" w:eastAsia="Times New Roman" w:hAnsi="Arial" w:cs="Arial"/>
                <w:color w:val="4B4B4B"/>
                <w:lang w:eastAsia="es-ES"/>
              </w:rPr>
              <w:t>30%</w:t>
            </w:r>
          </w:p>
        </w:tc>
      </w:tr>
      <w:tr w:rsidR="007C513A" w:rsidTr="007C513A">
        <w:tc>
          <w:tcPr>
            <w:cnfStyle w:val="001000000000"/>
            <w:tcW w:w="2161" w:type="dxa"/>
          </w:tcPr>
          <w:p w:rsidR="007C513A" w:rsidRDefault="007C513A" w:rsidP="007C513A">
            <w:pPr>
              <w:jc w:val="right"/>
              <w:rPr>
                <w:rFonts w:ascii="Arial" w:eastAsia="Times New Roman" w:hAnsi="Arial" w:cs="Arial"/>
                <w:color w:val="4B4B4B"/>
                <w:lang w:eastAsia="es-ES"/>
              </w:rPr>
            </w:pPr>
            <w:r>
              <w:rPr>
                <w:rFonts w:ascii="Arial" w:eastAsia="Times New Roman" w:hAnsi="Arial" w:cs="Arial"/>
                <w:color w:val="4B4B4B"/>
                <w:lang w:eastAsia="es-ES"/>
              </w:rPr>
              <w:t xml:space="preserve">1 000 </w:t>
            </w:r>
            <w:proofErr w:type="spellStart"/>
            <w:r>
              <w:rPr>
                <w:rFonts w:ascii="Arial" w:eastAsia="Times New Roman" w:hAnsi="Arial" w:cs="Arial"/>
                <w:color w:val="4B4B4B"/>
                <w:lang w:eastAsia="es-ES"/>
              </w:rPr>
              <w:t>000</w:t>
            </w:r>
            <w:proofErr w:type="spellEnd"/>
          </w:p>
        </w:tc>
        <w:tc>
          <w:tcPr>
            <w:tcW w:w="2161" w:type="dxa"/>
          </w:tcPr>
          <w:p w:rsidR="007C513A" w:rsidRDefault="007C513A" w:rsidP="007C513A">
            <w:pPr>
              <w:jc w:val="right"/>
              <w:cnfStyle w:val="000000000000"/>
              <w:rPr>
                <w:rFonts w:ascii="Arial" w:eastAsia="Times New Roman" w:hAnsi="Arial" w:cs="Arial"/>
                <w:color w:val="4B4B4B"/>
                <w:lang w:eastAsia="es-ES"/>
              </w:rPr>
            </w:pPr>
          </w:p>
        </w:tc>
        <w:tc>
          <w:tcPr>
            <w:tcW w:w="2161" w:type="dxa"/>
          </w:tcPr>
          <w:p w:rsidR="007C513A" w:rsidRDefault="007C513A" w:rsidP="007C513A">
            <w:pPr>
              <w:jc w:val="right"/>
              <w:cnfStyle w:val="000000000000"/>
              <w:rPr>
                <w:rFonts w:ascii="Arial" w:eastAsia="Times New Roman" w:hAnsi="Arial" w:cs="Arial"/>
                <w:color w:val="4B4B4B"/>
                <w:lang w:eastAsia="es-ES"/>
              </w:rPr>
            </w:pPr>
            <w:r>
              <w:rPr>
                <w:rFonts w:ascii="Arial" w:eastAsia="Times New Roman" w:hAnsi="Arial" w:cs="Arial"/>
                <w:color w:val="4B4B4B"/>
                <w:lang w:eastAsia="es-ES"/>
              </w:rPr>
              <w:t>266 949</w:t>
            </w:r>
          </w:p>
        </w:tc>
        <w:tc>
          <w:tcPr>
            <w:tcW w:w="2161" w:type="dxa"/>
          </w:tcPr>
          <w:p w:rsidR="007C513A" w:rsidRDefault="007C513A" w:rsidP="007C513A">
            <w:pPr>
              <w:jc w:val="right"/>
              <w:cnfStyle w:val="000000000000"/>
              <w:rPr>
                <w:rFonts w:ascii="Arial" w:eastAsia="Times New Roman" w:hAnsi="Arial" w:cs="Arial"/>
                <w:color w:val="4B4B4B"/>
                <w:lang w:eastAsia="es-ES"/>
              </w:rPr>
            </w:pPr>
            <w:r>
              <w:rPr>
                <w:rFonts w:ascii="Arial" w:eastAsia="Times New Roman" w:hAnsi="Arial" w:cs="Arial"/>
                <w:color w:val="4B4B4B"/>
                <w:lang w:eastAsia="es-ES"/>
              </w:rPr>
              <w:t>35%</w:t>
            </w:r>
          </w:p>
        </w:tc>
      </w:tr>
    </w:tbl>
    <w:p w:rsidR="007C513A" w:rsidRDefault="007C513A" w:rsidP="009F68C5">
      <w:pPr>
        <w:jc w:val="both"/>
        <w:rPr>
          <w:rFonts w:ascii="Arial" w:eastAsia="Times New Roman" w:hAnsi="Arial" w:cs="Arial"/>
          <w:color w:val="4B4B4B"/>
          <w:lang w:eastAsia="es-ES"/>
        </w:rPr>
      </w:pPr>
      <w:r>
        <w:rPr>
          <w:rFonts w:ascii="Arial" w:eastAsia="Times New Roman" w:hAnsi="Arial" w:cs="Arial"/>
          <w:color w:val="4B4B4B"/>
          <w:lang w:eastAsia="es-ES"/>
        </w:rPr>
        <w:t xml:space="preserve"> </w:t>
      </w:r>
    </w:p>
    <w:p w:rsidR="007C513A" w:rsidRPr="007C513A" w:rsidRDefault="007C513A" w:rsidP="009F68C5">
      <w:pPr>
        <w:jc w:val="both"/>
        <w:rPr>
          <w:rFonts w:ascii="Times New Roman" w:eastAsia="Times New Roman" w:hAnsi="Times New Roman" w:cs="Times New Roman"/>
          <w:color w:val="4B4B4B"/>
          <w:sz w:val="24"/>
          <w:szCs w:val="24"/>
          <w:lang w:eastAsia="es-ES"/>
        </w:rPr>
      </w:pPr>
      <w:r w:rsidRPr="007C513A">
        <w:rPr>
          <w:rFonts w:ascii="Times New Roman" w:eastAsia="Times New Roman" w:hAnsi="Times New Roman" w:cs="Times New Roman"/>
          <w:color w:val="4B4B4B"/>
          <w:sz w:val="24"/>
          <w:szCs w:val="24"/>
          <w:lang w:eastAsia="es-ES"/>
        </w:rPr>
        <w:lastRenderedPageBreak/>
        <w:t xml:space="preserve">FUTURO DEL PLAN DE INVERSION </w:t>
      </w:r>
    </w:p>
    <w:p w:rsidR="007C513A" w:rsidRDefault="007C513A" w:rsidP="009F68C5">
      <w:pPr>
        <w:jc w:val="both"/>
        <w:rPr>
          <w:rFonts w:ascii="Times New Roman" w:eastAsia="Times New Roman" w:hAnsi="Times New Roman" w:cs="Times New Roman"/>
          <w:color w:val="4B4B4B"/>
          <w:sz w:val="24"/>
          <w:szCs w:val="24"/>
          <w:lang w:eastAsia="es-ES"/>
        </w:rPr>
      </w:pPr>
      <w:r w:rsidRPr="007C513A">
        <w:rPr>
          <w:rFonts w:ascii="Times New Roman" w:eastAsia="Times New Roman" w:hAnsi="Times New Roman" w:cs="Times New Roman"/>
          <w:color w:val="4B4B4B"/>
          <w:sz w:val="24"/>
          <w:szCs w:val="24"/>
          <w:lang w:eastAsia="es-ES"/>
        </w:rPr>
        <w:t>Finalmente, luego de leer el informe de la cámara de la industria del calzado</w:t>
      </w:r>
      <w:r>
        <w:rPr>
          <w:rFonts w:ascii="Times New Roman" w:eastAsia="Times New Roman" w:hAnsi="Times New Roman" w:cs="Times New Roman"/>
          <w:color w:val="4B4B4B"/>
          <w:sz w:val="24"/>
          <w:szCs w:val="24"/>
          <w:lang w:eastAsia="es-ES"/>
        </w:rPr>
        <w:t xml:space="preserve">, el Lic. Morales </w:t>
      </w:r>
      <w:r w:rsidRPr="007C513A">
        <w:rPr>
          <w:rFonts w:ascii="Times New Roman" w:eastAsia="Times New Roman" w:hAnsi="Times New Roman" w:cs="Times New Roman"/>
          <w:color w:val="4B4B4B"/>
          <w:sz w:val="24"/>
          <w:szCs w:val="24"/>
          <w:lang w:eastAsia="es-ES"/>
        </w:rPr>
        <w:t xml:space="preserve"> </w:t>
      </w:r>
      <w:r>
        <w:rPr>
          <w:rFonts w:ascii="Times New Roman" w:eastAsia="Times New Roman" w:hAnsi="Times New Roman" w:cs="Times New Roman"/>
          <w:color w:val="4B4B4B"/>
          <w:sz w:val="24"/>
          <w:szCs w:val="24"/>
          <w:lang w:eastAsia="es-ES"/>
        </w:rPr>
        <w:t xml:space="preserve">empezó a elaborar un análisis de alternativas sobre continuar o no con el proyecto </w:t>
      </w:r>
      <w:r w:rsidR="009F4406">
        <w:rPr>
          <w:rFonts w:ascii="Times New Roman" w:eastAsia="Times New Roman" w:hAnsi="Times New Roman" w:cs="Times New Roman"/>
          <w:color w:val="4B4B4B"/>
          <w:sz w:val="24"/>
          <w:szCs w:val="24"/>
          <w:lang w:eastAsia="es-ES"/>
        </w:rPr>
        <w:t xml:space="preserve">de </w:t>
      </w:r>
      <w:r w:rsidR="004A1483">
        <w:rPr>
          <w:rFonts w:ascii="Times New Roman" w:eastAsia="Times New Roman" w:hAnsi="Times New Roman" w:cs="Times New Roman"/>
          <w:color w:val="4B4B4B"/>
          <w:sz w:val="24"/>
          <w:szCs w:val="24"/>
          <w:lang w:eastAsia="es-ES"/>
        </w:rPr>
        <w:t>ampliación</w:t>
      </w:r>
      <w:r w:rsidR="009F4406">
        <w:rPr>
          <w:rFonts w:ascii="Times New Roman" w:eastAsia="Times New Roman" w:hAnsi="Times New Roman" w:cs="Times New Roman"/>
          <w:color w:val="4B4B4B"/>
          <w:sz w:val="24"/>
          <w:szCs w:val="24"/>
          <w:lang w:eastAsia="es-ES"/>
        </w:rPr>
        <w:t xml:space="preserve"> de la planta. La primera opción era de continuar con el proyecto, ya que existían algunas posibilidades de exportar los zapatos hacia otros países, y la segunda era de no realizar la inversión.</w:t>
      </w:r>
    </w:p>
    <w:p w:rsidR="009F4406" w:rsidRDefault="009F4406" w:rsidP="009F68C5">
      <w:pPr>
        <w:jc w:val="both"/>
        <w:rPr>
          <w:rFonts w:ascii="Times New Roman" w:eastAsia="Times New Roman" w:hAnsi="Times New Roman" w:cs="Times New Roman"/>
          <w:color w:val="4B4B4B"/>
          <w:sz w:val="24"/>
          <w:szCs w:val="24"/>
          <w:lang w:eastAsia="es-ES"/>
        </w:rPr>
      </w:pPr>
    </w:p>
    <w:p w:rsidR="009F4406" w:rsidRDefault="003D35C6" w:rsidP="009F68C5">
      <w:pPr>
        <w:jc w:val="both"/>
        <w:rPr>
          <w:rFonts w:ascii="Times New Roman" w:eastAsia="Times New Roman" w:hAnsi="Times New Roman" w:cs="Times New Roman"/>
          <w:color w:val="4B4B4B"/>
          <w:sz w:val="24"/>
          <w:szCs w:val="24"/>
          <w:lang w:eastAsia="es-ES"/>
        </w:rPr>
      </w:pPr>
      <w:r>
        <w:rPr>
          <w:rFonts w:ascii="Times New Roman" w:eastAsia="Times New Roman" w:hAnsi="Times New Roman" w:cs="Times New Roman"/>
          <w:color w:val="4B4B4B"/>
          <w:sz w:val="24"/>
          <w:szCs w:val="24"/>
          <w:lang w:eastAsia="es-ES"/>
        </w:rPr>
        <w:t>EVALUAR ALTERNATIVAS DE SOLUCIÓN PARA LA TOMA DE DECISIONES.</w:t>
      </w:r>
      <w:r w:rsidR="009F4406">
        <w:rPr>
          <w:rFonts w:ascii="Times New Roman" w:eastAsia="Times New Roman" w:hAnsi="Times New Roman" w:cs="Times New Roman"/>
          <w:color w:val="4B4B4B"/>
          <w:sz w:val="24"/>
          <w:szCs w:val="24"/>
          <w:lang w:eastAsia="es-ES"/>
        </w:rPr>
        <w:t xml:space="preserve"> </w:t>
      </w:r>
    </w:p>
    <w:p w:rsidR="009F4406" w:rsidRDefault="009F4406" w:rsidP="009F68C5">
      <w:pPr>
        <w:jc w:val="both"/>
        <w:rPr>
          <w:rFonts w:ascii="Times New Roman" w:eastAsia="Times New Roman" w:hAnsi="Times New Roman" w:cs="Times New Roman"/>
          <w:color w:val="4B4B4B"/>
          <w:sz w:val="24"/>
          <w:szCs w:val="24"/>
          <w:lang w:eastAsia="es-ES"/>
        </w:rPr>
      </w:pPr>
      <w:r>
        <w:rPr>
          <w:rFonts w:ascii="Times New Roman" w:eastAsia="Times New Roman" w:hAnsi="Times New Roman" w:cs="Times New Roman"/>
          <w:color w:val="4B4B4B"/>
          <w:sz w:val="24"/>
          <w:szCs w:val="24"/>
          <w:lang w:eastAsia="es-ES"/>
        </w:rPr>
        <w:t>Para identificar la mejor opción</w:t>
      </w:r>
      <w:r w:rsidR="003D35C6">
        <w:rPr>
          <w:rFonts w:ascii="Times New Roman" w:eastAsia="Times New Roman" w:hAnsi="Times New Roman" w:cs="Times New Roman"/>
          <w:color w:val="4B4B4B"/>
          <w:sz w:val="24"/>
          <w:szCs w:val="24"/>
          <w:lang w:eastAsia="es-ES"/>
        </w:rPr>
        <w:t xml:space="preserve"> y tomar la decisión de seguir con el proyecto o no,</w:t>
      </w:r>
      <w:r>
        <w:rPr>
          <w:rFonts w:ascii="Times New Roman" w:eastAsia="Times New Roman" w:hAnsi="Times New Roman" w:cs="Times New Roman"/>
          <w:color w:val="4B4B4B"/>
          <w:sz w:val="24"/>
          <w:szCs w:val="24"/>
          <w:lang w:eastAsia="es-ES"/>
        </w:rPr>
        <w:t xml:space="preserve"> el Lic. Morales decidió utilizar la información disponible para evaluar financieramente el proyecto, considerando que el costo de capital o tasa mínima de aceptación requerida por la empresa para nuevos proyectos es de 45</w:t>
      </w:r>
      <w:r w:rsidR="007D05CB">
        <w:rPr>
          <w:rFonts w:ascii="Times New Roman" w:eastAsia="Times New Roman" w:hAnsi="Times New Roman" w:cs="Times New Roman"/>
          <w:color w:val="4B4B4B"/>
          <w:sz w:val="24"/>
          <w:szCs w:val="24"/>
          <w:lang w:eastAsia="es-ES"/>
        </w:rPr>
        <w:t xml:space="preserve">%. </w:t>
      </w:r>
      <w:r w:rsidR="006B5537">
        <w:rPr>
          <w:rFonts w:ascii="Times New Roman" w:eastAsia="Times New Roman" w:hAnsi="Times New Roman" w:cs="Times New Roman"/>
          <w:color w:val="4B4B4B"/>
          <w:sz w:val="24"/>
          <w:szCs w:val="24"/>
          <w:lang w:eastAsia="es-ES"/>
        </w:rPr>
        <w:t>El</w:t>
      </w:r>
      <w:r>
        <w:rPr>
          <w:rFonts w:ascii="Times New Roman" w:eastAsia="Times New Roman" w:hAnsi="Times New Roman" w:cs="Times New Roman"/>
          <w:color w:val="4B4B4B"/>
          <w:sz w:val="24"/>
          <w:szCs w:val="24"/>
          <w:lang w:eastAsia="es-ES"/>
        </w:rPr>
        <w:t xml:space="preserve"> conoce diferentes métodos financieros para evaluar proyectos de inversión pero en base a su experiencia considera que los métodos </w:t>
      </w:r>
      <w:r w:rsidR="007D05CB">
        <w:rPr>
          <w:rFonts w:ascii="Times New Roman" w:eastAsia="Times New Roman" w:hAnsi="Times New Roman" w:cs="Times New Roman"/>
          <w:color w:val="4B4B4B"/>
          <w:sz w:val="24"/>
          <w:szCs w:val="24"/>
          <w:lang w:eastAsia="es-ES"/>
        </w:rPr>
        <w:t>más</w:t>
      </w:r>
      <w:r>
        <w:rPr>
          <w:rFonts w:ascii="Times New Roman" w:eastAsia="Times New Roman" w:hAnsi="Times New Roman" w:cs="Times New Roman"/>
          <w:color w:val="4B4B4B"/>
          <w:sz w:val="24"/>
          <w:szCs w:val="24"/>
          <w:lang w:eastAsia="es-ES"/>
        </w:rPr>
        <w:t xml:space="preserve"> apropiados son el periodo de recuperación, el periodo de recuperación descontado, el índice de rentabilidad, el rendimiento anual promedio, el valor presente neto y la tasa interna de retorno, los cuales le permitirán medir el tiempo que tarda en recuperar la inversión, y la rentabilidad del proyecto.</w:t>
      </w:r>
    </w:p>
    <w:p w:rsidR="007D05CB" w:rsidRPr="003D35C6" w:rsidRDefault="007D05CB" w:rsidP="009F68C5">
      <w:pPr>
        <w:jc w:val="both"/>
        <w:rPr>
          <w:rFonts w:ascii="Times New Roman" w:eastAsia="Times New Roman" w:hAnsi="Times New Roman" w:cs="Times New Roman"/>
          <w:color w:val="4B4B4B"/>
          <w:lang w:val="es-MX" w:eastAsia="es-ES"/>
        </w:rPr>
      </w:pPr>
      <w:r>
        <w:rPr>
          <w:rFonts w:ascii="Times New Roman" w:eastAsia="Times New Roman" w:hAnsi="Times New Roman" w:cs="Times New Roman"/>
          <w:color w:val="4B4B4B"/>
          <w:sz w:val="24"/>
          <w:szCs w:val="24"/>
          <w:lang w:eastAsia="es-ES"/>
        </w:rPr>
        <w:t xml:space="preserve">El Lic. Morales </w:t>
      </w:r>
      <w:r w:rsidR="00DA1653">
        <w:rPr>
          <w:rFonts w:ascii="Times New Roman" w:eastAsia="Times New Roman" w:hAnsi="Times New Roman" w:cs="Times New Roman"/>
          <w:color w:val="4B4B4B"/>
          <w:sz w:val="24"/>
          <w:szCs w:val="24"/>
          <w:lang w:eastAsia="es-ES"/>
        </w:rPr>
        <w:t>le pide a usted que</w:t>
      </w:r>
      <w:r w:rsidR="003D35C6">
        <w:rPr>
          <w:rFonts w:ascii="Times New Roman" w:eastAsia="Times New Roman" w:hAnsi="Times New Roman" w:cs="Times New Roman"/>
          <w:color w:val="4B4B4B"/>
          <w:sz w:val="24"/>
          <w:szCs w:val="24"/>
          <w:lang w:eastAsia="es-ES"/>
        </w:rPr>
        <w:t xml:space="preserve"> utilice el </w:t>
      </w:r>
      <w:r w:rsidR="00AA36B4">
        <w:rPr>
          <w:rFonts w:ascii="Times New Roman" w:eastAsia="Times New Roman" w:hAnsi="Times New Roman" w:cs="Times New Roman"/>
          <w:color w:val="4B4B4B"/>
          <w:sz w:val="24"/>
          <w:szCs w:val="24"/>
          <w:lang w:eastAsia="es-ES"/>
        </w:rPr>
        <w:t>“</w:t>
      </w:r>
      <w:r w:rsidR="00AA36B4">
        <w:rPr>
          <w:rFonts w:ascii="Times New Roman" w:eastAsia="Times New Roman" w:hAnsi="Times New Roman" w:cs="Times New Roman"/>
          <w:b/>
          <w:i/>
          <w:color w:val="4B4B4B"/>
          <w:lang w:val="es-MX" w:eastAsia="es-ES"/>
        </w:rPr>
        <w:t>s</w:t>
      </w:r>
      <w:r w:rsidR="003D35C6" w:rsidRPr="00AA36B4">
        <w:rPr>
          <w:rFonts w:ascii="Times New Roman" w:eastAsia="Times New Roman" w:hAnsi="Times New Roman" w:cs="Times New Roman"/>
          <w:b/>
          <w:i/>
          <w:color w:val="4B4B4B"/>
          <w:lang w:val="es-MX" w:eastAsia="es-ES"/>
        </w:rPr>
        <w:t>istema de apoyo didáctico para la planeación financiera</w:t>
      </w:r>
      <w:r w:rsidR="00AA36B4">
        <w:rPr>
          <w:rFonts w:ascii="Times New Roman" w:eastAsia="Times New Roman" w:hAnsi="Times New Roman" w:cs="Times New Roman"/>
          <w:b/>
          <w:i/>
          <w:color w:val="4B4B4B"/>
          <w:lang w:val="es-MX" w:eastAsia="es-ES"/>
        </w:rPr>
        <w:t>”</w:t>
      </w:r>
      <w:r w:rsidR="003D35C6">
        <w:rPr>
          <w:rFonts w:ascii="Times New Roman" w:eastAsia="Times New Roman" w:hAnsi="Times New Roman" w:cs="Times New Roman"/>
          <w:color w:val="4B4B4B"/>
          <w:lang w:val="es-MX" w:eastAsia="es-ES"/>
        </w:rPr>
        <w:t xml:space="preserve">, y le elabore </w:t>
      </w:r>
      <w:r w:rsidR="00DA1653">
        <w:rPr>
          <w:rFonts w:ascii="Times New Roman" w:eastAsia="Times New Roman" w:hAnsi="Times New Roman" w:cs="Times New Roman"/>
          <w:color w:val="4B4B4B"/>
          <w:sz w:val="24"/>
          <w:szCs w:val="24"/>
          <w:lang w:eastAsia="es-ES"/>
        </w:rPr>
        <w:t xml:space="preserve"> un</w:t>
      </w:r>
      <w:r w:rsidR="00FF698D">
        <w:rPr>
          <w:rFonts w:ascii="Times New Roman" w:eastAsia="Times New Roman" w:hAnsi="Times New Roman" w:cs="Times New Roman"/>
          <w:color w:val="4B4B4B"/>
          <w:sz w:val="24"/>
          <w:szCs w:val="24"/>
          <w:lang w:eastAsia="es-ES"/>
        </w:rPr>
        <w:t xml:space="preserve"> informe ejecutivo</w:t>
      </w:r>
      <w:r w:rsidR="003D35C6">
        <w:rPr>
          <w:rFonts w:ascii="Times New Roman" w:eastAsia="Times New Roman" w:hAnsi="Times New Roman" w:cs="Times New Roman"/>
          <w:color w:val="4B4B4B"/>
          <w:sz w:val="24"/>
          <w:szCs w:val="24"/>
          <w:lang w:eastAsia="es-ES"/>
        </w:rPr>
        <w:t xml:space="preserve"> que contenga </w:t>
      </w:r>
      <w:r w:rsidR="00FF698D">
        <w:rPr>
          <w:rFonts w:ascii="Times New Roman" w:eastAsia="Times New Roman" w:hAnsi="Times New Roman" w:cs="Times New Roman"/>
          <w:color w:val="4B4B4B"/>
          <w:sz w:val="24"/>
          <w:szCs w:val="24"/>
          <w:lang w:eastAsia="es-ES"/>
        </w:rPr>
        <w:t xml:space="preserve"> </w:t>
      </w:r>
      <w:r w:rsidR="003D35C6">
        <w:rPr>
          <w:rFonts w:ascii="Times New Roman" w:eastAsia="Times New Roman" w:hAnsi="Times New Roman" w:cs="Times New Roman"/>
          <w:color w:val="4B4B4B"/>
          <w:sz w:val="24"/>
          <w:szCs w:val="24"/>
          <w:lang w:eastAsia="es-ES"/>
        </w:rPr>
        <w:t>el estado de resultados pro forma y la  proyección de</w:t>
      </w:r>
      <w:r>
        <w:rPr>
          <w:rFonts w:ascii="Times New Roman" w:eastAsia="Times New Roman" w:hAnsi="Times New Roman" w:cs="Times New Roman"/>
          <w:color w:val="4B4B4B"/>
          <w:sz w:val="24"/>
          <w:szCs w:val="24"/>
          <w:lang w:eastAsia="es-ES"/>
        </w:rPr>
        <w:t xml:space="preserve"> los flujos netos de efectivo para los próximos 10 años y evaluar diferentes escenarios; es decir quiere saber </w:t>
      </w:r>
      <w:r w:rsidR="006B5537">
        <w:rPr>
          <w:rFonts w:ascii="Times New Roman" w:eastAsia="Times New Roman" w:hAnsi="Times New Roman" w:cs="Times New Roman"/>
          <w:color w:val="4B4B4B"/>
          <w:sz w:val="24"/>
          <w:szCs w:val="24"/>
          <w:lang w:eastAsia="es-ES"/>
        </w:rPr>
        <w:t>qué</w:t>
      </w:r>
      <w:r>
        <w:rPr>
          <w:rFonts w:ascii="Times New Roman" w:eastAsia="Times New Roman" w:hAnsi="Times New Roman" w:cs="Times New Roman"/>
          <w:color w:val="4B4B4B"/>
          <w:sz w:val="24"/>
          <w:szCs w:val="24"/>
          <w:lang w:eastAsia="es-ES"/>
        </w:rPr>
        <w:t xml:space="preserve"> ocurrirá si las exportaciones se reducen 25% o 50</w:t>
      </w:r>
      <w:r w:rsidR="006B5537">
        <w:rPr>
          <w:rFonts w:ascii="Times New Roman" w:eastAsia="Times New Roman" w:hAnsi="Times New Roman" w:cs="Times New Roman"/>
          <w:color w:val="4B4B4B"/>
          <w:sz w:val="24"/>
          <w:szCs w:val="24"/>
          <w:lang w:eastAsia="es-ES"/>
        </w:rPr>
        <w:t xml:space="preserve">%. </w:t>
      </w:r>
    </w:p>
    <w:p w:rsidR="00E13B92" w:rsidRPr="007C513A" w:rsidRDefault="00E13B92" w:rsidP="00741A3E">
      <w:pPr>
        <w:jc w:val="both"/>
        <w:rPr>
          <w:sz w:val="24"/>
          <w:szCs w:val="24"/>
        </w:rPr>
      </w:pPr>
    </w:p>
    <w:p w:rsidR="00A510D5" w:rsidRDefault="00A510D5" w:rsidP="007D5FE7">
      <w:pPr>
        <w:spacing w:after="0" w:line="240" w:lineRule="auto"/>
        <w:contextualSpacing/>
        <w:rPr>
          <w:rFonts w:ascii="Times New Roman" w:eastAsia="Times New Roman" w:hAnsi="Times New Roman" w:cs="Times New Roman"/>
          <w:sz w:val="24"/>
          <w:szCs w:val="24"/>
          <w:lang w:val="es-MX" w:eastAsia="es-MX"/>
        </w:rPr>
      </w:pPr>
    </w:p>
    <w:p w:rsidR="007D5FE7" w:rsidRDefault="007D5FE7" w:rsidP="007D5FE7">
      <w:pPr>
        <w:spacing w:after="0" w:line="240" w:lineRule="auto"/>
        <w:contextualSpacing/>
        <w:rPr>
          <w:rFonts w:ascii="Times New Roman" w:eastAsia="Times New Roman" w:hAnsi="Times New Roman" w:cs="Times New Roman"/>
          <w:sz w:val="24"/>
          <w:szCs w:val="24"/>
          <w:lang w:val="es-MX" w:eastAsia="es-MX"/>
        </w:rPr>
      </w:pPr>
    </w:p>
    <w:p w:rsidR="00297641" w:rsidRDefault="00297641" w:rsidP="007D5FE7">
      <w:pPr>
        <w:spacing w:after="0" w:line="240" w:lineRule="auto"/>
        <w:contextualSpacing/>
        <w:rPr>
          <w:rFonts w:ascii="Times New Roman" w:eastAsia="Times New Roman" w:hAnsi="Times New Roman" w:cs="Times New Roman"/>
          <w:noProof/>
          <w:sz w:val="24"/>
          <w:szCs w:val="24"/>
          <w:lang w:val="es-MX" w:eastAsia="es-MX"/>
        </w:rPr>
      </w:pPr>
    </w:p>
    <w:p w:rsidR="007D5FE7" w:rsidRDefault="007D5FE7" w:rsidP="007D5FE7">
      <w:pPr>
        <w:spacing w:after="0" w:line="240" w:lineRule="auto"/>
        <w:contextualSpacing/>
        <w:rPr>
          <w:rFonts w:ascii="Times New Roman" w:eastAsia="Times New Roman" w:hAnsi="Times New Roman" w:cs="Times New Roman"/>
          <w:sz w:val="24"/>
          <w:szCs w:val="24"/>
          <w:lang w:val="es-MX" w:eastAsia="es-MX"/>
        </w:rPr>
      </w:pPr>
    </w:p>
    <w:p w:rsidR="007D5FE7" w:rsidRDefault="007D5FE7" w:rsidP="007D5FE7">
      <w:pPr>
        <w:spacing w:after="0" w:line="240" w:lineRule="auto"/>
        <w:contextualSpacing/>
        <w:rPr>
          <w:rFonts w:ascii="Times New Roman" w:eastAsia="Times New Roman" w:hAnsi="Times New Roman" w:cs="Times New Roman"/>
          <w:sz w:val="24"/>
          <w:szCs w:val="24"/>
          <w:lang w:val="es-MX" w:eastAsia="es-MX"/>
        </w:rPr>
      </w:pPr>
    </w:p>
    <w:p w:rsidR="007D5FE7" w:rsidRDefault="007D5FE7" w:rsidP="007D5FE7">
      <w:pPr>
        <w:spacing w:after="0" w:line="240" w:lineRule="auto"/>
        <w:rPr>
          <w:rFonts w:ascii="Times New Roman" w:eastAsia="Times New Roman" w:hAnsi="Times New Roman" w:cs="Times New Roman"/>
          <w:sz w:val="24"/>
          <w:szCs w:val="24"/>
          <w:lang w:val="es-MX" w:eastAsia="es-MX"/>
        </w:rPr>
      </w:pPr>
    </w:p>
    <w:p w:rsidR="00A11F23" w:rsidRDefault="00A11F23" w:rsidP="007D5FE7">
      <w:pPr>
        <w:spacing w:after="0" w:line="240" w:lineRule="auto"/>
        <w:rPr>
          <w:rFonts w:ascii="Times New Roman" w:eastAsia="Times New Roman" w:hAnsi="Times New Roman" w:cs="Times New Roman"/>
          <w:sz w:val="24"/>
          <w:szCs w:val="24"/>
          <w:lang w:val="es-MX" w:eastAsia="es-MX"/>
        </w:rPr>
      </w:pPr>
    </w:p>
    <w:p w:rsidR="00A11F23" w:rsidRDefault="00A11F23" w:rsidP="007D5FE7">
      <w:pPr>
        <w:spacing w:after="0" w:line="240" w:lineRule="auto"/>
        <w:rPr>
          <w:rFonts w:ascii="Times New Roman" w:eastAsia="Times New Roman" w:hAnsi="Times New Roman" w:cs="Times New Roman"/>
          <w:sz w:val="24"/>
          <w:szCs w:val="24"/>
          <w:lang w:val="es-MX" w:eastAsia="es-MX"/>
        </w:rPr>
      </w:pPr>
    </w:p>
    <w:p w:rsidR="00194E30" w:rsidRDefault="00194E30">
      <w:pPr>
        <w:rPr>
          <w:rFonts w:ascii="Arial" w:hAnsi="Arial" w:cs="Arial"/>
          <w:sz w:val="28"/>
          <w:szCs w:val="28"/>
        </w:rPr>
      </w:pPr>
    </w:p>
    <w:p w:rsidR="00194E30" w:rsidRDefault="00194E30">
      <w:pPr>
        <w:rPr>
          <w:rFonts w:ascii="Arial" w:hAnsi="Arial" w:cs="Arial"/>
          <w:sz w:val="28"/>
          <w:szCs w:val="28"/>
        </w:rPr>
      </w:pPr>
    </w:p>
    <w:p w:rsidR="00035CE5" w:rsidRDefault="00035CE5">
      <w:pPr>
        <w:rPr>
          <w:rFonts w:ascii="Arial" w:hAnsi="Arial" w:cs="Arial"/>
          <w:sz w:val="24"/>
          <w:szCs w:val="24"/>
        </w:rPr>
      </w:pPr>
    </w:p>
    <w:sectPr w:rsidR="00035CE5" w:rsidSect="00CE173F">
      <w:head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9F5" w:rsidRDefault="00BB39F5" w:rsidP="0015510A">
      <w:pPr>
        <w:spacing w:after="0" w:line="240" w:lineRule="auto"/>
      </w:pPr>
      <w:r>
        <w:separator/>
      </w:r>
    </w:p>
  </w:endnote>
  <w:endnote w:type="continuationSeparator" w:id="0">
    <w:p w:rsidR="00BB39F5" w:rsidRDefault="00BB39F5" w:rsidP="001551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9F5" w:rsidRDefault="00BB39F5" w:rsidP="0015510A">
      <w:pPr>
        <w:spacing w:after="0" w:line="240" w:lineRule="auto"/>
      </w:pPr>
      <w:r>
        <w:separator/>
      </w:r>
    </w:p>
  </w:footnote>
  <w:footnote w:type="continuationSeparator" w:id="0">
    <w:p w:rsidR="00BB39F5" w:rsidRDefault="00BB39F5" w:rsidP="001551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10A" w:rsidRPr="00C72A51" w:rsidRDefault="0015510A" w:rsidP="0015510A">
    <w:pPr>
      <w:spacing w:after="0"/>
      <w:jc w:val="center"/>
      <w:rPr>
        <w:b/>
        <w:sz w:val="24"/>
        <w:szCs w:val="24"/>
      </w:rPr>
    </w:pPr>
    <w:r w:rsidRPr="00C72A51">
      <w:rPr>
        <w:b/>
        <w:noProof/>
        <w:sz w:val="24"/>
        <w:szCs w:val="24"/>
        <w:lang w:eastAsia="es-ES"/>
      </w:rPr>
      <w:drawing>
        <wp:anchor distT="0" distB="0" distL="114300" distR="114300" simplePos="0" relativeHeight="251660288" behindDoc="1" locked="0" layoutInCell="1" allowOverlap="1">
          <wp:simplePos x="0" y="0"/>
          <wp:positionH relativeFrom="column">
            <wp:posOffset>5220181</wp:posOffset>
          </wp:positionH>
          <wp:positionV relativeFrom="paragraph">
            <wp:posOffset>2596</wp:posOffset>
          </wp:positionV>
          <wp:extent cx="924449" cy="492827"/>
          <wp:effectExtent l="0" t="0" r="9525" b="2540"/>
          <wp:wrapNone/>
          <wp:docPr id="5" name="Imagen 5"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GT0dftTabwA/T3vcqz0aJ8I/AAAAAAAAAz8/4MFVDumFxDE/s1600/logoescom.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6136" cy="499057"/>
                  </a:xfrm>
                  <a:prstGeom prst="rect">
                    <a:avLst/>
                  </a:prstGeom>
                  <a:noFill/>
                  <a:ln>
                    <a:noFill/>
                  </a:ln>
                </pic:spPr>
              </pic:pic>
            </a:graphicData>
          </a:graphic>
        </wp:anchor>
      </w:drawing>
    </w:r>
    <w:r w:rsidRPr="00C72A51">
      <w:rPr>
        <w:b/>
        <w:noProof/>
        <w:sz w:val="24"/>
        <w:szCs w:val="24"/>
        <w:lang w:eastAsia="es-ES"/>
      </w:rPr>
      <w:drawing>
        <wp:anchor distT="0" distB="0" distL="114300" distR="114300" simplePos="0" relativeHeight="251659264" behindDoc="1" locked="0" layoutInCell="1" allowOverlap="1">
          <wp:simplePos x="0" y="0"/>
          <wp:positionH relativeFrom="column">
            <wp:posOffset>-648335</wp:posOffset>
          </wp:positionH>
          <wp:positionV relativeFrom="paragraph">
            <wp:posOffset>2540</wp:posOffset>
          </wp:positionV>
          <wp:extent cx="683260" cy="757555"/>
          <wp:effectExtent l="0" t="0" r="2540" b="4445"/>
          <wp:wrapTight wrapText="bothSides">
            <wp:wrapPolygon edited="0">
              <wp:start x="7829" y="0"/>
              <wp:lineTo x="3613" y="1630"/>
              <wp:lineTo x="0" y="5975"/>
              <wp:lineTo x="0" y="13036"/>
              <wp:lineTo x="1204" y="17381"/>
              <wp:lineTo x="6625" y="21184"/>
              <wp:lineTo x="13851" y="21184"/>
              <wp:lineTo x="14454" y="20640"/>
              <wp:lineTo x="19874" y="17381"/>
              <wp:lineTo x="21078" y="11950"/>
              <wp:lineTo x="21078" y="5975"/>
              <wp:lineTo x="15658" y="543"/>
              <wp:lineTo x="12647" y="0"/>
              <wp:lineTo x="7829" y="0"/>
            </wp:wrapPolygon>
          </wp:wrapTight>
          <wp:docPr id="2" name="Imagen 3" descr="http://www.escuelasdemexico.mx/wp-content/uploads/2011/07/IPN_Escudo_Red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cuelasdemexico.mx/wp-content/uploads/2011/07/IPN_Escudo_Redondo.pn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3260" cy="757555"/>
                  </a:xfrm>
                  <a:prstGeom prst="rect">
                    <a:avLst/>
                  </a:prstGeom>
                  <a:noFill/>
                  <a:ln>
                    <a:noFill/>
                  </a:ln>
                </pic:spPr>
              </pic:pic>
            </a:graphicData>
          </a:graphic>
        </wp:anchor>
      </w:drawing>
    </w:r>
    <w:r w:rsidRPr="00C72A51">
      <w:rPr>
        <w:b/>
        <w:sz w:val="24"/>
        <w:szCs w:val="24"/>
      </w:rPr>
      <w:t>INSTITUTO POLITECNICO NACIONAL</w:t>
    </w:r>
  </w:p>
  <w:p w:rsidR="0015510A" w:rsidRPr="00C72A51" w:rsidRDefault="0015510A" w:rsidP="0015510A">
    <w:pPr>
      <w:spacing w:after="0"/>
      <w:jc w:val="center"/>
      <w:rPr>
        <w:b/>
        <w:sz w:val="24"/>
        <w:szCs w:val="24"/>
      </w:rPr>
    </w:pPr>
    <w:r w:rsidRPr="00C72A51">
      <w:rPr>
        <w:b/>
        <w:sz w:val="24"/>
        <w:szCs w:val="24"/>
      </w:rPr>
      <w:t>ESCUELA SUPERIOR DE CÓMPUTO</w:t>
    </w:r>
  </w:p>
  <w:p w:rsidR="0015510A" w:rsidRPr="00C72A51" w:rsidRDefault="0015510A" w:rsidP="0015510A">
    <w:pPr>
      <w:spacing w:after="0"/>
      <w:jc w:val="center"/>
      <w:rPr>
        <w:b/>
        <w:sz w:val="24"/>
        <w:szCs w:val="24"/>
      </w:rPr>
    </w:pPr>
    <w:r w:rsidRPr="00C72A51">
      <w:rPr>
        <w:b/>
        <w:sz w:val="24"/>
        <w:szCs w:val="24"/>
      </w:rPr>
      <w:t>ADMINISTRACION FINANCIERA</w:t>
    </w:r>
  </w:p>
  <w:p w:rsidR="0015510A" w:rsidRDefault="0015510A" w:rsidP="0015510A">
    <w:pPr>
      <w:pStyle w:val="Encabezado"/>
    </w:pPr>
  </w:p>
  <w:p w:rsidR="0015510A" w:rsidRDefault="0015510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32C4D"/>
    <w:multiLevelType w:val="hybridMultilevel"/>
    <w:tmpl w:val="ACAE0104"/>
    <w:lvl w:ilvl="0" w:tplc="7178856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D495970"/>
    <w:multiLevelType w:val="hybridMultilevel"/>
    <w:tmpl w:val="CE38DF3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6D6096C"/>
    <w:multiLevelType w:val="hybridMultilevel"/>
    <w:tmpl w:val="543C11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F2D67CA"/>
    <w:multiLevelType w:val="hybridMultilevel"/>
    <w:tmpl w:val="4DD44D7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26850BD"/>
    <w:multiLevelType w:val="hybridMultilevel"/>
    <w:tmpl w:val="FB9E7A78"/>
    <w:lvl w:ilvl="0" w:tplc="0C0A0017">
      <w:start w:val="1"/>
      <w:numFmt w:val="lowerLetter"/>
      <w:lvlText w:val="%1)"/>
      <w:lvlJc w:val="left"/>
      <w:pPr>
        <w:ind w:left="720" w:hanging="360"/>
      </w:pPr>
      <w:rPr>
        <w:rFonts w:hint="default"/>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79D062F"/>
    <w:multiLevelType w:val="hybridMultilevel"/>
    <w:tmpl w:val="1E4493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80594C"/>
    <w:rsid w:val="00035CE5"/>
    <w:rsid w:val="0005579E"/>
    <w:rsid w:val="00073DA8"/>
    <w:rsid w:val="00135834"/>
    <w:rsid w:val="00150F02"/>
    <w:rsid w:val="0015510A"/>
    <w:rsid w:val="00194E30"/>
    <w:rsid w:val="001E3FA3"/>
    <w:rsid w:val="001F73AD"/>
    <w:rsid w:val="00215FE9"/>
    <w:rsid w:val="00234522"/>
    <w:rsid w:val="00242ED9"/>
    <w:rsid w:val="0024692C"/>
    <w:rsid w:val="00247B0F"/>
    <w:rsid w:val="002661B7"/>
    <w:rsid w:val="00297641"/>
    <w:rsid w:val="003D35C6"/>
    <w:rsid w:val="00467ED4"/>
    <w:rsid w:val="004A1483"/>
    <w:rsid w:val="004F0E65"/>
    <w:rsid w:val="00500B77"/>
    <w:rsid w:val="005825EF"/>
    <w:rsid w:val="006B5537"/>
    <w:rsid w:val="006D2279"/>
    <w:rsid w:val="00724145"/>
    <w:rsid w:val="007320F2"/>
    <w:rsid w:val="00741A3E"/>
    <w:rsid w:val="007453FB"/>
    <w:rsid w:val="007C513A"/>
    <w:rsid w:val="007D05CB"/>
    <w:rsid w:val="007D5FE7"/>
    <w:rsid w:val="0080594C"/>
    <w:rsid w:val="008761E3"/>
    <w:rsid w:val="00897371"/>
    <w:rsid w:val="008E1815"/>
    <w:rsid w:val="00955CA2"/>
    <w:rsid w:val="00961A60"/>
    <w:rsid w:val="00962876"/>
    <w:rsid w:val="00970732"/>
    <w:rsid w:val="00970A02"/>
    <w:rsid w:val="00976D77"/>
    <w:rsid w:val="00983548"/>
    <w:rsid w:val="00993B57"/>
    <w:rsid w:val="009C171F"/>
    <w:rsid w:val="009E7B3F"/>
    <w:rsid w:val="009F4406"/>
    <w:rsid w:val="009F68C5"/>
    <w:rsid w:val="00A11F23"/>
    <w:rsid w:val="00A510D5"/>
    <w:rsid w:val="00A62CBF"/>
    <w:rsid w:val="00A661FF"/>
    <w:rsid w:val="00AA36B4"/>
    <w:rsid w:val="00AF0BF0"/>
    <w:rsid w:val="00AF73DE"/>
    <w:rsid w:val="00B104B1"/>
    <w:rsid w:val="00B337E8"/>
    <w:rsid w:val="00B41F76"/>
    <w:rsid w:val="00BA5DBA"/>
    <w:rsid w:val="00BB39F5"/>
    <w:rsid w:val="00BD6D39"/>
    <w:rsid w:val="00BF1549"/>
    <w:rsid w:val="00C67E5B"/>
    <w:rsid w:val="00CE173F"/>
    <w:rsid w:val="00CF233E"/>
    <w:rsid w:val="00D277DA"/>
    <w:rsid w:val="00D34300"/>
    <w:rsid w:val="00D36C59"/>
    <w:rsid w:val="00DA1653"/>
    <w:rsid w:val="00E13B92"/>
    <w:rsid w:val="00E61D7A"/>
    <w:rsid w:val="00E72A68"/>
    <w:rsid w:val="00EA0E83"/>
    <w:rsid w:val="00EA4F54"/>
    <w:rsid w:val="00EC056B"/>
    <w:rsid w:val="00ED1BC0"/>
    <w:rsid w:val="00EF4FD9"/>
    <w:rsid w:val="00F504C7"/>
    <w:rsid w:val="00FD2282"/>
    <w:rsid w:val="00FF69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73F"/>
  </w:style>
  <w:style w:type="paragraph" w:styleId="Ttulo3">
    <w:name w:val="heading 3"/>
    <w:basedOn w:val="Normal"/>
    <w:next w:val="Normal"/>
    <w:link w:val="Ttulo3Car"/>
    <w:uiPriority w:val="9"/>
    <w:semiHidden/>
    <w:unhideWhenUsed/>
    <w:qFormat/>
    <w:rsid w:val="003D35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059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deTDC1">
    <w:name w:val="Título de TDC1"/>
    <w:basedOn w:val="Normal"/>
    <w:rsid w:val="00897371"/>
    <w:pPr>
      <w:spacing w:before="60" w:after="120" w:line="240" w:lineRule="auto"/>
    </w:pPr>
    <w:rPr>
      <w:rFonts w:ascii="Century Gothic" w:eastAsia="Times New Roman" w:hAnsi="Century Gothic" w:cs="Century Gothic"/>
      <w:color w:val="3682A2"/>
      <w:lang w:eastAsia="es-ES" w:bidi="es-ES"/>
    </w:rPr>
  </w:style>
  <w:style w:type="character" w:customStyle="1" w:styleId="TOCNumberChar">
    <w:name w:val="TOC Number Char"/>
    <w:basedOn w:val="Fuentedeprrafopredeter"/>
    <w:link w:val="TOCNumber"/>
    <w:locked/>
    <w:rsid w:val="00897371"/>
    <w:rPr>
      <w:rFonts w:ascii="Century Gothic" w:hAnsi="Century Gothic"/>
      <w:b/>
      <w:color w:val="000000"/>
      <w:sz w:val="18"/>
      <w:szCs w:val="24"/>
      <w:lang w:bidi="es-ES"/>
    </w:rPr>
  </w:style>
  <w:style w:type="paragraph" w:customStyle="1" w:styleId="TOCNumber">
    <w:name w:val="TOC Number"/>
    <w:basedOn w:val="Normal"/>
    <w:link w:val="TOCNumberChar"/>
    <w:rsid w:val="00897371"/>
    <w:pPr>
      <w:spacing w:before="60" w:after="0" w:line="240" w:lineRule="auto"/>
    </w:pPr>
    <w:rPr>
      <w:rFonts w:ascii="Century Gothic" w:hAnsi="Century Gothic"/>
      <w:b/>
      <w:color w:val="000000"/>
      <w:sz w:val="18"/>
      <w:szCs w:val="24"/>
      <w:lang w:bidi="es-ES"/>
    </w:rPr>
  </w:style>
  <w:style w:type="paragraph" w:customStyle="1" w:styleId="TOCText">
    <w:name w:val="TOC Text"/>
    <w:basedOn w:val="Normal"/>
    <w:rsid w:val="00897371"/>
    <w:pPr>
      <w:spacing w:before="60" w:after="60" w:line="320" w:lineRule="exact"/>
    </w:pPr>
    <w:rPr>
      <w:rFonts w:ascii="Century Gothic" w:eastAsia="Times New Roman" w:hAnsi="Century Gothic" w:cs="Century Gothic"/>
      <w:sz w:val="16"/>
      <w:szCs w:val="16"/>
      <w:lang w:eastAsia="es-ES" w:bidi="es-ES"/>
    </w:rPr>
  </w:style>
  <w:style w:type="table" w:customStyle="1" w:styleId="Tabladecuadrcula4-nfasis31">
    <w:name w:val="Tabla de cuadrícula 4 - Énfasis 31"/>
    <w:basedOn w:val="Tablanormal"/>
    <w:uiPriority w:val="49"/>
    <w:rsid w:val="00897371"/>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extodeglobo">
    <w:name w:val="Balloon Text"/>
    <w:basedOn w:val="Normal"/>
    <w:link w:val="TextodegloboCar"/>
    <w:uiPriority w:val="99"/>
    <w:semiHidden/>
    <w:unhideWhenUsed/>
    <w:rsid w:val="00B104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04B1"/>
    <w:rPr>
      <w:rFonts w:ascii="Segoe UI" w:hAnsi="Segoe UI" w:cs="Segoe UI"/>
      <w:sz w:val="18"/>
      <w:szCs w:val="18"/>
    </w:rPr>
  </w:style>
  <w:style w:type="table" w:customStyle="1" w:styleId="Tablaconcuadrcula1">
    <w:name w:val="Tabla con cuadrícula1"/>
    <w:basedOn w:val="Tablanormal"/>
    <w:next w:val="Tablaconcuadrcula"/>
    <w:rsid w:val="007D5FE7"/>
    <w:pPr>
      <w:spacing w:after="0" w:line="240" w:lineRule="auto"/>
    </w:pPr>
    <w:rPr>
      <w:rFonts w:ascii="Times New Roman" w:eastAsia="Times New Roman" w:hAnsi="Times New Roman" w:cs="Times New Roman"/>
      <w:sz w:val="20"/>
      <w:szCs w:val="20"/>
      <w:lang w:val="es-MX"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34522"/>
    <w:pPr>
      <w:ind w:left="720"/>
      <w:contextualSpacing/>
    </w:pPr>
  </w:style>
  <w:style w:type="table" w:customStyle="1" w:styleId="Tabladecuadrcula4-nfasis41">
    <w:name w:val="Tabla de cuadrícula 4 - Énfasis 41"/>
    <w:basedOn w:val="Tablanormal"/>
    <w:uiPriority w:val="49"/>
    <w:rsid w:val="00A510D5"/>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cuadrcula4-nfasis11">
    <w:name w:val="Tabla de cuadrícula 4 - Énfasis 11"/>
    <w:basedOn w:val="Tablanormal"/>
    <w:uiPriority w:val="49"/>
    <w:rsid w:val="00E13B9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61">
    <w:name w:val="Tabla de cuadrícula 4 - Énfasis 61"/>
    <w:basedOn w:val="Tablanormal"/>
    <w:uiPriority w:val="49"/>
    <w:rsid w:val="00E13B92"/>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lista3-nfasis61">
    <w:name w:val="Tabla de lista 3 - Énfasis 61"/>
    <w:basedOn w:val="Tablanormal"/>
    <w:uiPriority w:val="48"/>
    <w:rsid w:val="00035CE5"/>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Tabladecuadrcula5oscura-nfasis61">
    <w:name w:val="Tabla de cuadrícula 5 oscura - Énfasis 61"/>
    <w:basedOn w:val="Tablanormal"/>
    <w:uiPriority w:val="50"/>
    <w:rsid w:val="00035CE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Encabezado">
    <w:name w:val="header"/>
    <w:basedOn w:val="Normal"/>
    <w:link w:val="EncabezadoCar"/>
    <w:uiPriority w:val="99"/>
    <w:unhideWhenUsed/>
    <w:rsid w:val="001551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510A"/>
  </w:style>
  <w:style w:type="paragraph" w:styleId="Piedepgina">
    <w:name w:val="footer"/>
    <w:basedOn w:val="Normal"/>
    <w:link w:val="PiedepginaCar"/>
    <w:uiPriority w:val="99"/>
    <w:semiHidden/>
    <w:unhideWhenUsed/>
    <w:rsid w:val="001551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15510A"/>
  </w:style>
  <w:style w:type="character" w:customStyle="1" w:styleId="Ttulo3Car">
    <w:name w:val="Título 3 Car"/>
    <w:basedOn w:val="Fuentedeprrafopredeter"/>
    <w:link w:val="Ttulo3"/>
    <w:uiPriority w:val="9"/>
    <w:semiHidden/>
    <w:rsid w:val="003D35C6"/>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50740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359C04-E16F-4E2A-9BCE-D9825F827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983</Words>
  <Characters>5410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eduardo</cp:lastModifiedBy>
  <cp:revision>4</cp:revision>
  <cp:lastPrinted>2017-04-25T16:45:00Z</cp:lastPrinted>
  <dcterms:created xsi:type="dcterms:W3CDTF">2017-06-15T19:02:00Z</dcterms:created>
  <dcterms:modified xsi:type="dcterms:W3CDTF">2017-06-16T02:47:00Z</dcterms:modified>
</cp:coreProperties>
</file>