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360" w:lineRule="auto"/>
        <w:rPr>
          <w:rFonts w:ascii="Google Sans" w:cs="Google Sans" w:eastAsia="Google Sans" w:hAnsi="Google Sans"/>
          <w:b w:val="1"/>
          <w:bCs w:val="1"/>
          <w:color w:val="202124"/>
          <w:sz w:val="24"/>
          <w:szCs w:val="24"/>
        </w:rPr>
      </w:pPr>
      <w:r w:rsidDel="00000000" w:rsidR="00000000" w:rsidRPr="00000000">
        <w:rPr>
          <w:rFonts w:ascii="Google Sans" w:cs="Google Sans" w:eastAsia="Google Sans" w:hAnsi="Google Sans"/>
          <w:b w:val="1"/>
          <w:bCs w:val="1"/>
          <w:color w:val="202124"/>
          <w:sz w:val="24"/>
          <w:szCs w:val="24"/>
          <w:rtl w:val="0"/>
        </w:rPr>
        <w:t xml:space="preserve">Resumen</w:t>
      </w:r>
    </w:p>
    <w:p w:rsidR="00000000" w:rsidDel="00000000" w:rsidP="00000000" w:rsidRDefault="00000000" w:rsidRPr="00000000" w14:paraId="00000002">
      <w:pPr>
        <w:spacing w:after="18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Discusión sobre la preparación inicial del boceto, flujo de trabajo, y la crítica importancia de la accesibilidad web con etiquetas semánticas y ARIA.</w:t>
      </w:r>
    </w:p>
    <w:p w:rsidR="00000000" w:rsidDel="00000000" w:rsidP="00000000" w:rsidRDefault="00000000" w:rsidRPr="00000000" w14:paraId="00000003">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Boceto y Flujo de Trabajo</w:t>
        <w:br w:type="textWrapping"/>
      </w:r>
      <w:r w:rsidDel="00000000" w:rsidR="00000000" w:rsidRPr="00000000">
        <w:rPr>
          <w:rFonts w:ascii="Roboto" w:cs="Roboto" w:eastAsia="Roboto" w:hAnsi="Roboto"/>
          <w:color w:val="202124"/>
          <w:sz w:val="24"/>
          <w:szCs w:val="24"/>
          <w:rtl w:val="0"/>
        </w:rPr>
        <w:t xml:space="preserve">Se definió el boceto como la preparación inicial gráfica para guiar la integración del código, enfocándose en la estructura de filas y columnas del sitio. El objetivo principal es esquematizar la información y planificar el flujo de contenido para definir patrones de interacción.</w:t>
      </w:r>
    </w:p>
    <w:p w:rsidR="00000000" w:rsidDel="00000000" w:rsidP="00000000" w:rsidRDefault="00000000" w:rsidRPr="00000000" w14:paraId="00000004">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Herramientas y Diseño de Bocetos</w:t>
      </w:r>
      <w:r w:rsidDel="00000000" w:rsidR="00000000" w:rsidRPr="00000000">
        <w:rPr>
          <w:rFonts w:ascii="Roboto" w:cs="Roboto" w:eastAsia="Roboto" w:hAnsi="Roboto"/>
          <w:color w:val="202124"/>
          <w:sz w:val="24"/>
          <w:szCs w:val="24"/>
          <w:rtl w:val="0"/>
        </w:rPr>
        <w:br w:type="textWrapping"/>
        <w:t xml:space="preserve">Se mostró la herramienta en línea MOF para la creación digital de wireframes, aunque se alentó la práctica del boceto manual. Se enfatizó la conexión entre el boceto y las etiquetas semánticas de HTML, identificando el `&lt;header&gt;`, `&lt;main&gt;`, y `&lt;footer&gt;`.</w:t>
      </w:r>
    </w:p>
    <w:p w:rsidR="00000000" w:rsidDel="00000000" w:rsidP="00000000" w:rsidRDefault="00000000" w:rsidRPr="00000000" w14:paraId="00000005">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Accesibilidad y Semántica Web</w:t>
      </w:r>
      <w:r w:rsidDel="00000000" w:rsidR="00000000" w:rsidRPr="00000000">
        <w:rPr>
          <w:rFonts w:ascii="Roboto" w:cs="Roboto" w:eastAsia="Roboto" w:hAnsi="Roboto"/>
          <w:color w:val="202124"/>
          <w:sz w:val="24"/>
          <w:szCs w:val="24"/>
          <w:rtl w:val="0"/>
        </w:rPr>
        <w:br w:type="textWrapping"/>
        <w:t xml:space="preserve">Se determinó que las etiquetas semánticas, como `h1` y `section`, son cruciales para los lectores de pantalla de personas con discapacidad visual. Es imperativo usar los atributos ARIA para elementos decorativos o para notificar cambios de estado en formularios para mejorar la experiencia de usuario.</w:t>
      </w:r>
    </w:p>
    <w:p w:rsidR="00000000" w:rsidDel="00000000" w:rsidP="00000000" w:rsidRDefault="00000000" w:rsidRPr="00000000" w14:paraId="00000006">
      <w:pPr>
        <w:spacing w:after="240" w:before="240" w:line="360" w:lineRule="auto"/>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07">
      <w:pPr>
        <w:pStyle w:val="Heading3"/>
        <w:spacing w:after="40" w:before="0" w:lineRule="auto"/>
        <w:rPr>
          <w:rFonts w:ascii="Roboto Medium" w:cs="Roboto Medium" w:eastAsia="Roboto Medium" w:hAnsi="Roboto Medium"/>
          <w:color w:val="1f1f1f"/>
          <w:sz w:val="32"/>
          <w:szCs w:val="32"/>
        </w:rPr>
      </w:pPr>
      <w:bookmarkStart w:colFirst="0" w:colLast="0" w:name="_n3422vsbg9p0" w:id="0"/>
      <w:bookmarkEnd w:id="0"/>
      <w:r w:rsidDel="00000000" w:rsidR="00000000" w:rsidRPr="00000000">
        <w:rPr>
          <w:rFonts w:ascii="Roboto Medium" w:cs="Roboto Medium" w:eastAsia="Roboto Medium" w:hAnsi="Roboto Medium"/>
          <w:color w:val="1f1f1f"/>
          <w:sz w:val="32"/>
          <w:szCs w:val="32"/>
          <w:rtl w:val="0"/>
        </w:rPr>
        <w:t xml:space="preserve">Detalles</w:t>
      </w:r>
    </w:p>
    <w:p w:rsidR="00000000" w:rsidDel="00000000" w:rsidP="00000000" w:rsidRDefault="00000000" w:rsidRPr="00000000" w14:paraId="00000008">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Aviso sobre el cambio de enlace y la asistencia a la reunión</w:t>
      </w:r>
      <w:r w:rsidDel="00000000" w:rsidR="00000000" w:rsidRPr="00000000">
        <w:rPr>
          <w:rFonts w:ascii="Roboto" w:cs="Roboto" w:eastAsia="Roboto" w:hAnsi="Roboto"/>
          <w:color w:val="303030"/>
          <w:sz w:val="24"/>
          <w:szCs w:val="24"/>
          <w:rtl w:val="0"/>
        </w:rPr>
        <w:t xml:space="preserve">: Santiago Verrier informó a los asistentes que había un enlace de reunión diferente y confirmó que Claudia Val Lecha estaba conectada con Alex. Notaron que David CM y Jime estaban ausentes y decidieron esperar brevemente por David CM, quien suele conectarse.</w:t>
      </w:r>
    </w:p>
    <w:p w:rsidR="00000000" w:rsidDel="00000000" w:rsidP="00000000" w:rsidRDefault="00000000" w:rsidRPr="00000000" w14:paraId="00000009">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Cambios en el almacenamiento de grabaciones y preparación de la clase</w:t>
      </w:r>
      <w:r w:rsidDel="00000000" w:rsidR="00000000" w:rsidRPr="00000000">
        <w:rPr>
          <w:rFonts w:ascii="Roboto" w:cs="Roboto" w:eastAsia="Roboto" w:hAnsi="Roboto"/>
          <w:color w:val="303030"/>
          <w:sz w:val="24"/>
          <w:szCs w:val="24"/>
          <w:rtl w:val="0"/>
        </w:rPr>
        <w:t xml:space="preserve">: Santiago Verrier notificó que movió la carpeta de grabaciones a su cuenta personal para evitar confusiones, aunque aún necesita transferir tres grabaciones del día anterior, el 17 de marzo. También mencionó que les proporcionaría el resumen de la clase anterior y los ejemplos que habían visto.</w:t>
      </w:r>
    </w:p>
    <w:p w:rsidR="00000000" w:rsidDel="00000000" w:rsidP="00000000" w:rsidRDefault="00000000" w:rsidRPr="00000000" w14:paraId="0000000A">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al concepto de boceto y flujo de trabajo</w:t>
      </w:r>
      <w:r w:rsidDel="00000000" w:rsidR="00000000" w:rsidRPr="00000000">
        <w:rPr>
          <w:rFonts w:ascii="Roboto" w:cs="Roboto" w:eastAsia="Roboto" w:hAnsi="Roboto"/>
          <w:color w:val="303030"/>
          <w:sz w:val="24"/>
          <w:szCs w:val="24"/>
          <w:rtl w:val="0"/>
        </w:rPr>
        <w:t xml:space="preserve">: Se comenzó la clase sobre el tema del boceto, definido como la preparación inicial para guiar la integración del código. Se indicó que esta etapa requiere pensar en la estructura del sitio, a menudo con figuras geométricas que representan elementos como imágenes (una X en un cuadrado), líneas y la disposición en filas y columnas.</w:t>
      </w:r>
    </w:p>
    <w:p w:rsidR="00000000" w:rsidDel="00000000" w:rsidP="00000000" w:rsidRDefault="00000000" w:rsidRPr="00000000" w14:paraId="0000000B">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**Proceso de creación de bocetos y anécdotas de trabajo *freelance***</w:t>
      </w:r>
      <w:r w:rsidDel="00000000" w:rsidR="00000000" w:rsidRPr="00000000">
        <w:rPr>
          <w:rFonts w:ascii="Roboto" w:cs="Roboto" w:eastAsia="Roboto" w:hAnsi="Roboto"/>
          <w:color w:val="303030"/>
          <w:sz w:val="24"/>
          <w:szCs w:val="24"/>
          <w:rtl w:val="0"/>
        </w:rPr>
        <w:t xml:space="preserve">: Se discutió que en la etapa del boceto no es necesario tener el contenido final, y se compartió una anécdota personal sobre un proyecto *freelance* en el que el cliente tardó un año en proporcionar el contenido necesario. Esta experiencia llevó a la implementación de contratos con penalidades (intereses) para asegurar la entrega oportuna de contenido por parte del cliente.</w:t>
      </w:r>
    </w:p>
    <w:p w:rsidR="00000000" w:rsidDel="00000000" w:rsidP="00000000" w:rsidRDefault="00000000" w:rsidRPr="00000000" w14:paraId="0000000C">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Objetivo y terminología del boceto</w:t>
      </w:r>
      <w:r w:rsidDel="00000000" w:rsidR="00000000" w:rsidRPr="00000000">
        <w:rPr>
          <w:rFonts w:ascii="Roboto" w:cs="Roboto" w:eastAsia="Roboto" w:hAnsi="Roboto"/>
          <w:color w:val="303030"/>
          <w:sz w:val="24"/>
          <w:szCs w:val="24"/>
          <w:rtl w:val="0"/>
        </w:rPr>
        <w:t xml:space="preserve">: El boceto tiene como objetivo obtener un esquema gráfico de cómo se visualizará la información y definir el flujo de contenido para planificar el diseño y los patrones de interacción. Se introdujo el concepto *above default* para referirse a la parte visible de la página web al abrirla, que es estratégica para captar la atención del usuario.</w:t>
      </w:r>
    </w:p>
    <w:p w:rsidR="00000000" w:rsidDel="00000000" w:rsidP="00000000" w:rsidRDefault="00000000" w:rsidRPr="00000000" w14:paraId="0000000D">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Relación del boceto con las etiquetas semánticas de HTML</w:t>
      </w:r>
      <w:r w:rsidDel="00000000" w:rsidR="00000000" w:rsidRPr="00000000">
        <w:rPr>
          <w:rFonts w:ascii="Roboto" w:cs="Roboto" w:eastAsia="Roboto" w:hAnsi="Roboto"/>
          <w:color w:val="303030"/>
          <w:sz w:val="24"/>
          <w:szCs w:val="24"/>
          <w:rtl w:val="0"/>
        </w:rPr>
        <w:t xml:space="preserve">: Se enfatizó la importancia de conectar el boceto con el código HTML al considerar el diseño de la cabecera, el cuerpo y el pie. Los asistentes identificaron que las etiquetas semánticas correspondientes son `&lt;header&gt;` para la cabecera, `&lt;main&gt;` para el cuerpo y `&lt;footer&gt;` para el pie.</w:t>
      </w:r>
    </w:p>
    <w:p w:rsidR="00000000" w:rsidDel="00000000" w:rsidP="00000000" w:rsidRDefault="00000000" w:rsidRPr="00000000" w14:paraId="0000000E">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Ejemplo de aplicación de boceto a diseño web (sitio de propiedades)</w:t>
      </w:r>
      <w:r w:rsidDel="00000000" w:rsidR="00000000" w:rsidRPr="00000000">
        <w:rPr>
          <w:rFonts w:ascii="Roboto" w:cs="Roboto" w:eastAsia="Roboto" w:hAnsi="Roboto"/>
          <w:color w:val="303030"/>
          <w:sz w:val="24"/>
          <w:szCs w:val="24"/>
          <w:rtl w:val="0"/>
        </w:rPr>
        <w:t xml:space="preserve">: Se analizó un ejemplo de boceto y su resultado final, demostrando la coherencia en la estructura de filas y columnas. Se identificó que el boceto ayuda a previsualizar la ubicación de elementos como el logo, menú de navegación, un formulario de búsqueda con filtros, y la disposición de las fichas de propiedades, lo que permite asignar mentalmente etiquetas HTML como `&lt;h1&gt;`, `&lt;h2&gt;`, `&lt;img&gt;`, `&lt;ul&gt;`, y `&lt;div&gt;`.</w:t>
      </w:r>
    </w:p>
    <w:p w:rsidR="00000000" w:rsidDel="00000000" w:rsidP="00000000" w:rsidRDefault="00000000" w:rsidRPr="00000000" w14:paraId="0000000F">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Herramientas y enfoque para la creación de bocetos</w:t>
      </w:r>
      <w:r w:rsidDel="00000000" w:rsidR="00000000" w:rsidRPr="00000000">
        <w:rPr>
          <w:rFonts w:ascii="Roboto" w:cs="Roboto" w:eastAsia="Roboto" w:hAnsi="Roboto"/>
          <w:color w:val="303030"/>
          <w:sz w:val="24"/>
          <w:szCs w:val="24"/>
          <w:rtl w:val="0"/>
        </w:rPr>
        <w:t xml:space="preserve">: Se mencionó que los bocetos se pueden hacer a mano alzada o con herramientas digitales, siendo Figma una herramienta muy popular en la actualidad, y se alentó a los estudiantes a practicar el boceto manual al menos para tener una guía de partida. Se destacó que el proceso de diseño incluye etapas de *sketch* (a mano alzada), *wireframes* (escala de grises) y prototipos (con color e imágenes desarrolladas), manteniendo siempre una coherencia de filas y columnas.</w:t>
      </w:r>
    </w:p>
    <w:p w:rsidR="00000000" w:rsidDel="00000000" w:rsidP="00000000" w:rsidRDefault="00000000" w:rsidRPr="00000000" w14:paraId="00000010">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la herramienta MOF para la creación de *wireframes***</w:t>
      </w:r>
      <w:r w:rsidDel="00000000" w:rsidR="00000000" w:rsidRPr="00000000">
        <w:rPr>
          <w:rFonts w:ascii="Roboto" w:cs="Roboto" w:eastAsia="Roboto" w:hAnsi="Roboto"/>
          <w:color w:val="303030"/>
          <w:sz w:val="24"/>
          <w:szCs w:val="24"/>
          <w:rtl w:val="0"/>
        </w:rPr>
        <w:t xml:space="preserve">: Santiago Verrier presentó la herramienta en línea MOF (que ofrece una cuenta básica gratuita con límites) como una opción digital para crear bocetos. Se mostró cómo registrarse y crear un *blank wireframe*, sugiriendo el uso del *UI pack* "Sketchy Handrow UI" para simular el dibujo a mano alzada.</w:t>
      </w:r>
    </w:p>
    <w:p w:rsidR="00000000" w:rsidDel="00000000" w:rsidP="00000000" w:rsidRDefault="00000000" w:rsidRPr="00000000" w14:paraId="00000011">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Demostración de la creación de un boceto digital en MOF</w:t>
      </w:r>
      <w:r w:rsidDel="00000000" w:rsidR="00000000" w:rsidRPr="00000000">
        <w:rPr>
          <w:rFonts w:ascii="Roboto" w:cs="Roboto" w:eastAsia="Roboto" w:hAnsi="Roboto"/>
          <w:color w:val="303030"/>
          <w:sz w:val="24"/>
          <w:szCs w:val="24"/>
          <w:rtl w:val="0"/>
        </w:rPr>
        <w:t xml:space="preserve">: Se demostró cómo usar el elemento *Browser Frame* para enmarcar el diseño y cómo agregar elementos como etiquetas (para títulos), texto simulado y marcadores de posición de imagen (*image placeholder*). Se explicó cómo ajustar propiedades como el tamaño de la fuente (*font size*) en la columna de propiedades.</w:t>
      </w:r>
    </w:p>
    <w:p w:rsidR="00000000" w:rsidDel="00000000" w:rsidP="00000000" w:rsidRDefault="00000000" w:rsidRPr="00000000" w14:paraId="00000012">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Consideraciones sobre el boceto en páginas secundarias</w:t>
      </w:r>
      <w:r w:rsidDel="00000000" w:rsidR="00000000" w:rsidRPr="00000000">
        <w:rPr>
          <w:rFonts w:ascii="Roboto" w:cs="Roboto" w:eastAsia="Roboto" w:hAnsi="Roboto"/>
          <w:color w:val="303030"/>
          <w:sz w:val="24"/>
          <w:szCs w:val="24"/>
          <w:rtl w:val="0"/>
        </w:rPr>
        <w:t xml:space="preserve">: Alex Gonzalez Arias De Saavedra preguntó si el boceto solo se realiza para la página principal. Santiago Verrier aclaró que también es necesario para las páginas secundarias, aunque se puede diseñar una plantilla para las páginas internas con una estructura consistente (como un modelo de dos columnas) para después replicarla.</w:t>
      </w:r>
    </w:p>
    <w:p w:rsidR="00000000" w:rsidDel="00000000" w:rsidP="00000000" w:rsidRDefault="00000000" w:rsidRPr="00000000" w14:paraId="00000013">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Transición al tema de la accesibilidad (navegación para personas con discapacidad)</w:t>
      </w:r>
      <w:r w:rsidDel="00000000" w:rsidR="00000000" w:rsidRPr="00000000">
        <w:rPr>
          <w:rFonts w:ascii="Roboto" w:cs="Roboto" w:eastAsia="Roboto" w:hAnsi="Roboto"/>
          <w:color w:val="303030"/>
          <w:sz w:val="24"/>
          <w:szCs w:val="24"/>
          <w:rtl w:val="0"/>
        </w:rPr>
        <w:t xml:space="preserve">: Una vez finalizada la explicación sobre el boceto, el grupo pasó a discutir la accesibilidad, específicamente cómo las personas con discapacidad visual total o reducida navegan empleando tecnologías como lectores de pantalla. Se mencionó que los desarrolladores pueden preparar hojas de estilo para permitir que la tipografía se agrande.</w:t>
      </w:r>
    </w:p>
    <w:p w:rsidR="00000000" w:rsidDel="00000000" w:rsidP="00000000" w:rsidRDefault="00000000" w:rsidRPr="00000000" w14:paraId="00000014">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Tecnología de apoyo para diversas discapacidades</w:t>
      </w:r>
      <w:r w:rsidDel="00000000" w:rsidR="00000000" w:rsidRPr="00000000">
        <w:rPr>
          <w:rFonts w:ascii="Roboto" w:cs="Roboto" w:eastAsia="Roboto" w:hAnsi="Roboto"/>
          <w:color w:val="303030"/>
          <w:sz w:val="24"/>
          <w:szCs w:val="24"/>
          <w:rtl w:val="0"/>
        </w:rPr>
        <w:t xml:space="preserve">: Santiago Verrier describió varias tecnologías de apoyo para la accesibilidad web, enfatizando que las imágenes requieren el atributo `alt` para que los sintetizadores de voz lean y expliquen el contenido a personas con deficiencia visual o visión parcial. También se mencionó que los usuarios con estas condiciones pueden beneficiarse de magnificadores de pantalla y de la posibilidad de aumentar la tipografía mediante hojas de estilo, además de la importancia de verificar el contraste de colores. Para la sordera o deficiencia auditiva, la solución son los subtítulos en videos, aunque las discapacidades físicas a menudo requieren equipos especiales como teclados o sistemas de reconocimiento de voz o facial.</w:t>
      </w:r>
    </w:p>
    <w:p w:rsidR="00000000" w:rsidDel="00000000" w:rsidP="00000000" w:rsidRDefault="00000000" w:rsidRPr="00000000" w14:paraId="00000015">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Herramientas de contraste de color y pautas WCAG</w:t>
      </w:r>
      <w:r w:rsidDel="00000000" w:rsidR="00000000" w:rsidRPr="00000000">
        <w:rPr>
          <w:rFonts w:ascii="Roboto" w:cs="Roboto" w:eastAsia="Roboto" w:hAnsi="Roboto"/>
          <w:color w:val="303030"/>
          <w:sz w:val="24"/>
          <w:szCs w:val="24"/>
          <w:rtl w:val="0"/>
        </w:rPr>
        <w:t xml:space="preserve">: Se introdujo una herramienta en línea para verificar el contraste entre el color de fondo y el color del texto, y se especificó que para que la combinación sea aceptable, se requiere que pase la prueba, lo cual está indicado por la palabra "pass" en la herramienta. El nivel de contraste mínimo recomendado, según la guía WCAG 2.0, es de 4.5 para texto normal y 3.1 para texto largo.</w:t>
      </w:r>
    </w:p>
    <w:p w:rsidR="00000000" w:rsidDel="00000000" w:rsidP="00000000" w:rsidRDefault="00000000" w:rsidRPr="00000000" w14:paraId="00000016">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Análisis de fallas de accesibilidad comunes</w:t>
      </w:r>
      <w:r w:rsidDel="00000000" w:rsidR="00000000" w:rsidRPr="00000000">
        <w:rPr>
          <w:rFonts w:ascii="Roboto" w:cs="Roboto" w:eastAsia="Roboto" w:hAnsi="Roboto"/>
          <w:color w:val="303030"/>
          <w:sz w:val="24"/>
          <w:szCs w:val="24"/>
          <w:rtl w:val="0"/>
        </w:rPr>
        <w:t xml:space="preserve">: Se discutieron las fallas más comunes en accesibilidad web, como la ausencia del atributo `alt` en imágenes y el tamaño de texto muy pequeño. Para personas con discapacidad auditiva, la falta de transcripciones o subtítulos en videos es un problema, y para la discapacidad física, las interfaces que solo se pueden usar con el ratón son inaccesibles, por lo que la navegación debe ser posible con el teclado.</w:t>
      </w:r>
    </w:p>
    <w:p w:rsidR="00000000" w:rsidDel="00000000" w:rsidP="00000000" w:rsidRDefault="00000000" w:rsidRPr="00000000" w14:paraId="00000017">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Problemas de accesibilidad para discapacidades cognitivas y el envejecimiento</w:t>
      </w:r>
      <w:r w:rsidDel="00000000" w:rsidR="00000000" w:rsidRPr="00000000">
        <w:rPr>
          <w:rFonts w:ascii="Roboto" w:cs="Roboto" w:eastAsia="Roboto" w:hAnsi="Roboto"/>
          <w:color w:val="303030"/>
          <w:sz w:val="24"/>
          <w:szCs w:val="24"/>
          <w:rtl w:val="0"/>
        </w:rPr>
        <w:t xml:space="preserve">: Las discapacidades cognitivas se ven afectadas por textos largos y complejos, la falta de imágenes complementarias, la ausencia de un mapa del sitio y la falta de descripciones. En cuanto al envejecimiento, el problema común es el tamaño de letra muy pequeño, por lo que es necesario permitir que el sitio web pueda aumentar el tamaño de la fuente.</w:t>
      </w:r>
    </w:p>
    <w:p w:rsidR="00000000" w:rsidDel="00000000" w:rsidP="00000000" w:rsidRDefault="00000000" w:rsidRPr="00000000" w14:paraId="00000018">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Demostración de navegación de un usuario ciego y la semántica web</w:t>
      </w:r>
      <w:r w:rsidDel="00000000" w:rsidR="00000000" w:rsidRPr="00000000">
        <w:rPr>
          <w:rFonts w:ascii="Roboto" w:cs="Roboto" w:eastAsia="Roboto" w:hAnsi="Roboto"/>
          <w:color w:val="303030"/>
          <w:sz w:val="24"/>
          <w:szCs w:val="24"/>
          <w:rtl w:val="0"/>
        </w:rPr>
        <w:t xml:space="preserve">: Se compartió un fragmento de video de un desarrollador llamado Juanjo, que es totalmente ciego, navegando por sitios web para ilustrar las barreras de accesibilidad. Juanjo demostró que un lector de pantalla se basa en la semántica del código HTML, no solo en la apariencia visual lograda con CSS, enfatizando que las etiquetas semánticas como `h1`, `header`, o `section` son cruciales para el lector de pantalla, y que usar un `div` con estilos de encabezado visualmente no funciona semánticamente.</w:t>
      </w:r>
    </w:p>
    <w:p w:rsidR="00000000" w:rsidDel="00000000" w:rsidP="00000000" w:rsidRDefault="00000000" w:rsidRPr="00000000" w14:paraId="00000019">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**Importancia de los `labels` y los atributos `for` en formularios**</w:t>
      </w:r>
      <w:r w:rsidDel="00000000" w:rsidR="00000000" w:rsidRPr="00000000">
        <w:rPr>
          <w:rFonts w:ascii="Roboto" w:cs="Roboto" w:eastAsia="Roboto" w:hAnsi="Roboto"/>
          <w:color w:val="303030"/>
          <w:sz w:val="24"/>
          <w:szCs w:val="24"/>
          <w:rtl w:val="0"/>
        </w:rPr>
        <w:t xml:space="preserve">: Se destacó la necesidad de usar la etiqueta `label` con su atributo `for` asociado al `ID` del campo de entrada correspondiente, ya que omitir los `labels` (algo que se ha normalizado en la industria) afecta negativamente la accesibilidad. Además, se mencionó que los botones de radio deben estar agrupados con un `fieldset` y un `legend` para que el lector de pantalla pueda entender el contexto de la información, como un rango de edad.</w:t>
      </w:r>
    </w:p>
    <w:p w:rsidR="00000000" w:rsidDel="00000000" w:rsidP="00000000" w:rsidRDefault="00000000" w:rsidRPr="00000000" w14:paraId="0000001A">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Manejo de errores y modales para la accesibilidad</w:t>
      </w:r>
      <w:r w:rsidDel="00000000" w:rsidR="00000000" w:rsidRPr="00000000">
        <w:rPr>
          <w:rFonts w:ascii="Roboto" w:cs="Roboto" w:eastAsia="Roboto" w:hAnsi="Roboto"/>
          <w:color w:val="303030"/>
          <w:sz w:val="24"/>
          <w:szCs w:val="24"/>
          <w:rtl w:val="0"/>
        </w:rPr>
        <w:t xml:space="preserve">: Se señaló que cuando ocurren errores en el envío de un formulario, el lector de pantalla a menudo no es alertado, lo que hace que el usuario piense que el sitio está roto. Para solucionar esto, es necesario notificar al lector de pantalla sobre el cambio de estado mediante otro lenguaje como JavaScript. En cuanto a las ventanas modales o emergentes, se explicó que es esencial utilizar el atributo `aria-hidden` en el contenido detrás del modal para evitar que el lector de pantalla lo interprete.</w:t>
      </w:r>
    </w:p>
    <w:p w:rsidR="00000000" w:rsidDel="00000000" w:rsidP="00000000" w:rsidRDefault="00000000" w:rsidRPr="00000000" w14:paraId="0000001B">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atributos ARIA y ocultamiento de imágenes decorativas</w:t>
      </w:r>
      <w:r w:rsidDel="00000000" w:rsidR="00000000" w:rsidRPr="00000000">
        <w:rPr>
          <w:rFonts w:ascii="Roboto" w:cs="Roboto" w:eastAsia="Roboto" w:hAnsi="Roboto"/>
          <w:color w:val="303030"/>
          <w:sz w:val="24"/>
          <w:szCs w:val="24"/>
          <w:rtl w:val="0"/>
        </w:rPr>
        <w:t xml:space="preserve">: Se introdujo el uso de atributos ARIA, como `aria-label`, que permite darle un título a una sección, como por ejemplo, a una navegación principal, para ayudar al lector de pantalla. También se explicó el uso del atributo `aria-hidden="true"` para ocultar imágenes puramente decorativas de los lectores de pantalla, evitando que la descripción innecesaria distraiga al usuario.</w:t>
      </w:r>
    </w:p>
    <w:p w:rsidR="00000000" w:rsidDel="00000000" w:rsidP="00000000" w:rsidRDefault="00000000" w:rsidRPr="00000000" w14:paraId="0000001C">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Planificación para la próxima clase y material disponible</w:t>
      </w:r>
      <w:r w:rsidDel="00000000" w:rsidR="00000000" w:rsidRPr="00000000">
        <w:rPr>
          <w:rFonts w:ascii="Roboto" w:cs="Roboto" w:eastAsia="Roboto" w:hAnsi="Roboto"/>
          <w:color w:val="303030"/>
          <w:sz w:val="24"/>
          <w:szCs w:val="24"/>
          <w:rtl w:val="0"/>
        </w:rPr>
        <w:t xml:space="preserve">: Santiago Verrier anunció que el plan para la próxima clase incluye la instalación de extensiones, el formato automático y la discusión de la lista descriptiva. Se invitó a los participantes a comenzar a pensar en un ejercicio práctico para pasar un boceto a código, lo cual podría servir como base para el proyecto final. El material y los enlaces están disponibles en la carpeta de desarrollo web, en el documento resumen de la clase, y las grabaciones se encuentran en una carpeta de grabaciones compartida .</w:t>
      </w:r>
    </w:p>
    <w:p w:rsidR="00000000" w:rsidDel="00000000" w:rsidP="00000000" w:rsidRDefault="00000000" w:rsidRPr="00000000" w14:paraId="0000001D">
      <w:pPr>
        <w:spacing w:after="80" w:lineRule="auto"/>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1E">
      <w:pPr>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Temas</w:t>
      </w:r>
    </w:p>
    <w:p w:rsidR="00000000" w:rsidDel="00000000" w:rsidP="00000000" w:rsidRDefault="00000000" w:rsidRPr="00000000" w14:paraId="0000001F">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20">
      <w:pPr>
        <w:numPr>
          <w:ilvl w:val="0"/>
          <w:numId w:val="4"/>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Boceto</w:t>
      </w:r>
    </w:p>
    <w:p w:rsidR="00000000" w:rsidDel="00000000" w:rsidP="00000000" w:rsidRDefault="00000000" w:rsidRPr="00000000" w14:paraId="00000021">
      <w:pPr>
        <w:numPr>
          <w:ilvl w:val="0"/>
          <w:numId w:val="4"/>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Actividad de crear un boceto</w:t>
      </w:r>
    </w:p>
    <w:p w:rsidR="00000000" w:rsidDel="00000000" w:rsidP="00000000" w:rsidRDefault="00000000" w:rsidRPr="00000000" w14:paraId="00000022">
      <w:pPr>
        <w:numPr>
          <w:ilvl w:val="0"/>
          <w:numId w:val="4"/>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Accesibilidad básica</w:t>
      </w:r>
      <w:r w:rsidDel="00000000" w:rsidR="00000000" w:rsidRPr="00000000">
        <w:rPr>
          <w:rtl w:val="0"/>
        </w:rPr>
      </w:r>
    </w:p>
    <w:p w:rsidR="00000000" w:rsidDel="00000000" w:rsidP="00000000" w:rsidRDefault="00000000" w:rsidRPr="00000000" w14:paraId="00000023">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Materiales</w:t>
      </w:r>
    </w:p>
    <w:p w:rsidR="00000000" w:rsidDel="00000000" w:rsidP="00000000" w:rsidRDefault="00000000" w:rsidRPr="00000000" w14:paraId="00000025">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26">
      <w:pPr>
        <w:numPr>
          <w:ilvl w:val="0"/>
          <w:numId w:val="2"/>
        </w:numPr>
        <w:ind w:left="720" w:hanging="360"/>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Cómo pensar un proyecto web</w:t>
      </w:r>
    </w:p>
    <w:p w:rsidR="00000000" w:rsidDel="00000000" w:rsidP="00000000" w:rsidRDefault="00000000" w:rsidRPr="00000000" w14:paraId="00000027">
      <w:pPr>
        <w:numPr>
          <w:ilvl w:val="1"/>
          <w:numId w:val="2"/>
        </w:numPr>
        <w:ind w:left="1440" w:hanging="360"/>
        <w:rPr>
          <w:rFonts w:ascii="Roboto" w:cs="Roboto" w:eastAsia="Roboto" w:hAnsi="Roboto"/>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Boceto</w:t>
      </w:r>
    </w:p>
    <w:p w:rsidR="00000000" w:rsidDel="00000000" w:rsidP="00000000" w:rsidRDefault="00000000" w:rsidRPr="00000000" w14:paraId="00000028">
      <w:pPr>
        <w:numPr>
          <w:ilvl w:val="2"/>
          <w:numId w:val="2"/>
        </w:numPr>
        <w:spacing w:line="331.2" w:lineRule="auto"/>
        <w:ind w:left="2160" w:hanging="360"/>
        <w:rPr>
          <w:rFonts w:ascii="Roboto" w:cs="Roboto" w:eastAsia="Roboto" w:hAnsi="Roboto"/>
          <w:color w:val="495057"/>
          <w:sz w:val="23"/>
          <w:szCs w:val="23"/>
          <w:highlight w:val="white"/>
        </w:rPr>
      </w:pPr>
      <w:hyperlink r:id="rId6">
        <w:r w:rsidDel="00000000" w:rsidR="00000000" w:rsidRPr="00000000">
          <w:rPr>
            <w:rFonts w:ascii="Roboto" w:cs="Roboto" w:eastAsia="Roboto" w:hAnsi="Roboto"/>
            <w:color w:val="1155cc"/>
            <w:sz w:val="23"/>
            <w:szCs w:val="23"/>
            <w:highlight w:val="white"/>
            <w:u w:val="single"/>
            <w:rtl w:val="0"/>
          </w:rPr>
          <w:t xml:space="preserve">Diseño del boceto de tu nueva página web</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29">
      <w:pPr>
        <w:numPr>
          <w:ilvl w:val="1"/>
          <w:numId w:val="2"/>
        </w:numPr>
        <w:spacing w:line="360" w:lineRule="auto"/>
        <w:ind w:left="1440" w:hanging="360"/>
        <w:rPr>
          <w:b w:val="1"/>
          <w:bCs w:val="1"/>
        </w:rPr>
      </w:pPr>
      <w:r w:rsidDel="00000000" w:rsidR="00000000" w:rsidRPr="00000000">
        <w:rPr>
          <w:b w:val="1"/>
          <w:bCs w:val="1"/>
          <w:rtl w:val="0"/>
        </w:rPr>
        <w:t xml:space="preserve">Herramientas</w:t>
      </w:r>
    </w:p>
    <w:p w:rsidR="00000000" w:rsidDel="00000000" w:rsidP="00000000" w:rsidRDefault="00000000" w:rsidRPr="00000000" w14:paraId="0000002A">
      <w:pPr>
        <w:numPr>
          <w:ilvl w:val="2"/>
          <w:numId w:val="2"/>
        </w:numPr>
        <w:spacing w:line="360" w:lineRule="auto"/>
        <w:ind w:left="2160" w:hanging="360"/>
      </w:pPr>
      <w:r w:rsidDel="00000000" w:rsidR="00000000" w:rsidRPr="00000000">
        <w:rPr>
          <w:b w:val="1"/>
          <w:bCs w:val="1"/>
          <w:rtl w:val="0"/>
        </w:rPr>
        <w:t xml:space="preserve">Balsamik</w:t>
      </w:r>
      <w:r w:rsidDel="00000000" w:rsidR="00000000" w:rsidRPr="00000000">
        <w:rPr>
          <w:rtl w:val="0"/>
        </w:rPr>
        <w:t xml:space="preserve"> (sólo permite utilizarlo por 30 días, pero hay un truco </w:t>
      </w:r>
      <w:r w:rsidDel="00000000" w:rsidR="00000000" w:rsidRPr="00000000">
        <w:rPr>
          <w:i w:val="1"/>
          <w:iCs w:val="1"/>
          <w:rtl w:val="0"/>
        </w:rPr>
        <w:t xml:space="preserve">“</w:t>
      </w:r>
      <w:r w:rsidDel="00000000" w:rsidR="00000000" w:rsidRPr="00000000">
        <w:rPr>
          <w:rFonts w:ascii="Lato" w:cs="Lato" w:eastAsia="Lato" w:hAnsi="Lato"/>
          <w:i w:val="1"/>
          <w:iCs w:val="1"/>
          <w:shd w:fill="f2f2f7" w:val="clear"/>
          <w:rtl w:val="0"/>
        </w:rPr>
        <w:t xml:space="preserve"> tienen que cambiarle la fecha a por ejemplo al 2028 y lo instalan y el programa reconoce que tienen 30 días de trial desde la fecha que le pusieron”</w:t>
      </w:r>
      <w:r w:rsidDel="00000000" w:rsidR="00000000" w:rsidRPr="00000000">
        <w:rPr>
          <w:rtl w:val="0"/>
        </w:rPr>
        <w:t xml:space="preserve">)</w:t>
      </w:r>
    </w:p>
    <w:p w:rsidR="00000000" w:rsidDel="00000000" w:rsidP="00000000" w:rsidRDefault="00000000" w:rsidRPr="00000000" w14:paraId="0000002B">
      <w:pPr>
        <w:numPr>
          <w:ilvl w:val="3"/>
          <w:numId w:val="2"/>
        </w:numPr>
        <w:spacing w:line="360" w:lineRule="auto"/>
        <w:ind w:left="2880" w:hanging="360"/>
      </w:pPr>
      <w:hyperlink r:id="rId7">
        <w:r w:rsidDel="00000000" w:rsidR="00000000" w:rsidRPr="00000000">
          <w:rPr>
            <w:color w:val="1155cc"/>
            <w:u w:val="single"/>
            <w:rtl w:val="0"/>
          </w:rPr>
          <w:t xml:space="preserve">versión online</w:t>
        </w:r>
      </w:hyperlink>
      <w:r w:rsidDel="00000000" w:rsidR="00000000" w:rsidRPr="00000000">
        <w:rPr>
          <w:rtl w:val="0"/>
        </w:rPr>
      </w:r>
    </w:p>
    <w:p w:rsidR="00000000" w:rsidDel="00000000" w:rsidP="00000000" w:rsidRDefault="00000000" w:rsidRPr="00000000" w14:paraId="0000002C">
      <w:pPr>
        <w:numPr>
          <w:ilvl w:val="3"/>
          <w:numId w:val="2"/>
        </w:numPr>
        <w:spacing w:line="360" w:lineRule="auto"/>
        <w:ind w:left="2880" w:hanging="360"/>
      </w:pPr>
      <w:hyperlink r:id="rId8">
        <w:r w:rsidDel="00000000" w:rsidR="00000000" w:rsidRPr="00000000">
          <w:rPr>
            <w:color w:val="1155cc"/>
            <w:u w:val="single"/>
            <w:rtl w:val="0"/>
          </w:rPr>
          <w:t xml:space="preserve">versión desktop</w:t>
        </w:r>
      </w:hyperlink>
      <w:r w:rsidDel="00000000" w:rsidR="00000000" w:rsidRPr="00000000">
        <w:rPr>
          <w:rtl w:val="0"/>
        </w:rPr>
        <w:t xml:space="preserve"> </w:t>
      </w:r>
    </w:p>
    <w:p w:rsidR="00000000" w:rsidDel="00000000" w:rsidP="00000000" w:rsidRDefault="00000000" w:rsidRPr="00000000" w14:paraId="0000002D">
      <w:pPr>
        <w:numPr>
          <w:ilvl w:val="3"/>
          <w:numId w:val="2"/>
        </w:numPr>
        <w:spacing w:line="360" w:lineRule="auto"/>
        <w:ind w:left="2880" w:hanging="360"/>
      </w:pPr>
      <w:r w:rsidDel="00000000" w:rsidR="00000000" w:rsidRPr="00000000">
        <w:rPr>
          <w:rtl w:val="0"/>
        </w:rPr>
        <w:t xml:space="preserve">Tutoriales</w:t>
      </w:r>
    </w:p>
    <w:p w:rsidR="00000000" w:rsidDel="00000000" w:rsidP="00000000" w:rsidRDefault="00000000" w:rsidRPr="00000000" w14:paraId="0000002E">
      <w:pPr>
        <w:numPr>
          <w:ilvl w:val="4"/>
          <w:numId w:val="2"/>
        </w:numPr>
        <w:spacing w:line="360" w:lineRule="auto"/>
        <w:ind w:left="3600" w:hanging="360"/>
      </w:pPr>
      <w:hyperlink r:id="rId9">
        <w:r w:rsidDel="00000000" w:rsidR="00000000" w:rsidRPr="00000000">
          <w:rPr>
            <w:color w:val="0000ee"/>
            <w:u w:val="single"/>
            <w:rtl w:val="0"/>
          </w:rPr>
          <w:t xml:space="preserve">Aprende a utilizar balsamiq Mockups paso a paso con ejemplos</w:t>
        </w:r>
      </w:hyperlink>
      <w:r w:rsidDel="00000000" w:rsidR="00000000" w:rsidRPr="00000000">
        <w:rPr>
          <w:rtl w:val="0"/>
        </w:rPr>
      </w:r>
    </w:p>
    <w:p w:rsidR="00000000" w:rsidDel="00000000" w:rsidP="00000000" w:rsidRDefault="00000000" w:rsidRPr="00000000" w14:paraId="0000002F">
      <w:pPr>
        <w:numPr>
          <w:ilvl w:val="4"/>
          <w:numId w:val="2"/>
        </w:numPr>
        <w:spacing w:line="360" w:lineRule="auto"/>
        <w:ind w:left="3600" w:hanging="360"/>
      </w:pPr>
      <w:hyperlink r:id="rId10">
        <w:r w:rsidDel="00000000" w:rsidR="00000000" w:rsidRPr="00000000">
          <w:rPr>
            <w:color w:val="0000ee"/>
            <w:u w:val="single"/>
            <w:rtl w:val="0"/>
          </w:rPr>
          <w:t xml:space="preserve">Cómo hacer un Wireframe con Balsamiq</w:t>
        </w:r>
      </w:hyperlink>
      <w:r w:rsidDel="00000000" w:rsidR="00000000" w:rsidRPr="00000000">
        <w:rPr>
          <w:rtl w:val="0"/>
        </w:rPr>
      </w:r>
    </w:p>
    <w:p w:rsidR="00000000" w:rsidDel="00000000" w:rsidP="00000000" w:rsidRDefault="00000000" w:rsidRPr="00000000" w14:paraId="00000030">
      <w:pPr>
        <w:numPr>
          <w:ilvl w:val="2"/>
          <w:numId w:val="2"/>
        </w:numPr>
        <w:spacing w:line="360" w:lineRule="auto"/>
        <w:ind w:left="2160" w:hanging="360"/>
      </w:pPr>
      <w:hyperlink r:id="rId11">
        <w:r w:rsidDel="00000000" w:rsidR="00000000" w:rsidRPr="00000000">
          <w:rPr>
            <w:b w:val="1"/>
            <w:bCs w:val="1"/>
            <w:color w:val="1155cc"/>
            <w:u w:val="single"/>
            <w:rtl w:val="0"/>
          </w:rPr>
          <w:t xml:space="preserve">MockFlow</w:t>
        </w:r>
      </w:hyperlink>
      <w:r w:rsidDel="00000000" w:rsidR="00000000" w:rsidRPr="00000000">
        <w:rPr>
          <w:rtl w:val="0"/>
        </w:rPr>
        <w:t xml:space="preserve"> (Se puede usar gratuitamente con limitaciones)</w:t>
      </w:r>
    </w:p>
    <w:p w:rsidR="00000000" w:rsidDel="00000000" w:rsidP="00000000" w:rsidRDefault="00000000" w:rsidRPr="00000000" w14:paraId="00000031">
      <w:pPr>
        <w:numPr>
          <w:ilvl w:val="3"/>
          <w:numId w:val="2"/>
        </w:numPr>
        <w:spacing w:line="360" w:lineRule="auto"/>
        <w:ind w:left="2880" w:hanging="360"/>
      </w:pPr>
      <w:hyperlink r:id="rId12">
        <w:r w:rsidDel="00000000" w:rsidR="00000000" w:rsidRPr="00000000">
          <w:rPr>
            <w:color w:val="0000ee"/>
            <w:u w:val="single"/>
            <w:rtl w:val="0"/>
          </w:rPr>
          <w:t xml:space="preserve">MockFlow</w:t>
        </w:r>
      </w:hyperlink>
      <w:r w:rsidDel="00000000" w:rsidR="00000000" w:rsidRPr="00000000">
        <w:rPr>
          <w:rtl w:val="0"/>
        </w:rPr>
        <w:t xml:space="preserve"> vistazo </w:t>
      </w:r>
    </w:p>
    <w:p w:rsidR="00000000" w:rsidDel="00000000" w:rsidP="00000000" w:rsidRDefault="00000000" w:rsidRPr="00000000" w14:paraId="00000032">
      <w:pPr>
        <w:numPr>
          <w:ilvl w:val="3"/>
          <w:numId w:val="2"/>
        </w:numPr>
        <w:spacing w:line="360" w:lineRule="auto"/>
        <w:ind w:left="2880" w:hanging="360"/>
      </w:pPr>
      <w:hyperlink r:id="rId13">
        <w:r w:rsidDel="00000000" w:rsidR="00000000" w:rsidRPr="00000000">
          <w:rPr>
            <w:color w:val="0000ee"/>
            <w:u w:val="single"/>
            <w:rtl w:val="0"/>
          </w:rPr>
          <w:t xml:space="preserve">Inside Look At "MockFlow" | Website &amp; App Mockup Tool For Web Developers.</w:t>
        </w:r>
      </w:hyperlink>
      <w:r w:rsidDel="00000000" w:rsidR="00000000" w:rsidRPr="00000000">
        <w:rPr>
          <w:rtl w:val="0"/>
        </w:rPr>
        <w:t xml:space="preserve"> (si bien está en inglés, se entiende viéndolo) </w:t>
      </w:r>
    </w:p>
    <w:p w:rsidR="00000000" w:rsidDel="00000000" w:rsidP="00000000" w:rsidRDefault="00000000" w:rsidRPr="00000000" w14:paraId="00000033">
      <w:pPr>
        <w:numPr>
          <w:ilvl w:val="2"/>
          <w:numId w:val="2"/>
        </w:numPr>
        <w:spacing w:line="360" w:lineRule="auto"/>
        <w:ind w:left="2160" w:hanging="360"/>
      </w:pPr>
      <w:hyperlink r:id="rId14">
        <w:r w:rsidDel="00000000" w:rsidR="00000000" w:rsidRPr="00000000">
          <w:rPr>
            <w:b w:val="1"/>
            <w:bCs w:val="1"/>
            <w:color w:val="1155cc"/>
            <w:u w:val="single"/>
            <w:rtl w:val="0"/>
          </w:rPr>
          <w:t xml:space="preserve">Uizard</w:t>
        </w:r>
      </w:hyperlink>
      <w:r w:rsidDel="00000000" w:rsidR="00000000" w:rsidRPr="00000000">
        <w:rPr>
          <w:rtl w:val="0"/>
        </w:rPr>
        <w:t xml:space="preserve"> (no lo he usado, pero pueden explorarlo si creen que les puede ser útil)</w:t>
      </w:r>
    </w:p>
    <w:p w:rsidR="00000000" w:rsidDel="00000000" w:rsidP="00000000" w:rsidRDefault="00000000" w:rsidRPr="00000000" w14:paraId="00000034">
      <w:pPr>
        <w:numPr>
          <w:ilvl w:val="2"/>
          <w:numId w:val="2"/>
        </w:numPr>
        <w:spacing w:line="360" w:lineRule="auto"/>
        <w:ind w:left="2160" w:hanging="360"/>
      </w:pPr>
      <w:hyperlink r:id="rId15">
        <w:r w:rsidDel="00000000" w:rsidR="00000000" w:rsidRPr="00000000">
          <w:rPr>
            <w:b w:val="1"/>
            <w:bCs w:val="1"/>
            <w:color w:val="1155cc"/>
            <w:u w:val="single"/>
            <w:rtl w:val="0"/>
          </w:rPr>
          <w:t xml:space="preserve">NinjaMock</w:t>
        </w:r>
      </w:hyperlink>
      <w:r w:rsidDel="00000000" w:rsidR="00000000" w:rsidRPr="00000000">
        <w:rPr>
          <w:rtl w:val="0"/>
        </w:rPr>
        <w:t xml:space="preserve"> (no lo he usado, pero pueden explorarlo si creen que les puede ser útil)</w:t>
      </w:r>
    </w:p>
    <w:p w:rsidR="00000000" w:rsidDel="00000000" w:rsidP="00000000" w:rsidRDefault="00000000" w:rsidRPr="00000000" w14:paraId="00000035">
      <w:pPr>
        <w:numPr>
          <w:ilvl w:val="2"/>
          <w:numId w:val="2"/>
        </w:numPr>
        <w:spacing w:line="360" w:lineRule="auto"/>
        <w:ind w:left="2160" w:hanging="360"/>
      </w:pPr>
      <w:hyperlink r:id="rId16">
        <w:r w:rsidDel="00000000" w:rsidR="00000000" w:rsidRPr="00000000">
          <w:rPr>
            <w:color w:val="1155cc"/>
            <w:u w:val="single"/>
            <w:rtl w:val="0"/>
          </w:rPr>
          <w:t xml:space="preserve">The Best 100% Free Wireframe Tool for Mobile and Web</w:t>
        </w:r>
      </w:hyperlink>
      <w:r w:rsidDel="00000000" w:rsidR="00000000" w:rsidRPr="00000000">
        <w:rPr>
          <w:rtl w:val="0"/>
        </w:rPr>
        <w:t xml:space="preserve">  (no lo he usado, pero pueden explorarlo si creen que les puede ser útil)</w:t>
      </w:r>
    </w:p>
    <w:p w:rsidR="00000000" w:rsidDel="00000000" w:rsidP="00000000" w:rsidRDefault="00000000" w:rsidRPr="00000000" w14:paraId="00000036">
      <w:pPr>
        <w:numPr>
          <w:ilvl w:val="2"/>
          <w:numId w:val="2"/>
        </w:numPr>
        <w:spacing w:line="360" w:lineRule="auto"/>
        <w:ind w:left="2160" w:hanging="360"/>
      </w:pPr>
      <w:hyperlink r:id="rId17">
        <w:r w:rsidDel="00000000" w:rsidR="00000000" w:rsidRPr="00000000">
          <w:rPr>
            <w:b w:val="1"/>
            <w:bCs w:val="1"/>
            <w:color w:val="1155cc"/>
            <w:u w:val="single"/>
            <w:rtl w:val="0"/>
          </w:rPr>
          <w:t xml:space="preserve">Figma</w:t>
        </w:r>
      </w:hyperlink>
      <w:r w:rsidDel="00000000" w:rsidR="00000000" w:rsidRPr="00000000">
        <w:rPr>
          <w:rtl w:val="0"/>
        </w:rPr>
        <w:t xml:space="preserve"> (para uso profesional)</w:t>
      </w:r>
      <w:r w:rsidDel="00000000" w:rsidR="00000000" w:rsidRPr="00000000">
        <w:rPr>
          <w:rtl w:val="0"/>
        </w:rPr>
      </w:r>
    </w:p>
    <w:p w:rsidR="00000000" w:rsidDel="00000000" w:rsidP="00000000" w:rsidRDefault="00000000" w:rsidRPr="00000000" w14:paraId="00000037">
      <w:pPr>
        <w:spacing w:line="331.2" w:lineRule="auto"/>
        <w:ind w:left="720" w:firstLine="720"/>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Color (para ir pensando cuando sea hora de definir el diseño)</w:t>
      </w:r>
    </w:p>
    <w:p w:rsidR="00000000" w:rsidDel="00000000" w:rsidP="00000000" w:rsidRDefault="00000000" w:rsidRPr="00000000" w14:paraId="00000038">
      <w:pPr>
        <w:numPr>
          <w:ilvl w:val="2"/>
          <w:numId w:val="1"/>
        </w:numPr>
        <w:spacing w:line="331.2" w:lineRule="auto"/>
        <w:ind w:left="2160" w:hanging="360"/>
        <w:rPr>
          <w:rFonts w:ascii="Roboto" w:cs="Roboto" w:eastAsia="Roboto" w:hAnsi="Roboto"/>
          <w:color w:val="495057"/>
          <w:sz w:val="23"/>
          <w:szCs w:val="23"/>
          <w:highlight w:val="white"/>
        </w:rPr>
      </w:pPr>
      <w:hyperlink r:id="rId18">
        <w:r w:rsidDel="00000000" w:rsidR="00000000" w:rsidRPr="00000000">
          <w:rPr>
            <w:rFonts w:ascii="Roboto" w:cs="Roboto" w:eastAsia="Roboto" w:hAnsi="Roboto"/>
            <w:color w:val="1155cc"/>
            <w:sz w:val="23"/>
            <w:szCs w:val="23"/>
            <w:highlight w:val="white"/>
            <w:u w:val="single"/>
            <w:rtl w:val="0"/>
          </w:rPr>
          <w:t xml:space="preserve">Coolors</w:t>
        </w:r>
      </w:hyperlink>
      <w:r w:rsidDel="00000000" w:rsidR="00000000" w:rsidRPr="00000000">
        <w:rPr>
          <w:rFonts w:ascii="Roboto" w:cs="Roboto" w:eastAsia="Roboto" w:hAnsi="Roboto"/>
          <w:color w:val="495057"/>
          <w:sz w:val="23"/>
          <w:szCs w:val="23"/>
          <w:highlight w:val="white"/>
          <w:rtl w:val="0"/>
        </w:rPr>
        <w:t xml:space="preserve"> (poder elegir paleta de colores para tu sitio)</w:t>
      </w:r>
    </w:p>
    <w:p w:rsidR="00000000" w:rsidDel="00000000" w:rsidP="00000000" w:rsidRDefault="00000000" w:rsidRPr="00000000" w14:paraId="00000039">
      <w:pPr>
        <w:numPr>
          <w:ilvl w:val="2"/>
          <w:numId w:val="1"/>
        </w:numPr>
        <w:spacing w:line="331.2" w:lineRule="auto"/>
        <w:ind w:left="2160" w:hanging="360"/>
        <w:rPr>
          <w:rFonts w:ascii="Roboto" w:cs="Roboto" w:eastAsia="Roboto" w:hAnsi="Roboto"/>
          <w:color w:val="495057"/>
          <w:sz w:val="23"/>
          <w:szCs w:val="23"/>
          <w:highlight w:val="white"/>
        </w:rPr>
      </w:pPr>
      <w:hyperlink r:id="rId19">
        <w:r w:rsidDel="00000000" w:rsidR="00000000" w:rsidRPr="00000000">
          <w:rPr>
            <w:rFonts w:ascii="Roboto" w:cs="Roboto" w:eastAsia="Roboto" w:hAnsi="Roboto"/>
            <w:color w:val="1155cc"/>
            <w:sz w:val="23"/>
            <w:szCs w:val="23"/>
            <w:highlight w:val="white"/>
            <w:u w:val="single"/>
            <w:rtl w:val="0"/>
          </w:rPr>
          <w:t xml:space="preserve">Color Hunt</w:t>
        </w:r>
      </w:hyperlink>
      <w:r w:rsidDel="00000000" w:rsidR="00000000" w:rsidRPr="00000000">
        <w:rPr>
          <w:rFonts w:ascii="Roboto" w:cs="Roboto" w:eastAsia="Roboto" w:hAnsi="Roboto"/>
          <w:color w:val="495057"/>
          <w:sz w:val="23"/>
          <w:szCs w:val="23"/>
          <w:highlight w:val="white"/>
          <w:rtl w:val="0"/>
        </w:rPr>
        <w:t xml:space="preserve">   (poder elegir paleta de colores para tu sitio)</w:t>
      </w:r>
    </w:p>
    <w:p w:rsidR="00000000" w:rsidDel="00000000" w:rsidP="00000000" w:rsidRDefault="00000000" w:rsidRPr="00000000" w14:paraId="0000003A">
      <w:pPr>
        <w:spacing w:line="331.2" w:lineRule="auto"/>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3C">
      <w:pPr>
        <w:numPr>
          <w:ilvl w:val="0"/>
          <w:numId w:val="5"/>
        </w:numPr>
        <w:ind w:left="720" w:hanging="360"/>
        <w:rPr>
          <w:rFonts w:ascii="Roboto" w:cs="Roboto" w:eastAsia="Roboto" w:hAnsi="Roboto"/>
          <w:color w:val="434343"/>
        </w:rPr>
      </w:pPr>
      <w:r w:rsidDel="00000000" w:rsidR="00000000" w:rsidRPr="00000000">
        <w:rPr>
          <w:rFonts w:ascii="Roboto" w:cs="Roboto" w:eastAsia="Roboto" w:hAnsi="Roboto"/>
          <w:b w:val="1"/>
          <w:bCs w:val="1"/>
          <w:color w:val="434343"/>
          <w:rtl w:val="0"/>
        </w:rPr>
        <w:t xml:space="preserve"> Accesibilidad</w:t>
      </w:r>
      <w:r w:rsidDel="00000000" w:rsidR="00000000" w:rsidRPr="00000000">
        <w:rPr>
          <w:rFonts w:ascii="Roboto" w:cs="Roboto" w:eastAsia="Roboto" w:hAnsi="Roboto"/>
          <w:color w:val="434343"/>
          <w:rtl w:val="0"/>
        </w:rPr>
        <w:t xml:space="preserve">:</w:t>
      </w:r>
    </w:p>
    <w:p w:rsidR="00000000" w:rsidDel="00000000" w:rsidP="00000000" w:rsidRDefault="00000000" w:rsidRPr="00000000" w14:paraId="0000003D">
      <w:pPr>
        <w:numPr>
          <w:ilvl w:val="0"/>
          <w:numId w:val="3"/>
        </w:numPr>
        <w:spacing w:line="360" w:lineRule="auto"/>
        <w:ind w:left="1440" w:hanging="360"/>
        <w:rPr>
          <w:rFonts w:ascii="Roboto" w:cs="Roboto" w:eastAsia="Roboto" w:hAnsi="Roboto"/>
          <w:color w:val="434343"/>
        </w:rPr>
      </w:pPr>
      <w:hyperlink r:id="rId20">
        <w:r w:rsidDel="00000000" w:rsidR="00000000" w:rsidRPr="00000000">
          <w:rPr>
            <w:rFonts w:ascii="Roboto" w:cs="Roboto" w:eastAsia="Roboto" w:hAnsi="Roboto"/>
            <w:color w:val="1155cc"/>
            <w:u w:val="single"/>
            <w:rtl w:val="0"/>
          </w:rPr>
          <w:t xml:space="preserve">Accesibilidad Web: Cómo navegan las personas con discapacidad</w:t>
        </w:r>
      </w:hyperlink>
      <w:r w:rsidDel="00000000" w:rsidR="00000000" w:rsidRPr="00000000">
        <w:rPr>
          <w:rtl w:val="0"/>
        </w:rPr>
      </w:r>
    </w:p>
    <w:p w:rsidR="00000000" w:rsidDel="00000000" w:rsidP="00000000" w:rsidRDefault="00000000" w:rsidRPr="00000000" w14:paraId="0000003E">
      <w:pPr>
        <w:numPr>
          <w:ilvl w:val="0"/>
          <w:numId w:val="3"/>
        </w:numPr>
        <w:spacing w:line="360" w:lineRule="auto"/>
        <w:ind w:left="1440" w:hanging="360"/>
        <w:rPr>
          <w:rFonts w:ascii="Roboto" w:cs="Roboto" w:eastAsia="Roboto" w:hAnsi="Roboto"/>
          <w:color w:val="434343"/>
        </w:rPr>
      </w:pPr>
      <w:hyperlink r:id="rId21">
        <w:r w:rsidDel="00000000" w:rsidR="00000000" w:rsidRPr="00000000">
          <w:rPr>
            <w:rFonts w:ascii="Roboto" w:cs="Roboto" w:eastAsia="Roboto" w:hAnsi="Roboto"/>
            <w:color w:val="1155cc"/>
            <w:u w:val="single"/>
            <w:rtl w:val="0"/>
          </w:rPr>
          <w:t xml:space="preserve">Introducción a ARIA | Web | Google Developers</w:t>
        </w:r>
      </w:hyperlink>
      <w:r w:rsidDel="00000000" w:rsidR="00000000" w:rsidRPr="00000000">
        <w:rPr>
          <w:rtl w:val="0"/>
        </w:rPr>
      </w:r>
    </w:p>
    <w:p w:rsidR="00000000" w:rsidDel="00000000" w:rsidP="00000000" w:rsidRDefault="00000000" w:rsidRPr="00000000" w14:paraId="0000003F">
      <w:pPr>
        <w:numPr>
          <w:ilvl w:val="0"/>
          <w:numId w:val="3"/>
        </w:numPr>
        <w:spacing w:line="360" w:lineRule="auto"/>
        <w:ind w:left="1440" w:hanging="360"/>
        <w:rPr>
          <w:rFonts w:ascii="Roboto" w:cs="Roboto" w:eastAsia="Roboto" w:hAnsi="Roboto"/>
          <w:color w:val="434343"/>
        </w:rPr>
      </w:pPr>
      <w:hyperlink r:id="rId22">
        <w:r w:rsidDel="00000000" w:rsidR="00000000" w:rsidRPr="00000000">
          <w:rPr>
            <w:rFonts w:ascii="Roboto" w:cs="Roboto" w:eastAsia="Roboto" w:hAnsi="Roboto"/>
            <w:color w:val="1155cc"/>
            <w:u w:val="single"/>
            <w:rtl w:val="0"/>
          </w:rPr>
          <w:t xml:space="preserve">Contraste del color - Accesibilidad | MDN</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40">
      <w:pPr>
        <w:numPr>
          <w:ilvl w:val="1"/>
          <w:numId w:val="3"/>
        </w:numPr>
        <w:spacing w:line="360" w:lineRule="auto"/>
        <w:ind w:left="2160" w:hanging="360"/>
        <w:rPr>
          <w:rFonts w:ascii="Roboto" w:cs="Roboto" w:eastAsia="Roboto" w:hAnsi="Roboto"/>
          <w:color w:val="434343"/>
        </w:rPr>
      </w:pPr>
      <w:hyperlink r:id="rId23">
        <w:r w:rsidDel="00000000" w:rsidR="00000000" w:rsidRPr="00000000">
          <w:rPr>
            <w:rFonts w:ascii="Roboto" w:cs="Roboto" w:eastAsia="Roboto" w:hAnsi="Roboto"/>
            <w:color w:val="1155cc"/>
            <w:u w:val="single"/>
            <w:rtl w:val="0"/>
          </w:rPr>
          <w:t xml:space="preserve">WebAIM: Contrast Checker</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41">
      <w:pPr>
        <w:numPr>
          <w:ilvl w:val="0"/>
          <w:numId w:val="3"/>
        </w:numPr>
        <w:spacing w:line="360" w:lineRule="auto"/>
        <w:ind w:left="1440" w:hanging="360"/>
        <w:rPr>
          <w:rFonts w:ascii="Roboto" w:cs="Roboto" w:eastAsia="Roboto" w:hAnsi="Roboto"/>
          <w:color w:val="434343"/>
        </w:rPr>
      </w:pPr>
      <w:hyperlink r:id="rId24">
        <w:r w:rsidDel="00000000" w:rsidR="00000000" w:rsidRPr="00000000">
          <w:rPr>
            <w:rFonts w:ascii="Roboto" w:cs="Roboto" w:eastAsia="Roboto" w:hAnsi="Roboto"/>
            <w:color w:val="1155cc"/>
            <w:u w:val="single"/>
            <w:rtl w:val="0"/>
          </w:rPr>
          <w:t xml:space="preserve">Sara Rodríguez</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42">
      <w:pPr>
        <w:numPr>
          <w:ilvl w:val="1"/>
          <w:numId w:val="3"/>
        </w:numPr>
        <w:spacing w:line="360" w:lineRule="auto"/>
        <w:ind w:left="2160" w:hanging="360"/>
        <w:rPr>
          <w:rFonts w:ascii="Roboto" w:cs="Roboto" w:eastAsia="Roboto" w:hAnsi="Roboto"/>
          <w:color w:val="434343"/>
        </w:rPr>
      </w:pPr>
      <w:hyperlink r:id="rId25">
        <w:r w:rsidDel="00000000" w:rsidR="00000000" w:rsidRPr="00000000">
          <w:rPr>
            <w:rFonts w:ascii="Roboto" w:cs="Roboto" w:eastAsia="Roboto" w:hAnsi="Roboto"/>
            <w:color w:val="1155cc"/>
            <w:u w:val="single"/>
            <w:rtl w:val="0"/>
          </w:rPr>
          <w:t xml:space="preserve">Consejos para un lenguaje inclusivo y accesible</w:t>
        </w:r>
      </w:hyperlink>
      <w:r w:rsidDel="00000000" w:rsidR="00000000" w:rsidRPr="00000000">
        <w:rPr>
          <w:rFonts w:ascii="Roboto" w:cs="Roboto" w:eastAsia="Roboto" w:hAnsi="Roboto"/>
          <w:color w:val="434343"/>
          <w:rtl w:val="0"/>
        </w:rPr>
        <w:t xml:space="preserve"> </w:t>
      </w:r>
      <w:r w:rsidDel="00000000" w:rsidR="00000000" w:rsidRPr="00000000">
        <w:rPr>
          <w:rtl w:val="0"/>
        </w:rPr>
      </w:r>
    </w:p>
    <w:p w:rsidR="00000000" w:rsidDel="00000000" w:rsidP="00000000" w:rsidRDefault="00000000" w:rsidRPr="00000000" w14:paraId="00000043">
      <w:pPr>
        <w:numPr>
          <w:ilvl w:val="0"/>
          <w:numId w:val="3"/>
        </w:numPr>
        <w:ind w:left="1440" w:hanging="360"/>
        <w:rPr>
          <w:rFonts w:ascii="Nunito" w:cs="Nunito" w:eastAsia="Nunito" w:hAnsi="Nunito"/>
          <w:color w:val="434343"/>
        </w:rPr>
      </w:pPr>
      <w:r w:rsidDel="00000000" w:rsidR="00000000" w:rsidRPr="00000000">
        <w:rPr>
          <w:rFonts w:ascii="Nunito" w:cs="Nunito" w:eastAsia="Nunito" w:hAnsi="Nunito"/>
          <w:color w:val="434343"/>
          <w:rtl w:val="0"/>
        </w:rPr>
        <w:t xml:space="preserve">Videos</w:t>
      </w:r>
    </w:p>
    <w:p w:rsidR="00000000" w:rsidDel="00000000" w:rsidP="00000000" w:rsidRDefault="00000000" w:rsidRPr="00000000" w14:paraId="00000044">
      <w:pPr>
        <w:numPr>
          <w:ilvl w:val="1"/>
          <w:numId w:val="3"/>
        </w:numPr>
        <w:ind w:left="2160" w:hanging="360"/>
        <w:rPr>
          <w:rFonts w:ascii="Nunito" w:cs="Nunito" w:eastAsia="Nunito" w:hAnsi="Nunito"/>
          <w:color w:val="434343"/>
        </w:rPr>
      </w:pPr>
      <w:hyperlink r:id="rId26">
        <w:r w:rsidDel="00000000" w:rsidR="00000000" w:rsidRPr="00000000">
          <w:rPr>
            <w:rFonts w:ascii="Nunito" w:cs="Nunito" w:eastAsia="Nunito" w:hAnsi="Nunito"/>
            <w:color w:val="0000ee"/>
            <w:u w:val="single"/>
            <w:rtl w:val="0"/>
          </w:rPr>
          <w:t xml:space="preserve">Accesibilidad web, ¿cómo hacer un front para todos? - Juanjo Montiel</w:t>
        </w:r>
      </w:hyperlink>
      <w:r w:rsidDel="00000000" w:rsidR="00000000" w:rsidRPr="00000000">
        <w:rPr>
          <w:rtl w:val="0"/>
        </w:rPr>
      </w:r>
    </w:p>
    <w:p w:rsidR="00000000" w:rsidDel="00000000" w:rsidP="00000000" w:rsidRDefault="00000000" w:rsidRPr="00000000" w14:paraId="00000045">
      <w:pPr>
        <w:numPr>
          <w:ilvl w:val="1"/>
          <w:numId w:val="3"/>
        </w:numPr>
        <w:ind w:left="2160" w:hanging="360"/>
        <w:rPr>
          <w:rFonts w:ascii="Nunito" w:cs="Nunito" w:eastAsia="Nunito" w:hAnsi="Nunito"/>
          <w:color w:val="434343"/>
        </w:rPr>
      </w:pPr>
      <w:hyperlink r:id="rId27">
        <w:r w:rsidDel="00000000" w:rsidR="00000000" w:rsidRPr="00000000">
          <w:rPr>
            <w:rFonts w:ascii="Nunito" w:cs="Nunito" w:eastAsia="Nunito" w:hAnsi="Nunito"/>
            <w:color w:val="0000ee"/>
            <w:u w:val="single"/>
            <w:rtl w:val="0"/>
          </w:rPr>
          <w:t xml:space="preserve">Las 6 pruebas de accesibilidad web más sencillas que cualquiera puede hacer</w:t>
        </w:r>
      </w:hyperlink>
      <w:r w:rsidDel="00000000" w:rsidR="00000000" w:rsidRPr="00000000">
        <w:rPr>
          <w:rtl w:val="0"/>
        </w:rPr>
      </w:r>
    </w:p>
    <w:p w:rsidR="00000000" w:rsidDel="00000000" w:rsidP="00000000" w:rsidRDefault="00000000" w:rsidRPr="00000000" w14:paraId="00000046">
      <w:pPr>
        <w:numPr>
          <w:ilvl w:val="1"/>
          <w:numId w:val="3"/>
        </w:numPr>
        <w:ind w:left="2160" w:hanging="360"/>
        <w:rPr>
          <w:rFonts w:ascii="Nunito" w:cs="Nunito" w:eastAsia="Nunito" w:hAnsi="Nunito"/>
          <w:color w:val="434343"/>
        </w:rPr>
      </w:pPr>
      <w:hyperlink r:id="rId28">
        <w:r w:rsidDel="00000000" w:rsidR="00000000" w:rsidRPr="00000000">
          <w:rPr>
            <w:rFonts w:ascii="Nunito" w:cs="Nunito" w:eastAsia="Nunito" w:hAnsi="Nunito"/>
            <w:color w:val="0000ee"/>
            <w:u w:val="single"/>
            <w:rtl w:val="0"/>
          </w:rPr>
          <w:t xml:space="preserve">Principios de Accesibilidad Web para Front End</w:t>
        </w:r>
      </w:hyperlink>
      <w:r w:rsidDel="00000000" w:rsidR="00000000" w:rsidRPr="00000000">
        <w:rPr>
          <w:rFonts w:ascii="Nunito" w:cs="Nunito" w:eastAsia="Nunito" w:hAnsi="Nunito"/>
          <w:color w:val="434343"/>
          <w:rtl w:val="0"/>
        </w:rPr>
        <w:t xml:space="preserve">   </w:t>
      </w:r>
    </w:p>
    <w:p w:rsidR="00000000" w:rsidDel="00000000" w:rsidP="00000000" w:rsidRDefault="00000000" w:rsidRPr="00000000" w14:paraId="00000047">
      <w:pPr>
        <w:numPr>
          <w:ilvl w:val="0"/>
          <w:numId w:val="3"/>
        </w:numPr>
        <w:ind w:left="1440" w:hanging="360"/>
        <w:rPr>
          <w:rFonts w:ascii="Nunito" w:cs="Nunito" w:eastAsia="Nunito" w:hAnsi="Nunito"/>
          <w:color w:val="434343"/>
        </w:rPr>
      </w:pPr>
      <w:r w:rsidDel="00000000" w:rsidR="00000000" w:rsidRPr="00000000">
        <w:rPr>
          <w:rtl w:val="0"/>
        </w:rPr>
      </w:r>
    </w:p>
    <w:p w:rsidR="00000000" w:rsidDel="00000000" w:rsidP="00000000" w:rsidRDefault="00000000" w:rsidRPr="00000000" w14:paraId="00000048">
      <w:pPr>
        <w:numPr>
          <w:ilvl w:val="0"/>
          <w:numId w:val="3"/>
        </w:numPr>
        <w:ind w:left="1440" w:hanging="360"/>
        <w:rPr>
          <w:rFonts w:ascii="Nunito" w:cs="Nunito" w:eastAsia="Nunito" w:hAnsi="Nunito"/>
          <w:color w:val="434343"/>
        </w:rPr>
      </w:pPr>
      <w:r w:rsidDel="00000000" w:rsidR="00000000" w:rsidRPr="00000000">
        <w:rPr>
          <w:rFonts w:ascii="Roboto" w:cs="Roboto" w:eastAsia="Roboto" w:hAnsi="Roboto"/>
          <w:color w:val="495057"/>
          <w:highlight w:val="white"/>
          <w:rtl w:val="0"/>
        </w:rPr>
        <w:t xml:space="preserve">Accesibilidad </w:t>
      </w:r>
      <w:hyperlink r:id="rId29">
        <w:r w:rsidDel="00000000" w:rsidR="00000000" w:rsidRPr="00000000">
          <w:rPr>
            <w:rFonts w:ascii="Roboto" w:cs="Roboto" w:eastAsia="Roboto" w:hAnsi="Roboto"/>
            <w:color w:val="1155cc"/>
            <w:highlight w:val="white"/>
            <w:u w:val="single"/>
            <w:rtl w:val="0"/>
          </w:rPr>
          <w:t xml:space="preserve">Developing for Web Accessibility – Tips for Getting Started</w:t>
        </w:r>
      </w:hyperlink>
      <w:r w:rsidDel="00000000" w:rsidR="00000000" w:rsidRPr="00000000">
        <w:rPr>
          <w:rFonts w:ascii="Roboto" w:cs="Roboto" w:eastAsia="Roboto" w:hAnsi="Roboto"/>
          <w:color w:val="495057"/>
          <w:highlight w:val="white"/>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Google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accesibilidadweb.dlsi.ua.es/?menu=como-navegan-web" TargetMode="External"/><Relationship Id="rId22" Type="http://schemas.openxmlformats.org/officeDocument/2006/relationships/hyperlink" Target="https://developer.mozilla.org/es/docs/Web/Accessibility/Understanding_WCAG/Perceivable/Color_contrast" TargetMode="External"/><Relationship Id="rId21" Type="http://schemas.openxmlformats.org/officeDocument/2006/relationships/hyperlink" Target="https://developers.google.com/web/fundamentals/accessibility/semantics-aria?hl=es" TargetMode="External"/><Relationship Id="rId24" Type="http://schemas.openxmlformats.org/officeDocument/2006/relationships/hyperlink" Target="https://www.sararodriguezcontreras.com" TargetMode="External"/><Relationship Id="rId23" Type="http://schemas.openxmlformats.org/officeDocument/2006/relationships/hyperlink" Target="https://webaim.org/resources/contrastcheck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6vXjEd6BWgo" TargetMode="External"/><Relationship Id="rId26" Type="http://schemas.openxmlformats.org/officeDocument/2006/relationships/hyperlink" Target="https://www.youtube.com/watch?v=PHfx59lYU1U" TargetMode="External"/><Relationship Id="rId25" Type="http://schemas.openxmlformats.org/officeDocument/2006/relationships/hyperlink" Target="https://www.sararodriguezcontreras.com/consejos-para-un-lenguaje-inclusivo-y-accesible/" TargetMode="External"/><Relationship Id="rId28" Type="http://schemas.openxmlformats.org/officeDocument/2006/relationships/hyperlink" Target="https://www.youtube.com/watch?v=W3DHYpjPqf0&amp;ab_channel=WomenWhoCode" TargetMode="External"/><Relationship Id="rId27" Type="http://schemas.openxmlformats.org/officeDocument/2006/relationships/hyperlink" Target="https://www.youtube.com/watch?v=J1Zpjizvi5Q&amp;ab_channel=iDESWEBUA" TargetMode="External"/><Relationship Id="rId5" Type="http://schemas.openxmlformats.org/officeDocument/2006/relationships/styles" Target="styles.xml"/><Relationship Id="rId6" Type="http://schemas.openxmlformats.org/officeDocument/2006/relationships/hyperlink" Target="https://www.ailonwebs.com/es/blog/diseno-paginas-web/boceto-de-tu-nueva-pagina-web/index.php" TargetMode="External"/><Relationship Id="rId29" Type="http://schemas.openxmlformats.org/officeDocument/2006/relationships/hyperlink" Target="https://www.w3.org/WAI/tips/developing/" TargetMode="External"/><Relationship Id="rId7" Type="http://schemas.openxmlformats.org/officeDocument/2006/relationships/hyperlink" Target="https://balsamiq.com/wireframes/cloud/" TargetMode="External"/><Relationship Id="rId8" Type="http://schemas.openxmlformats.org/officeDocument/2006/relationships/hyperlink" Target="https://balsamiq.com/wireframes/desktop/" TargetMode="External"/><Relationship Id="rId11" Type="http://schemas.openxmlformats.org/officeDocument/2006/relationships/hyperlink" Target="https://www.mockflow.com/" TargetMode="External"/><Relationship Id="rId10" Type="http://schemas.openxmlformats.org/officeDocument/2006/relationships/hyperlink" Target="https://www.youtube.com/watch?v=CT5u9leKlG8" TargetMode="External"/><Relationship Id="rId13" Type="http://schemas.openxmlformats.org/officeDocument/2006/relationships/hyperlink" Target="https://www.youtube.com/watch?v=lcs0ufdNCsU" TargetMode="External"/><Relationship Id="rId12" Type="http://schemas.openxmlformats.org/officeDocument/2006/relationships/hyperlink" Target="https://www.youtube.com/watch?v=VfUGRfRFmsg" TargetMode="External"/><Relationship Id="rId15" Type="http://schemas.openxmlformats.org/officeDocument/2006/relationships/hyperlink" Target="https://ninjamock.com/" TargetMode="External"/><Relationship Id="rId14" Type="http://schemas.openxmlformats.org/officeDocument/2006/relationships/hyperlink" Target="https://uizard.io/" TargetMode="External"/><Relationship Id="rId17" Type="http://schemas.openxmlformats.org/officeDocument/2006/relationships/hyperlink" Target="https://www.figma.com/" TargetMode="External"/><Relationship Id="rId16" Type="http://schemas.openxmlformats.org/officeDocument/2006/relationships/hyperlink" Target="https://www.justinmind.com/free-wireframe-tool" TargetMode="External"/><Relationship Id="rId19" Type="http://schemas.openxmlformats.org/officeDocument/2006/relationships/hyperlink" Target="https://colorhunt.co/" TargetMode="External"/><Relationship Id="rId18" Type="http://schemas.openxmlformats.org/officeDocument/2006/relationships/hyperlink" Target="https://coolors.co/"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GoogleSans-boldItalic.ttf"/><Relationship Id="rId11" Type="http://schemas.openxmlformats.org/officeDocument/2006/relationships/font" Target="fonts/Nunito-italic.ttf"/><Relationship Id="rId10" Type="http://schemas.openxmlformats.org/officeDocument/2006/relationships/font" Target="fonts/Nunito-bold.ttf"/><Relationship Id="rId13" Type="http://schemas.openxmlformats.org/officeDocument/2006/relationships/font" Target="fonts/Lato-regular.ttf"/><Relationship Id="rId12" Type="http://schemas.openxmlformats.org/officeDocument/2006/relationships/font" Target="fonts/Nunit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unito-regular.ttf"/><Relationship Id="rId15" Type="http://schemas.openxmlformats.org/officeDocument/2006/relationships/font" Target="fonts/Lato-italic.ttf"/><Relationship Id="rId14" Type="http://schemas.openxmlformats.org/officeDocument/2006/relationships/font" Target="fonts/Lato-bold.ttf"/><Relationship Id="rId17" Type="http://schemas.openxmlformats.org/officeDocument/2006/relationships/font" Target="fonts/GoogleSans-regular.ttf"/><Relationship Id="rId16" Type="http://schemas.openxmlformats.org/officeDocument/2006/relationships/font" Target="fonts/Lato-boldItalic.ttf"/><Relationship Id="rId5" Type="http://schemas.openxmlformats.org/officeDocument/2006/relationships/font" Target="fonts/RobotoMedium-regular.ttf"/><Relationship Id="rId19" Type="http://schemas.openxmlformats.org/officeDocument/2006/relationships/font" Target="fonts/GoogleSans-italic.ttf"/><Relationship Id="rId6" Type="http://schemas.openxmlformats.org/officeDocument/2006/relationships/font" Target="fonts/RobotoMedium-bold.ttf"/><Relationship Id="rId18" Type="http://schemas.openxmlformats.org/officeDocument/2006/relationships/font" Target="fonts/GoogleSans-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