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NPS ERP — System Overview</w:t>
      </w:r>
    </w:p>
    <w:p>
      <w:pPr>
        <w:spacing w:lineRule="auto"/>
      </w:pPr>
      <w:r>
        <w:rPr>
          <w:b/>
        </w:rPr>
        <w:t xml:space="preserve">Version:</w:t>
      </w:r>
      <w:r>
        <w:rPr/>
        <w:t xml:space="preserve"> 0.1.0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April 2026</w:t>
      </w:r>
      <w:r>
        <w:rPr/>
        <w:br w:type="textWrapping"/>
      </w:r>
      <w:r>
        <w:rPr>
          <w:b/>
        </w:rPr>
        <w:t xml:space="preserve">Industry:</w:t>
      </w:r>
      <w:r>
        <w:rPr/>
        <w:t xml:space="preserve"> Steel Pipe / Fitting / Flange Manufacturing &amp; Trading</w:t>
      </w:r>
      <w:r>
        <w:rPr/>
        <w:br w:type="textWrapping"/>
      </w:r>
      <w:r>
        <w:rPr>
          <w:b/>
        </w:rPr>
        <w:t xml:space="preserve">NPS:</w:t>
      </w:r>
      <w:r>
        <w:rPr/>
        <w:t xml:space="preserve"> Nominal Pipe Size (standard for pipe sizing)</w:t>
      </w:r>
    </w:p>
    <w:p>
      <w:pPr>
        <w:pStyle w:val="Heading2"/>
        <w:spacing w:lineRule="auto"/>
      </w:pPr>
      <w:r>
        <w:rPr/>
        <w:t xml:space="preserve">1. Purpose</w:t>
      </w:r>
    </w:p>
    <w:p>
      <w:pPr>
        <w:spacing w:lineRule="auto"/>
      </w:pPr>
      <w:r>
        <w:rPr/>
        <w:t xml:space="preserve">NPS ERP is a full-stack Enterprise Resource Planning system built for a steel products business. It covers the complete order-to-cash and procure-to-pay cycle — from initial customer quotation through procurement, inventory receipt, quality inspection, dispatch, and final invoicing.</w:t>
      </w:r>
    </w:p>
    <w:p>
      <w:pPr>
        <w:pStyle w:val="Heading2"/>
        <w:spacing w:lineRule="auto"/>
      </w:pPr>
      <w:r>
        <w:rPr/>
        <w:t xml:space="preserve">2. Technology Stack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16 (App Router), React 19, TypeScript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MySQL / MariaDB via Prisma 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NextAuth v4 (credentials provider, bcryptjs passwords)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Components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TailwindCSS v4, shadcn/ui (Radix primitives), Lucide icons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Recharts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Puppeteer Core + @sparticuz/chromium (server-side HTML→PDF)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Nodemailer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react-hook-form + zod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zustand (client), @tanstack/react-query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 Processing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xlsx library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App Router with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(dashboard)</w:t>
            </w:r>
          </w:p>
          <w:p>
            <w:pPr>
              <w:spacing w:lineRule="auto"/>
            </w:pPr>
            <w:r>
              <w:rPr/>
              <w:t xml:space="preserve"> route group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System Architecture</w:t>
      </w:r>
    </w:p>
    <w:p>
      <w:pPr>
        <w:spacing w:lineRule="auto"/>
      </w:pPr>
      <w:r>
        <w:rPr>
          <w:rFonts w:ascii="Courier" w:hAnsi="Courier"/>
        </w:rPr>
        <w:t xml:space="preserve">src/ ├── app/ │   ├── (dashboard)/          ← All protected pages (auth required) │   │   ├── page.tsx          ← Main dashboard/home │   │   ├── masters/          ← Reference data │   │   ├── quotations/       ← Sales quotations │   │   ├── sales/            ← Sales orders &amp; tracking │   │   ├── purchase/         ← Procurement workflow │   │   ├── inventory/        ← Stock management │   │   ├── quality/          ← Quality control │   │   ├── dispatch/         ← Shipping &amp; finance │   │   ├── po-acceptance/    ← PO acceptance letters │   │   ├── po-tracking/      ← Order tracking │   │   └── client-purchase-orders/ │   ├── api/                  ← Next.js API routes (REST) │   └── auth/                 ← Login page ├── components/ │   ├── layout/ │   │   └── sidebar.tsx       ← Navigation with role/module gating │   └── shared/               ← Reusable components (DataTable, PageHeader, etc.) ├── lib/ │   ├── prisma.ts             ← Prisma client singleton │   ├── rbac.ts               ← checkAccess(), checkAuth(), companyFilter() │   └── audit.ts              ← createAuditLog(), logApproval(), etc. └── prisma/     └── schema.prisma         ← Database schema (MySQL) </w:t>
      </w:r>
    </w:p>
    <w:p>
      <w:pPr>
        <w:pStyle w:val="Heading2"/>
        <w:spacing w:lineRule="auto"/>
      </w:pPr>
      <w:r>
        <w:rPr/>
        <w:t xml:space="preserve">4. Multi-Tenancy</w:t>
      </w:r>
    </w:p>
    <w:p>
      <w:pPr>
        <w:spacing w:lineRule="auto"/>
      </w:pPr>
      <w:r>
        <w:rPr/>
        <w:t xml:space="preserve">The system supports multiple companies. Every major entity has a </w:t>
      </w:r>
      <w:r>
        <w:rPr/>
        <w:t xml:space="preserve">companyId</w:t>
      </w:r>
      <w:r>
        <w:rPr/>
        <w:t xml:space="preserve"> field:</w:t>
      </w:r>
    </w:p>
    <w:p>
      <w:pPr>
        <w:numPr>
          <w:ilvl w:val="0"/>
          <w:numId w:val="1"/>
        </w:numPr>
        <w:spacing w:lineRule="auto"/>
      </w:pPr>
      <w:r>
        <w:rPr/>
        <w:t xml:space="preserve">All API routes call </w:t>
      </w:r>
      <w:r>
        <w:rPr/>
        <w:t xml:space="preserve">companyFilter(companyId)</w:t>
      </w:r>
      <w:r>
        <w:rPr/>
        <w:t xml:space="preserve"> to scope queries to the active company</w:t>
      </w:r>
    </w:p>
    <w:p>
      <w:pPr>
        <w:numPr>
          <w:ilvl w:val="0"/>
          <w:numId w:val="1"/>
        </w:numPr>
        <w:spacing w:lineRule="auto"/>
      </w:pPr>
      <w:r>
        <w:rPr/>
        <w:t xml:space="preserve">Users are linked to a company via </w:t>
      </w:r>
      <w:r>
        <w:rPr/>
        <w:t xml:space="preserve">companyId</w:t>
      </w:r>
      <w:r>
        <w:rPr/>
        <w:t xml:space="preserve"> on the </w:t>
      </w:r>
      <w:r>
        <w:rPr/>
        <w:t xml:space="preserve">User</w:t>
      </w:r>
      <w:r>
        <w:rPr/>
        <w:t xml:space="preserve"> model</w:t>
      </w:r>
    </w:p>
    <w:p>
      <w:pPr>
        <w:numPr>
          <w:ilvl w:val="0"/>
          <w:numId w:val="1"/>
        </w:numPr>
        <w:spacing w:lineRule="auto"/>
      </w:pPr>
      <w:r>
        <w:rPr/>
        <w:t xml:space="preserve">Admins can switch company context via </w:t>
      </w:r>
      <w:r>
        <w:rPr/>
        <w:t xml:space="preserve">/api/company/switch</w:t>
      </w:r>
    </w:p>
    <w:p>
      <w:pPr>
        <w:numPr>
          <w:ilvl w:val="0"/>
          <w:numId w:val="1"/>
        </w:numPr>
        <w:spacing w:lineRule="auto"/>
      </w:pPr>
      <w:r>
        <w:rPr/>
        <w:t xml:space="preserve">SUPER_ADMIN can access all companies</w:t>
      </w:r>
    </w:p>
    <w:p>
      <w:pPr>
        <w:pStyle w:val="Heading2"/>
        <w:spacing w:lineRule="auto"/>
      </w:pPr>
      <w:r>
        <w:rPr/>
        <w:t xml:space="preserve">5. Authentication &amp; Authorization</w:t>
      </w:r>
    </w:p>
    <w:p>
      <w:pPr>
        <w:pStyle w:val="Heading3"/>
        <w:spacing w:lineRule="auto"/>
      </w:pPr>
      <w:r>
        <w:rPr/>
        <w:t xml:space="preserve">Authentication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NextAuth v4</w:t>
      </w:r>
      <w:r>
        <w:rPr/>
        <w:t xml:space="preserve"> with credentials provider</w:t>
      </w:r>
    </w:p>
    <w:p>
      <w:pPr>
        <w:numPr>
          <w:ilvl w:val="0"/>
          <w:numId w:val="2"/>
        </w:numPr>
        <w:spacing w:lineRule="auto"/>
      </w:pPr>
      <w:r>
        <w:rPr/>
        <w:t xml:space="preserve">Passwords hashed with bcryptjs (salt rounds: 10)</w:t>
      </w:r>
    </w:p>
    <w:p>
      <w:pPr>
        <w:numPr>
          <w:ilvl w:val="0"/>
          <w:numId w:val="2"/>
        </w:numPr>
        <w:spacing w:lineRule="auto"/>
      </w:pPr>
      <w:r>
        <w:rPr/>
        <w:t xml:space="preserve">Session stored in JWT</w:t>
      </w:r>
    </w:p>
    <w:p>
      <w:pPr>
        <w:numPr>
          <w:ilvl w:val="0"/>
          <w:numId w:val="2"/>
        </w:numPr>
        <w:spacing w:lineRule="auto"/>
      </w:pPr>
      <w:r>
        <w:rPr/>
        <w:t xml:space="preserve">middleware.ts</w:t>
      </w:r>
      <w:r>
        <w:rPr/>
        <w:t xml:space="preserve"> protects all </w:t>
      </w:r>
      <w:r>
        <w:rPr/>
        <w:t xml:space="preserve">(dashboard)</w:t>
      </w:r>
      <w:r>
        <w:rPr/>
        <w:t xml:space="preserve"> routes — redirects unauthenticated users to </w:t>
      </w:r>
      <w:r>
        <w:rPr/>
        <w:t xml:space="preserve">/auth/signin</w:t>
      </w:r>
    </w:p>
    <w:p>
      <w:pPr>
        <w:numPr>
          <w:ilvl w:val="0"/>
          <w:numId w:val="2"/>
        </w:numPr>
        <w:spacing w:lineRule="auto"/>
      </w:pPr>
      <w:r>
        <w:rPr/>
        <w:t xml:space="preserve">Last login time and IP address recorded on each login</w:t>
      </w:r>
    </w:p>
    <w:p>
      <w:pPr>
        <w:pStyle w:val="Heading3"/>
        <w:spacing w:lineRule="auto"/>
      </w:pPr>
      <w:r>
        <w:rPr/>
        <w:t xml:space="preserve">Roles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Access Level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SUPER_ADMIN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administrator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modules + all companies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 administrator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modules within company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Senior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 access to all + management reports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Quotations, Sales, Customer masters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Purchase, Vendor masters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Quality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Quality, Inventory (view)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Inventory, Dispatch (packing)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Dispatch (invoices, payments), Finance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Module Access (per Employee)</w:t>
      </w:r>
    </w:p>
    <w:p>
      <w:pPr>
        <w:spacing w:lineRule="auto"/>
      </w:pPr>
      <w:r>
        <w:rPr/>
        <w:t xml:space="preserve">In addition to roles, each employee can have granular module access: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masters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masters/reference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quotation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Quotation creation and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orders and fulfillment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purchase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workflow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and GRN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Quality 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Dispatch and shipping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Invoices and payments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 and analytics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Module access is stored as a JSON array string in the </w:t>
      </w:r>
      <w:r>
        <w:rPr/>
        <w:t xml:space="preserve">EmployeeMaster.moduleAccess</w:t>
      </w:r>
      <w:r>
        <w:rPr/>
        <w:t xml:space="preserve"> (LongText) field.</w:t>
      </w:r>
    </w:p>
    <w:p>
      <w:pPr>
        <w:pStyle w:val="Heading2"/>
        <w:spacing w:lineRule="auto"/>
      </w:pPr>
      <w:r>
        <w:rPr/>
        <w:t xml:space="preserve">6. Core Library Functions</w:t>
      </w:r>
    </w:p>
    <w:p>
      <w:pPr>
        <w:pStyle w:val="Heading3"/>
        <w:spacing w:lineRule="auto"/>
      </w:pPr>
      <w:r>
        <w:rPr/>
        <w:t xml:space="preserve">RBAC (</w:t>
      </w:r>
      <w:r>
        <w:rPr/>
        <w:t xml:space="preserve">src/lib/rbac.ts</w:t>
      </w:r>
      <w:r>
        <w:rPr/>
        <w:t xml:space="preserve">)</w:t>
      </w:r>
    </w:p>
    <w:p>
      <w:pPr>
        <w:spacing w:lineRule="auto"/>
      </w:pPr>
      <w:r>
        <w:rPr>
          <w:rFonts w:ascii="Courier" w:hAnsi="Courier"/>
        </w:rPr>
        <w:t xml:space="preserve">checkAccess(moduleKey, permission)   → { authorized, session, response, companyId }  checkAuth()   → { authorized, response, companyId }  companyFilter(companyId)   → Prisma where clause: { companyId } or {} for SUPER_ADMIN </w:t>
      </w:r>
    </w:p>
    <w:p>
      <w:pPr>
        <w:pStyle w:val="Heading3"/>
        <w:spacing w:lineRule="auto"/>
      </w:pPr>
      <w:r>
        <w:rPr/>
        <w:t xml:space="preserve">Audit Logging (</w:t>
      </w:r>
      <w:r>
        <w:rPr/>
        <w:t xml:space="preserve">src/lib/audit.ts</w:t>
      </w:r>
      <w:r>
        <w:rPr/>
        <w:t xml:space="preserve">)</w:t>
      </w:r>
    </w:p>
    <w:p>
      <w:pPr>
        <w:spacing w:lineRule="auto"/>
      </w:pPr>
      <w:r>
        <w:rPr/>
        <w:t xml:space="preserve">Every create, update, and delete action is logged:</w:t>
      </w:r>
    </w:p>
    <w:p>
      <w:pPr>
        <w:spacing w:lineRule="auto"/>
      </w:pPr>
      <w:r>
        <w:rPr>
          <w:rFonts w:ascii="Courier" w:hAnsi="Courier"/>
        </w:rPr>
        <w:t xml:space="preserve">createAuditLog({ tableName, recordId, action, userId, companyId }) logCreate(...)       ← on record creation logApproval(...)     ← on approval/rejection logAuthEvent(...)    ← on login/logout getAuditContext()    ← extracts IP + user agent from request </w:t>
      </w:r>
    </w:p>
    <w:p>
      <w:pPr>
        <w:pStyle w:val="Heading2"/>
        <w:spacing w:lineRule="auto"/>
      </w:pPr>
      <w:r>
        <w:rPr/>
        <w:t xml:space="preserve">7. Document Numbering</w:t>
      </w:r>
    </w:p>
    <w:p>
      <w:pPr>
        <w:spacing w:lineRule="auto"/>
      </w:pPr>
      <w:r>
        <w:rPr/>
        <w:t xml:space="preserve">All transactional documents use a consistent numbering format:</w:t>
      </w:r>
    </w:p>
    <w:p>
      <w:pPr>
        <w:spacing w:lineRule="auto"/>
      </w:pPr>
      <w:r>
        <w:rPr>
          <w:rFonts w:ascii="Courier" w:hAnsi="Courier"/>
        </w:rPr>
        <w:t xml:space="preserve">{PREFIX}/{FINANCIAL_YEAR}/{SEQUENCE}  Examples:   QT/2425/0001    ← Quotation, FY 2024-25, sequence 1   SO/2425/0001    ← Sales Order   PO/2425/0001    ← Purchase Order   GRN/2425/0001   ← Goods Receipt Note   INV/2425/0001   ← Invoice   HT/2425/0001    ← Heat Number </w:t>
      </w:r>
    </w:p>
    <w:p>
      <w:pPr>
        <w:spacing w:lineRule="auto"/>
      </w:pPr>
      <w:r>
        <w:rPr/>
        <w:t xml:space="preserve">Financial year is determined from the current date (April–March in India). </w:t>
      </w:r>
      <w:r>
        <w:rPr/>
        <w:t xml:space="preserve">getCurrentFinancialYear()</w:t>
      </w:r>
      <w:r>
        <w:rPr/>
        <w:t xml:space="preserve"> — returns current FY string </w:t>
      </w:r>
      <w:r>
        <w:rPr/>
        <w:t xml:space="preserve">generateDocumentNumber(prefix, companyId)</w:t>
      </w:r>
      <w:r>
        <w:rPr/>
        <w:t xml:space="preserve"> — auto-increments per company per FY</w:t>
      </w:r>
    </w:p>
    <w:p>
      <w:pPr>
        <w:pStyle w:val="Heading2"/>
        <w:spacing w:lineRule="auto"/>
      </w:pPr>
      <w:r>
        <w:rPr/>
        <w:t xml:space="preserve">8. PDF Generation</w:t>
      </w:r>
    </w:p>
    <w:p>
      <w:pPr>
        <w:spacing w:lineRule="auto"/>
      </w:pPr>
      <w:r>
        <w:rPr/>
        <w:t xml:space="preserve">Two methods are used depending on complexity:</w:t>
      </w:r>
    </w:p>
    <w:p>
      <w:pPr>
        <w:pStyle w:val="Heading3"/>
        <w:spacing w:lineRule="auto"/>
      </w:pPr>
      <w:r>
        <w:rPr/>
        <w:t xml:space="preserve">Puppeteer (complex documents)</w:t>
      </w:r>
    </w:p>
    <w:p>
      <w:pPr>
        <w:spacing w:lineRule="auto"/>
      </w:pPr>
      <w:r>
        <w:rPr/>
        <w:t xml:space="preserve">Used for: Quotation PDF, Invoice PDF, Packing List, Dispatch Note, Inspection Offer, Lab Letter, Dossier Bundle</w:t>
      </w:r>
    </w:p>
    <w:p>
      <w:pPr>
        <w:numPr>
          <w:ilvl w:val="0"/>
          <w:numId w:val="3"/>
        </w:numPr>
        <w:spacing w:lineRule="auto"/>
      </w:pPr>
      <w:r>
        <w:rPr/>
        <w:t xml:space="preserve">renderHtmlToPdf(html)</w:t>
      </w:r>
      <w:r>
        <w:rPr/>
        <w:t xml:space="preserve"> — renders HTML string to PDF buffer using headless Chromium</w:t>
      </w:r>
    </w:p>
    <w:p>
      <w:pPr>
        <w:numPr>
          <w:ilvl w:val="0"/>
          <w:numId w:val="3"/>
        </w:numPr>
        <w:spacing w:lineRule="auto"/>
      </w:pPr>
      <w:r>
        <w:rPr/>
        <w:t xml:space="preserve">@sparticuz/chromium</w:t>
      </w:r>
      <w:r>
        <w:rPr/>
        <w:t xml:space="preserve"> — Chromium binary optimized for serverless</w:t>
      </w:r>
    </w:p>
    <w:p>
      <w:pPr>
        <w:pStyle w:val="Heading3"/>
        <w:spacing w:lineRule="auto"/>
      </w:pPr>
      <w:r>
        <w:rPr/>
        <w:t xml:space="preserve">Helper Functions (HTML generation)</w:t>
      </w:r>
    </w:p>
    <w:p>
      <w:pPr>
        <w:spacing w:lineRule="auto"/>
      </w:pPr>
      <w:r>
        <w:rPr>
          <w:rFonts w:ascii="Courier" w:hAnsi="Courier"/>
        </w:rPr>
        <w:t xml:space="preserve">generateInvoiceHtml()              ← Invoice PDF template generateNonStandardQuotationHtml() ← Non-standard quotation generateInspectionOfferHtml()      ← Inspection offer letter generateColourCodeHtml()           ← Colour coding sheet generateCriteriaChecklistHtml()    ← QC criteria checklist generateLengthTallyHtml()          ← Length tally sheet generatePOAcceptanceLetterHtml()   ← PO acceptance letter generateClientStatusReportHtml()   ← Client status report </w:t>
      </w:r>
    </w:p>
    <w:p>
      <w:pPr>
        <w:pStyle w:val="Heading3"/>
        <w:spacing w:lineRule="auto"/>
      </w:pPr>
      <w:r>
        <w:rPr/>
        <w:t xml:space="preserve">Common Utility Functions</w:t>
      </w:r>
    </w:p>
    <w:p>
      <w:pPr>
        <w:spacing w:lineRule="auto"/>
      </w:pPr>
      <w:r>
        <w:rPr>
          <w:rFonts w:ascii="Courier" w:hAnsi="Courier"/>
        </w:rPr>
        <w:t xml:space="preserve">escapeHtml(str)             ← XSS-safe HTML escaping formatDate(date)            ← dd/MM/yyyy format formatNumber(n)             ← thousands separator formatCurrency(n)           ← ₹ with Indian formatting numberToWords(n)            ← "Rupees One Lakh..." convertToIndianWords(n)     ← Indian number system words nl2br(str)                  ← newline to &lt;br&gt; </w:t>
      </w:r>
    </w:p>
    <w:p>
      <w:pPr>
        <w:pStyle w:val="Heading2"/>
        <w:spacing w:lineRule="auto"/>
      </w:pPr>
      <w:r>
        <w:rPr/>
        <w:t xml:space="preserve">9. Email System</w:t>
      </w:r>
    </w:p>
    <w:p>
      <w:pPr>
        <w:spacing w:lineRule="auto"/>
      </w:pPr>
      <w:r>
        <w:rPr/>
        <w:t xml:space="preserve">All email is sent via </w:t>
      </w:r>
      <w:r>
        <w:rPr>
          <w:b/>
        </w:rPr>
        <w:t xml:space="preserve">Nodemailer</w:t>
      </w:r>
      <w:r>
        <w:rPr/>
        <w:t xml:space="preserve"> using SMTP configuration from environment variables.</w:t>
      </w:r>
    </w:p>
    <w:p>
      <w:pPr>
        <w:spacing w:lineRule="auto"/>
      </w:pPr>
      <w:r>
        <w:rPr/>
        <w:t xml:space="preserve">Email logs are maintained per document type:</w:t>
      </w:r>
    </w:p>
    <w:p>
      <w:pPr>
        <w:numPr>
          <w:ilvl w:val="0"/>
          <w:numId w:val="4"/>
        </w:numPr>
        <w:spacing w:lineRule="auto"/>
      </w:pPr>
      <w:r>
        <w:rPr/>
        <w:t xml:space="preserve">QuotationEmailLog</w:t>
      </w:r>
      <w:r>
        <w:rPr/>
        <w:t xml:space="preserve"> — quotation emails</w:t>
      </w:r>
    </w:p>
    <w:p>
      <w:pPr>
        <w:numPr>
          <w:ilvl w:val="0"/>
          <w:numId w:val="4"/>
        </w:numPr>
        <w:spacing w:lineRule="auto"/>
      </w:pPr>
      <w:r>
        <w:rPr/>
        <w:t xml:space="preserve">InvoiceEmailLog</w:t>
      </w:r>
      <w:r>
        <w:rPr/>
        <w:t xml:space="preserve"> — invoice emails</w:t>
      </w:r>
    </w:p>
    <w:p>
      <w:pPr>
        <w:numPr>
          <w:ilvl w:val="0"/>
          <w:numId w:val="4"/>
        </w:numPr>
        <w:spacing w:lineRule="auto"/>
      </w:pPr>
      <w:r>
        <w:rPr/>
        <w:t xml:space="preserve">POAcceptanceEmailLog</w:t>
      </w:r>
      <w:r>
        <w:rPr/>
        <w:t xml:space="preserve"> — PO acceptance emails</w:t>
      </w:r>
    </w:p>
    <w:p>
      <w:pPr>
        <w:spacing w:lineRule="auto"/>
      </w:pPr>
      <w:r>
        <w:rPr/>
        <w:t xml:space="preserve">Each log records: sender (User), recipient, subject, sentAt timestamp.</w:t>
      </w:r>
    </w:p>
    <w:p>
      <w:pPr>
        <w:pStyle w:val="Heading2"/>
        <w:spacing w:lineRule="auto"/>
      </w:pPr>
      <w:r>
        <w:rPr/>
        <w:t xml:space="preserve">10. GST / E-Invoice</w:t>
      </w:r>
    </w:p>
    <w:p>
      <w:pPr>
        <w:spacing w:lineRule="auto"/>
      </w:pPr>
      <w:r>
        <w:rPr/>
        <w:t xml:space="preserve">For Indian GST compliance:</w:t>
      </w:r>
    </w:p>
    <w:p>
      <w:pPr>
        <w:numPr>
          <w:ilvl w:val="0"/>
          <w:numId w:val="5"/>
        </w:numPr>
        <w:spacing w:lineRule="auto"/>
      </w:pPr>
      <w:r>
        <w:rPr/>
        <w:t xml:space="preserve">generateEInvoiceJSON()</w:t>
      </w:r>
      <w:r>
        <w:rPr/>
        <w:t xml:space="preserve"> — produces IRN-format JSON for GST portal submission</w:t>
      </w:r>
    </w:p>
    <w:p>
      <w:pPr>
        <w:numPr>
          <w:ilvl w:val="0"/>
          <w:numId w:val="5"/>
        </w:numPr>
        <w:spacing w:lineRule="auto"/>
      </w:pPr>
      <w:r>
        <w:rPr/>
        <w:t xml:space="preserve">determineSupplyType()</w:t>
      </w:r>
      <w:r>
        <w:rPr/>
        <w:t xml:space="preserve"> — B2B, B2C, EXPWP (export with payment), EXPWOP (export without payment)</w:t>
      </w:r>
    </w:p>
    <w:p>
      <w:pPr>
        <w:numPr>
          <w:ilvl w:val="0"/>
          <w:numId w:val="5"/>
        </w:numPr>
        <w:spacing w:lineRule="auto"/>
      </w:pPr>
      <w:r>
        <w:rPr/>
        <w:t xml:space="preserve">extractStateCode()</w:t>
      </w:r>
      <w:r>
        <w:rPr/>
        <w:t xml:space="preserve"> — extracts 2-digit state code from GSTIN</w:t>
      </w:r>
    </w:p>
    <w:p>
      <w:pPr>
        <w:numPr>
          <w:ilvl w:val="0"/>
          <w:numId w:val="5"/>
        </w:numPr>
        <w:spacing w:lineRule="auto"/>
      </w:pPr>
      <w:r>
        <w:rPr/>
        <w:t xml:space="preserve">/api/gst/search</w:t>
      </w:r>
      <w:r>
        <w:rPr/>
        <w:t xml:space="preserve"> — GST number lookup API</w:t>
      </w:r>
    </w:p>
    <w:p>
      <w:pPr>
        <w:spacing w:lineRule="auto"/>
      </w:pPr>
      <w:r>
        <w:rPr/>
        <w:t xml:space="preserve">Tax types on invoices: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CGST + SGST</w:t>
      </w:r>
      <w:r>
        <w:rPr/>
        <w:t xml:space="preserve"> — intra-state supply (both seller and buyer in same state)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IGST</w:t>
      </w:r>
      <w:r>
        <w:rPr/>
        <w:t xml:space="preserve"> — inter-state supply (different states)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Zero-rated</w:t>
      </w:r>
      <w:r>
        <w:rPr/>
        <w:t xml:space="preserve"> — exports</w:t>
      </w:r>
    </w:p>
    <w:p>
      <w:pPr>
        <w:pStyle w:val="Heading2"/>
        <w:spacing w:lineRule="auto"/>
      </w:pPr>
      <w:r>
        <w:rPr/>
        <w:t xml:space="preserve">11. Module Map &amp; Data Flow</w:t>
      </w:r>
    </w:p>
    <w:p>
      <w:pPr>
        <w:pStyle w:val="Heading3"/>
        <w:spacing w:lineRule="auto"/>
      </w:pPr>
      <w:r>
        <w:rPr/>
        <w:t xml:space="preserve">Complete Business Flow</w:t>
      </w:r>
    </w:p>
    <w:p>
      <w:pPr>
        <w:spacing w:lineRule="auto"/>
      </w:pPr>
      <w:r>
        <w:rPr>
          <w:rFonts w:ascii="Courier" w:hAnsi="Courier"/>
        </w:rPr>
        <w:t xml:space="preserve">QUOTATION     ↓ (won) SALES ORDER ←────────────────────────────────┐     ↓                                         │ PURCHASE REQUISITION → RFQ → COMPARATIVE      │                               STATEMENT        │                                 ↓              │                           PURCHASE ORDER       │                                 ↓              │                     GOODS RECEIPT NOTE (GRN)   │                                 ↓              │                         INVENTORY STOCK        │                      (UNDER_INSPECTION)        │                                 ↓              │               ┌─────────────────┼──────────────┐               ↓                 ↓              ↓          INSPECTION     HEAT ENTRY +     LAB LETTER →               ↓         MTC DOCUMENT     LAB REPORT          QC RELEASE          ↓               ↓       INSPECTION OFFER          ACCEPTED             ↓          STOCK           INSPECTION               ↓         (PASS/FAIL)         RESERVED (against SO)               ↓          PACKING LIST               ↓          DISPATCH NOTE               ↓            INVOICE → E-INVOICE (GST)               ↓          PAYMENT RECEIPT </w:t>
      </w:r>
    </w:p>
    <w:p>
      <w:pPr>
        <w:pStyle w:val="Heading3"/>
        <w:spacing w:lineRule="auto"/>
      </w:pPr>
      <w:r>
        <w:rPr/>
        <w:t xml:space="preserve">Module Relationships Summary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Feeds Into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Receives From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modules (reference data)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Customer, Employee, Size, Payment Terms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Acceptance, PO Tracking, Packing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Quotation, Customer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PR, RFQ, CS, Vendor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Quality, 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GRN, Purchase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acceptance, NCR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 Stock, Vendor, TPI Agency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Dispatch &amp; 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 customer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Packing List, Dispatch Note, Invoice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Alerts System</w:t>
      </w:r>
    </w:p>
    <w:p>
      <w:pPr>
        <w:spacing w:lineRule="auto"/>
      </w:pPr>
      <w:r>
        <w:rPr/>
        <w:t xml:space="preserve">System-wide notification center (</w:t>
      </w:r>
      <w:r>
        <w:rPr/>
        <w:t xml:space="preserve">/alerts</w:t>
      </w:r>
      <w:r>
        <w:rPr/>
        <w:t xml:space="preserve">):</w:t>
      </w:r>
    </w:p>
    <w:p>
      <w:pPr>
        <w:numPr>
          <w:ilvl w:val="0"/>
          <w:numId w:val="7"/>
        </w:numPr>
        <w:spacing w:lineRule="auto"/>
      </w:pPr>
      <w:r>
        <w:rPr/>
        <w:t xml:space="preserve">Notifications for pending approvals, low stock, overdue POs</w:t>
      </w:r>
    </w:p>
    <w:p>
      <w:pPr>
        <w:numPr>
          <w:ilvl w:val="0"/>
          <w:numId w:val="7"/>
        </w:numPr>
        <w:spacing w:lineRule="auto"/>
      </w:pPr>
      <w:r>
        <w:rPr/>
        <w:t xml:space="preserve">Mark individual or all alerts as read</w:t>
      </w:r>
    </w:p>
    <w:p>
      <w:pPr>
        <w:numPr>
          <w:ilvl w:val="0"/>
          <w:numId w:val="7"/>
        </w:numPr>
        <w:spacing w:lineRule="auto"/>
      </w:pPr>
      <w:r>
        <w:rPr/>
        <w:t xml:space="preserve">API: </w:t>
      </w:r>
      <w:r>
        <w:rPr/>
        <w:t xml:space="preserve">GET/POST /api/alerts</w:t>
      </w:r>
      <w:r>
        <w:rPr/>
        <w:t xml:space="preserve">, </w:t>
      </w:r>
      <w:r>
        <w:rPr/>
        <w:t xml:space="preserve">PATCH /api/alerts/[id]</w:t>
      </w:r>
    </w:p>
    <w:p>
      <w:pPr>
        <w:pStyle w:val="Heading2"/>
        <w:spacing w:lineRule="auto"/>
      </w:pPr>
      <w:r>
        <w:rPr/>
        <w:t xml:space="preserve">13. Key Business Concepts</w:t>
      </w:r>
    </w:p>
    <w:p>
      <w:pPr>
        <w:pStyle w:val="Heading3"/>
        <w:spacing w:lineRule="auto"/>
      </w:pPr>
      <w:r>
        <w:rPr/>
        <w:t xml:space="preserve">Heat Number</w:t>
      </w:r>
    </w:p>
    <w:p>
      <w:pPr>
        <w:spacing w:lineRule="auto"/>
      </w:pPr>
      <w:r>
        <w:rPr/>
        <w:t xml:space="preserve">A heat number (e.g. </w:t>
      </w:r>
      <w:r>
        <w:rPr/>
        <w:t xml:space="preserve">HT/2425/0001</w:t>
      </w:r>
      <w:r>
        <w:rPr/>
        <w:t xml:space="preserve">) is the primary traceability identifier in the steel industry. It traces a batch of steel from:</w:t>
      </w:r>
    </w:p>
    <w:p>
      <w:pPr>
        <w:numPr>
          <w:ilvl w:val="0"/>
          <w:numId w:val="8"/>
        </w:numPr>
        <w:spacing w:lineRule="auto"/>
      </w:pPr>
      <w:r>
        <w:rPr/>
        <w:t xml:space="preserve">Quotation item (where it's first generated)</w:t>
      </w:r>
    </w:p>
    <w:p>
      <w:pPr>
        <w:numPr>
          <w:ilvl w:val="0"/>
          <w:numId w:val="8"/>
        </w:numPr>
        <w:spacing w:lineRule="auto"/>
      </w:pPr>
      <w:r>
        <w:rPr/>
        <w:t xml:space="preserve">→ Purchase Order (what was ordered)</w:t>
      </w:r>
    </w:p>
    <w:p>
      <w:pPr>
        <w:numPr>
          <w:ilvl w:val="0"/>
          <w:numId w:val="8"/>
        </w:numPr>
        <w:spacing w:lineRule="auto"/>
      </w:pPr>
      <w:r>
        <w:rPr/>
        <w:t xml:space="preserve">→ GRN (what arrived)</w:t>
      </w:r>
    </w:p>
    <w:p>
      <w:pPr>
        <w:numPr>
          <w:ilvl w:val="0"/>
          <w:numId w:val="8"/>
        </w:numPr>
        <w:spacing w:lineRule="auto"/>
      </w:pPr>
      <w:r>
        <w:rPr/>
        <w:t xml:space="preserve">→ Inventory Stock (where it's stored)</w:t>
      </w:r>
    </w:p>
    <w:p>
      <w:pPr>
        <w:numPr>
          <w:ilvl w:val="0"/>
          <w:numId w:val="8"/>
        </w:numPr>
        <w:spacing w:lineRule="auto"/>
      </w:pPr>
      <w:r>
        <w:rPr/>
        <w:t xml:space="preserve">→ Inspection (quality check)</w:t>
      </w:r>
    </w:p>
    <w:p>
      <w:pPr>
        <w:numPr>
          <w:ilvl w:val="0"/>
          <w:numId w:val="8"/>
        </w:numPr>
        <w:spacing w:lineRule="auto"/>
      </w:pPr>
      <w:r>
        <w:rPr/>
        <w:t xml:space="preserve">→ MTC (mill test certificate)</w:t>
      </w:r>
    </w:p>
    <w:p>
      <w:pPr>
        <w:numPr>
          <w:ilvl w:val="0"/>
          <w:numId w:val="8"/>
        </w:numPr>
        <w:spacing w:lineRule="auto"/>
      </w:pPr>
      <w:r>
        <w:rPr/>
        <w:t xml:space="preserve">→ Packing List (what was packed)</w:t>
      </w:r>
    </w:p>
    <w:p>
      <w:pPr>
        <w:numPr>
          <w:ilvl w:val="0"/>
          <w:numId w:val="8"/>
        </w:numPr>
        <w:spacing w:lineRule="auto"/>
      </w:pPr>
      <w:r>
        <w:rPr/>
        <w:t xml:space="preserve">→ Dispatch Note (when it left)</w:t>
      </w:r>
    </w:p>
    <w:p>
      <w:pPr>
        <w:numPr>
          <w:ilvl w:val="0"/>
          <w:numId w:val="8"/>
        </w:numPr>
        <w:spacing w:lineRule="auto"/>
      </w:pPr>
      <w:r>
        <w:rPr/>
        <w:t xml:space="preserve">→ Invoice (what was billed)</w:t>
      </w:r>
    </w:p>
    <w:p>
      <w:pPr>
        <w:spacing w:lineRule="auto"/>
      </w:pPr>
      <w:r>
        <w:rPr/>
        <w:t xml:space="preserve">The Heat Lifecycle page (</w:t>
      </w:r>
      <w:r>
        <w:rPr/>
        <w:t xml:space="preserve">/inventory/heat-lifecycle</w:t>
      </w:r>
      <w:r>
        <w:rPr/>
        <w:t xml:space="preserve">) provides end-to-end trace of any heat number.</w:t>
      </w:r>
    </w:p>
    <w:p>
      <w:pPr>
        <w:pStyle w:val="Heading3"/>
        <w:spacing w:lineRule="auto"/>
      </w:pPr>
      <w:r>
        <w:rPr/>
        <w:t xml:space="preserve">NPS (Nominal Pipe Size)</w:t>
      </w:r>
    </w:p>
    <w:p>
      <w:pPr>
        <w:spacing w:lineRule="auto"/>
      </w:pPr>
      <w:r>
        <w:rPr/>
        <w:t xml:space="preserve">Standard US/international pipe sizing system. Example: NPS 2" Schedule 40 = 2-inch nominal diameter, standard wall thickness. Every pipe/fitting/flange in the system is identified by NPS + Schedule.</w:t>
      </w:r>
    </w:p>
    <w:p>
      <w:pPr>
        <w:pStyle w:val="Heading3"/>
        <w:spacing w:lineRule="auto"/>
      </w:pPr>
      <w:r>
        <w:rPr/>
        <w:t xml:space="preserve">TPI (Third Party Inspection)</w:t>
      </w:r>
    </w:p>
    <w:p>
      <w:pPr>
        <w:spacing w:lineRule="auto"/>
      </w:pPr>
      <w:r>
        <w:rPr/>
        <w:t xml:space="preserve">Independent inspection agencies that certify material quality on behalf of the customer. The TPI agency is linked to quotations, purchase orders, inspections, inspection offers, and lab letters.</w:t>
      </w:r>
    </w:p>
    <w:p>
      <w:pPr>
        <w:pStyle w:val="Heading3"/>
        <w:spacing w:lineRule="auto"/>
      </w:pPr>
      <w:r>
        <w:rPr/>
        <w:t xml:space="preserve">MTC (Mill Test Certificate)</w:t>
      </w:r>
    </w:p>
    <w:p>
      <w:pPr>
        <w:spacing w:lineRule="auto"/>
      </w:pPr>
      <w:r>
        <w:rPr/>
        <w:t xml:space="preserve">A document provided by the steel mill certifying the chemical composition and mechanical properties of the material. Every heat of material should have an MTC. MTCs are:</w:t>
      </w:r>
    </w:p>
    <w:p>
      <w:pPr>
        <w:numPr>
          <w:ilvl w:val="0"/>
          <w:numId w:val="9"/>
        </w:numPr>
        <w:spacing w:lineRule="auto"/>
      </w:pPr>
      <w:r>
        <w:rPr/>
        <w:t xml:space="preserve">Received with GRN</w:t>
      </w:r>
    </w:p>
    <w:p>
      <w:pPr>
        <w:numPr>
          <w:ilvl w:val="0"/>
          <w:numId w:val="9"/>
        </w:numPr>
        <w:spacing w:lineRule="auto"/>
      </w:pPr>
      <w:r>
        <w:rPr/>
        <w:t xml:space="preserve">Stored in MTC Repository</w:t>
      </w:r>
    </w:p>
    <w:p>
      <w:pPr>
        <w:numPr>
          <w:ilvl w:val="0"/>
          <w:numId w:val="9"/>
        </w:numPr>
        <w:spacing w:lineRule="auto"/>
      </w:pPr>
      <w:r>
        <w:rPr/>
        <w:t xml:space="preserve">Verified (PENDING → VERIFIED / DISCREPANT)</w:t>
      </w:r>
    </w:p>
    <w:p>
      <w:pPr>
        <w:numPr>
          <w:ilvl w:val="0"/>
          <w:numId w:val="9"/>
        </w:numPr>
        <w:spacing w:lineRule="auto"/>
      </w:pPr>
      <w:r>
        <w:rPr/>
        <w:t xml:space="preserve">Included in customer dossier</w:t>
      </w:r>
    </w:p>
    <w:p>
      <w:pPr>
        <w:pStyle w:val="Heading3"/>
        <w:spacing w:lineRule="auto"/>
      </w:pPr>
      <w:r>
        <w:rPr/>
        <w:t xml:space="preserve">Financial Year</w:t>
      </w:r>
    </w:p>
    <w:p>
      <w:pPr>
        <w:spacing w:lineRule="auto"/>
      </w:pPr>
      <w:r>
        <w:rPr/>
        <w:t xml:space="preserve">Indian financial year runs April to March (e.g. FY 2024-25 = April 2024 to March 2025). All document numbers reset per FY per company.</w:t>
      </w:r>
    </w:p>
    <w:p>
      <w:pPr>
        <w:pStyle w:val="Heading2"/>
        <w:spacing w:lineRule="auto"/>
      </w:pPr>
      <w:r>
        <w:rPr/>
        <w:t xml:space="preserve">14. Environment &amp; Deployment</w:t>
      </w:r>
    </w:p>
    <w:p>
      <w:pPr>
        <w:spacing w:lineRule="auto"/>
      </w:pPr>
      <w:r>
        <w:rPr>
          <w:rFonts w:ascii="Courier" w:hAnsi="Courier"/>
        </w:rPr>
        <w:t xml:space="preserve">NEXTAUTH_SECRET       ← Session encryption key NEXTAUTH_URL          ← Base URL DATABASE_URL          ← MySQL connection string SMTP_HOST             ← Email server SMTP_PORT             ← Email port SMTP_USER             ← Email username SMTP_PASS             ← Email password SMTP_FROM             ← From address </w:t>
      </w:r>
    </w:p>
    <w:p>
      <w:pPr>
        <w:spacing w:lineRule="auto"/>
      </w:pPr>
      <w:r>
        <w:rPr/>
        <w:t xml:space="preserve">Build command: </w:t>
      </w:r>
      <w:r>
        <w:rPr/>
        <w:t xml:space="preserve">prisma generate &amp;&amp; next build</w:t>
      </w:r>
      <w:r>
        <w:rPr/>
        <w:t xml:space="preserve"> Start command: </w:t>
      </w:r>
      <w:r>
        <w:rPr/>
        <w:t xml:space="preserve">next start</w:t>
      </w:r>
      <w:r>
        <w:rPr/>
        <w:t xml:space="preserve"> Seed: </w:t>
      </w:r>
      <w:r>
        <w:rPr/>
        <w:t xml:space="preserve">tsx prisma/seed.ts</w:t>
      </w:r>
    </w:p>
    <w:p>
      <w:pPr>
        <w:pStyle w:val="Heading2"/>
        <w:spacing w:lineRule="auto"/>
      </w:pPr>
      <w:r>
        <w:rPr/>
        <w:t xml:space="preserve">15. Document Index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01-overview.md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document — system overview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02-masters.md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Masters / Reference Data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03-quotation.md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Quotation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04-sales.md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05-purchase.md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06-inventory.md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07-quality.md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Quality Control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08-dispatch-finance.md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Dispatch &amp; Finance module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2026-04-14T10:51:55.863Z</dcterms:created>
  <dcterms:modified xsi:type="dcterms:W3CDTF">2026-04-14T10:51:55.863Z</dcterms:modified>
</cp:coreProperties>
</file>