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E’ importante gestire la propria produzione editoriale e tutto ciò che ne è collegato (come le risorse multimediali).</w:t>
        <w:br w:type="textWrapping"/>
        <w:t xml:space="preserve">Perciò questa tabella riassuntiva aiuta a mantenere ordine e gestire in modo efficiente contenuti e personale dedicato.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NOME ARTICOLO + link: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105"/>
        <w:gridCol w:w="4429"/>
        <w:tblGridChange w:id="0">
          <w:tblGrid>
            <w:gridCol w:w="4320"/>
            <w:gridCol w:w="105"/>
            <w:gridCol w:w="4429"/>
          </w:tblGrid>
        </w:tblGridChange>
      </w:tblGrid>
      <w:t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Domande pre-produzione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Perché dovrei leggere questo contenuto?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Qual’è il valore aggiunto? 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CTA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cosa riceve l’utente in cambio?</w:t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[sito web]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parole chiave: 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Meta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Titolo(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SEO-friendly)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URL(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SEO-friendly)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Contenuti: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titolo1 + tematica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titolo2 + tematica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titolo3...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Immagini: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Lista di tutte le immagini disponibili per gli utenti ed i link di riferimento.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77xy5pyql3yd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risorse: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Lista di tutte le risorse disponibili per gli utenti ed i link di riferimento.</w:t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Media: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 è presente un vid nell’articolo, assicurarsi che sia online e registrare il link: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video1 + link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video2 + link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video3...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Supporto: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C’è necessità di supporto per l’aggiornamento dell’articolo?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L’articolo deve essere spubblicato dopo un periodo?</w:t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considerazioni tecniche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E’ necessario l’intervento di un tecnico specializzato per la pubblicazione e gestione dell’articolo?</w:t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