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BBCB8" w14:textId="7EBF929A" w:rsidR="00841630" w:rsidRPr="00004BBB" w:rsidRDefault="00004BBB">
      <w:pPr>
        <w:rPr>
          <w:sz w:val="28"/>
          <w:szCs w:val="28"/>
        </w:rPr>
      </w:pPr>
      <w:r w:rsidRPr="00004BBB">
        <w:rPr>
          <w:rFonts w:hint="eastAsia"/>
          <w:sz w:val="28"/>
          <w:szCs w:val="28"/>
        </w:rPr>
        <w:t>文献阅读：</w:t>
      </w:r>
    </w:p>
    <w:p w14:paraId="16682AAA" w14:textId="04A7D452" w:rsidR="00004BBB" w:rsidRPr="00004BBB" w:rsidRDefault="00004BBB" w:rsidP="00004BBB">
      <w:pPr>
        <w:pStyle w:val="a3"/>
        <w:numPr>
          <w:ilvl w:val="0"/>
          <w:numId w:val="1"/>
        </w:numPr>
        <w:ind w:firstLineChars="0"/>
        <w:rPr>
          <w:sz w:val="28"/>
          <w:szCs w:val="28"/>
        </w:rPr>
      </w:pPr>
      <w:r w:rsidRPr="00004BBB">
        <w:rPr>
          <w:sz w:val="28"/>
          <w:szCs w:val="28"/>
        </w:rPr>
        <w:t>C</w:t>
      </w:r>
      <w:r w:rsidRPr="00004BBB">
        <w:rPr>
          <w:rFonts w:hint="eastAsia"/>
          <w:sz w:val="28"/>
          <w:szCs w:val="28"/>
        </w:rPr>
        <w:t>on</w:t>
      </w:r>
      <w:r w:rsidRPr="00004BBB">
        <w:rPr>
          <w:sz w:val="28"/>
          <w:szCs w:val="28"/>
        </w:rPr>
        <w:t xml:space="preserve">flict and Cognitive </w:t>
      </w:r>
      <w:proofErr w:type="gramStart"/>
      <w:r w:rsidRPr="00004BBB">
        <w:rPr>
          <w:sz w:val="28"/>
          <w:szCs w:val="28"/>
        </w:rPr>
        <w:t>Control(</w:t>
      </w:r>
      <w:proofErr w:type="gramEnd"/>
      <w:r w:rsidRPr="00004BBB">
        <w:rPr>
          <w:sz w:val="28"/>
          <w:szCs w:val="28"/>
        </w:rPr>
        <w:t>From Science)</w:t>
      </w:r>
    </w:p>
    <w:p w14:paraId="524D905B" w14:textId="172803EF" w:rsidR="00004BBB" w:rsidRDefault="00004BBB" w:rsidP="00004BBB">
      <w:pPr>
        <w:ind w:left="360"/>
        <w:rPr>
          <w:rFonts w:ascii="Helvetica" w:hAnsi="Helvetica" w:cs="Helvetica"/>
          <w:color w:val="333333"/>
          <w:shd w:val="clear" w:color="auto" w:fill="FFFFFF"/>
        </w:rPr>
      </w:pPr>
      <w:r>
        <w:rPr>
          <w:rStyle w:val="a4"/>
          <w:rFonts w:ascii="Helvetica" w:hAnsi="Helvetica" w:cs="Helvetica"/>
          <w:color w:val="333333"/>
          <w:shd w:val="clear" w:color="auto" w:fill="FFFFFF"/>
        </w:rPr>
        <w:t>C</w:t>
      </w:r>
      <w:r>
        <w:rPr>
          <w:rFonts w:ascii="Helvetica" w:hAnsi="Helvetica" w:cs="Helvetica"/>
          <w:color w:val="333333"/>
          <w:shd w:val="clear" w:color="auto" w:fill="FFFFFF"/>
        </w:rPr>
        <w:t>ognitive control [</w:t>
      </w:r>
      <w:hyperlink r:id="rId5" w:anchor="p-33" w:history="1">
        <w:r>
          <w:rPr>
            <w:rStyle w:val="a5"/>
            <w:rFonts w:ascii="Helvetica" w:hAnsi="Helvetica" w:cs="Helvetica"/>
            <w:b/>
            <w:bCs/>
            <w:color w:val="37588A"/>
            <w:u w:val="none"/>
            <w:shd w:val="clear" w:color="auto" w:fill="FFFFFF"/>
          </w:rPr>
          <w:t>HN1</w:t>
        </w:r>
      </w:hyperlink>
      <w:r>
        <w:rPr>
          <w:rFonts w:ascii="Helvetica" w:hAnsi="Helvetica" w:cs="Helvetica"/>
          <w:color w:val="333333"/>
          <w:shd w:val="clear" w:color="auto" w:fill="FFFFFF"/>
        </w:rPr>
        <w:t>] is necessary when we block a habitual behavior and instead execute a less-familiar behavior. Because cognitive control requires an effort, it is not efficient to maintain a high level of control all the time—the nervous system needs to know when cognitive control is necessary</w:t>
      </w:r>
      <w:r>
        <w:rPr>
          <w:rFonts w:ascii="Helvetica" w:hAnsi="Helvetica" w:cs="Helvetica"/>
          <w:color w:val="333333"/>
          <w:shd w:val="clear" w:color="auto" w:fill="FFFFFF"/>
        </w:rPr>
        <w:t>.</w:t>
      </w:r>
    </w:p>
    <w:p w14:paraId="752BA21E" w14:textId="370165CE" w:rsidR="00004BBB" w:rsidRDefault="00004BBB" w:rsidP="00004BBB">
      <w:pPr>
        <w:ind w:left="360"/>
      </w:pPr>
      <w:r>
        <w:rPr>
          <w:rFonts w:hint="eastAsia"/>
        </w:rPr>
        <w:t>当我们抑制一个习惯性的行为反而去执行一件不太熟悉的事件时，认知控制是必需的。因为认知控制要求付出努力，所以</w:t>
      </w:r>
      <w:r w:rsidR="007A4D42">
        <w:rPr>
          <w:rFonts w:hint="eastAsia"/>
        </w:rPr>
        <w:t>一直保持高水平的控制是无效的——神经系统要知道什么时候有认知控制的需求。</w:t>
      </w:r>
    </w:p>
    <w:p w14:paraId="4BAB554B" w14:textId="06F406B3" w:rsidR="007A4D42" w:rsidRDefault="007A4D42" w:rsidP="00004BBB">
      <w:pPr>
        <w:ind w:left="360"/>
      </w:pPr>
    </w:p>
    <w:p w14:paraId="5AB1BC72" w14:textId="25D63C35" w:rsidR="007A4D42" w:rsidRDefault="007A4D42" w:rsidP="00004BBB">
      <w:pPr>
        <w:ind w:left="360"/>
      </w:pPr>
      <w:r w:rsidRPr="007A4D42">
        <w:rPr>
          <w:b/>
        </w:rPr>
        <w:t xml:space="preserve">wo cortical areas in the frontal part of the brain, the anterior cingulate </w:t>
      </w:r>
      <w:proofErr w:type="gramStart"/>
      <w:r w:rsidRPr="007A4D42">
        <w:rPr>
          <w:b/>
        </w:rPr>
        <w:t>cortex  (</w:t>
      </w:r>
      <w:proofErr w:type="gramEnd"/>
      <w:r w:rsidRPr="007A4D42">
        <w:rPr>
          <w:b/>
        </w:rPr>
        <w:t>ACC) and the lateral prefrontal cortex (LPFC), are considered essential for recruiting cognitive control.</w:t>
      </w:r>
      <w:r w:rsidRPr="007A4D42">
        <w:t xml:space="preserve"> This conclusion is based both on the psychological examination of brain-damaged patients and on the imaging of normal human </w:t>
      </w:r>
      <w:proofErr w:type="gramStart"/>
      <w:r w:rsidRPr="007A4D42">
        <w:t>subjects .</w:t>
      </w:r>
      <w:proofErr w:type="gramEnd"/>
      <w:r w:rsidRPr="007A4D42">
        <w:t xml:space="preserve"> </w:t>
      </w:r>
      <w:proofErr w:type="spellStart"/>
      <w:r w:rsidRPr="007A4D42">
        <w:t>Botvinick</w:t>
      </w:r>
      <w:proofErr w:type="spellEnd"/>
      <w:r w:rsidRPr="007A4D42">
        <w:t xml:space="preserve"> and colleagues have proposed that the ACC detects conflicts between plans of action, and in response to these conflicts recruits greater cognitive control in the </w:t>
      </w:r>
      <w:proofErr w:type="gramStart"/>
      <w:r w:rsidRPr="007A4D42">
        <w:t>LPFC .</w:t>
      </w:r>
      <w:proofErr w:type="gramEnd"/>
      <w:r w:rsidRPr="007A4D42">
        <w:t xml:space="preserve"> This hypothesis is consistent with evidence showing the involvement of the LPFC in the execution of cognitive control, such as selective attention and response inhibition. Activation of the ACC by action-plan conflicts has also been </w:t>
      </w:r>
      <w:proofErr w:type="gramStart"/>
      <w:r w:rsidRPr="007A4D42">
        <w:t>reported .</w:t>
      </w:r>
      <w:proofErr w:type="gramEnd"/>
      <w:r w:rsidRPr="007A4D42">
        <w:t xml:space="preserve"> However, as yet there is no direct evidence of a connection between the detection of conflicts in the ACC and the subsequent greater control recruited in the LPFC.</w:t>
      </w:r>
    </w:p>
    <w:p w14:paraId="26D08B1B" w14:textId="2D558899" w:rsidR="007A4D42" w:rsidRDefault="007A4D42" w:rsidP="00004BBB">
      <w:pPr>
        <w:ind w:left="360"/>
      </w:pPr>
      <w:r w:rsidRPr="007A4D42">
        <w:rPr>
          <w:rFonts w:hint="eastAsia"/>
          <w:b/>
        </w:rPr>
        <w:t>大脑额叶的两个皮层区域，前扣带皮层（</w:t>
      </w:r>
      <w:r w:rsidRPr="007A4D42">
        <w:rPr>
          <w:b/>
        </w:rPr>
        <w:t>ACC）和</w:t>
      </w:r>
      <w:proofErr w:type="gramStart"/>
      <w:r w:rsidRPr="007A4D42">
        <w:rPr>
          <w:b/>
        </w:rPr>
        <w:t>侧前</w:t>
      </w:r>
      <w:proofErr w:type="gramEnd"/>
      <w:r w:rsidRPr="007A4D42">
        <w:rPr>
          <w:b/>
        </w:rPr>
        <w:t>额叶皮层（LPFC）被认为是</w:t>
      </w:r>
      <w:r w:rsidRPr="007A4D42">
        <w:rPr>
          <w:rFonts w:hint="eastAsia"/>
          <w:b/>
        </w:rPr>
        <w:t>激起</w:t>
      </w:r>
      <w:r w:rsidRPr="007A4D42">
        <w:rPr>
          <w:b/>
        </w:rPr>
        <w:t>认知控制的必要条件。</w:t>
      </w:r>
      <w:r w:rsidRPr="007A4D42">
        <w:t xml:space="preserve"> 该结论基于脑损伤患者的心理检查和正常人类受试者的成像。 </w:t>
      </w:r>
      <w:proofErr w:type="spellStart"/>
      <w:r w:rsidRPr="007A4D42">
        <w:t>Botvinick</w:t>
      </w:r>
      <w:proofErr w:type="spellEnd"/>
      <w:r w:rsidRPr="007A4D42">
        <w:t>及其同事</w:t>
      </w:r>
      <w:r>
        <w:rPr>
          <w:rFonts w:hint="eastAsia"/>
        </w:rPr>
        <w:t>推测</w:t>
      </w:r>
      <w:r w:rsidRPr="007A4D42">
        <w:t>ACC检测行动计划之间的冲突，并且为了应对这些冲突，LPFC中</w:t>
      </w:r>
      <w:r>
        <w:rPr>
          <w:rFonts w:hint="eastAsia"/>
        </w:rPr>
        <w:t>激活更高水平</w:t>
      </w:r>
      <w:r w:rsidRPr="007A4D42">
        <w:t>的认知控制。 该假设与证据表明LPFC参与认知控制的执行有关，例如选择性注意和反应抑制。 还报告了通过行动计划冲突激活行政协调会。 但是，目前尚无直接证据表明行政协调会的冲突检测与随后在LPFC中招募的更大控制措施之间存在联系。</w:t>
      </w:r>
    </w:p>
    <w:p w14:paraId="45661A71" w14:textId="03701A2B" w:rsidR="007A4D42" w:rsidRDefault="007A4D42" w:rsidP="00004BBB">
      <w:pPr>
        <w:ind w:left="360"/>
      </w:pPr>
    </w:p>
    <w:p w14:paraId="7EA8A2DB" w14:textId="64678BA9" w:rsidR="007A4D42" w:rsidRPr="007A4D42" w:rsidRDefault="007A4D42" w:rsidP="00004BBB">
      <w:pPr>
        <w:ind w:left="360"/>
        <w:rPr>
          <w:rFonts w:hint="eastAsia"/>
          <w:b/>
        </w:rPr>
      </w:pPr>
      <w:r w:rsidRPr="007A4D42">
        <w:rPr>
          <w:b/>
        </w:rPr>
        <w:t>Cognitive control recruited by the ACC may be “consequential,” that is, based on conflicts between evoked plans of concrete actions. In contrast, in the LPFC, control may be “preemptive,” that is, capable of preventing future conflicts, and may occur at a more strategic level, for example, by increasing attention to the task-related aspects of sensory stimuli. Because neurons selective for different actions are interspersed in local regions, the limited spatial resolution of fMRI might have obscured these action-specific activities in the ACC in previous fMRI studies. Future studies in monkeys and humans should elucidate further the mechanisms defining consequential and preemptive cognitive control and the parts played by the ACC and LPFC.</w:t>
      </w:r>
    </w:p>
    <w:p w14:paraId="24A2B349" w14:textId="52235FF8" w:rsidR="007A4D42" w:rsidRDefault="007A4D42" w:rsidP="00004BBB">
      <w:pPr>
        <w:ind w:left="360"/>
        <w:rPr>
          <w:b/>
        </w:rPr>
      </w:pPr>
      <w:r w:rsidRPr="007A4D42">
        <w:rPr>
          <w:rFonts w:hint="eastAsia"/>
          <w:b/>
        </w:rPr>
        <w:t>由</w:t>
      </w:r>
      <w:r w:rsidRPr="007A4D42">
        <w:rPr>
          <w:b/>
        </w:rPr>
        <w:t>ACC</w:t>
      </w:r>
      <w:r w:rsidRPr="007A4D42">
        <w:rPr>
          <w:rFonts w:hint="eastAsia"/>
          <w:b/>
        </w:rPr>
        <w:t>激起</w:t>
      </w:r>
      <w:r w:rsidRPr="007A4D42">
        <w:rPr>
          <w:b/>
        </w:rPr>
        <w:t>的认知控制可能是“后果性的”，即基于诱发的具体行动计划之间的冲突。 相反，在LPFC中，控制可以是“抢先的”，即能够防止未来的冲突，并且可以在更具战略性的水平上发生，例如，通过增加对感觉刺激的任务相关方面的关注。 由于对不同行</w:t>
      </w:r>
      <w:r w:rsidRPr="007A4D42">
        <w:rPr>
          <w:b/>
        </w:rPr>
        <w:lastRenderedPageBreak/>
        <w:t>为有选择性的神经元散布在局部区域，因此fMRI的有限空间分辨率可能在先前的fMRI研究中掩盖了ACC中这些特定于行动的活动。 未来对猴子和人类的研究应该进一步阐明定义后果和先发制人认知控制的机制以及ACC和LPFC所扮演的角色。</w:t>
      </w:r>
    </w:p>
    <w:p w14:paraId="32259A0A" w14:textId="67934F84" w:rsidR="00913FFB" w:rsidRDefault="00913FFB" w:rsidP="00004BBB">
      <w:pPr>
        <w:ind w:left="360"/>
        <w:rPr>
          <w:b/>
        </w:rPr>
      </w:pPr>
    </w:p>
    <w:p w14:paraId="2F402715" w14:textId="7AA8ECCB" w:rsidR="00913FFB" w:rsidRDefault="00913FFB" w:rsidP="00913FFB">
      <w:pPr>
        <w:pStyle w:val="1"/>
        <w:numPr>
          <w:ilvl w:val="0"/>
          <w:numId w:val="1"/>
        </w:numPr>
        <w:spacing w:before="0" w:beforeAutospacing="0" w:after="0" w:afterAutospacing="0" w:line="480" w:lineRule="atLeast"/>
        <w:rPr>
          <w:rFonts w:asciiTheme="minorHAnsi" w:eastAsiaTheme="minorHAnsi" w:hAnsiTheme="minorHAnsi" w:cs="Arial"/>
          <w:b w:val="0"/>
          <w:bCs w:val="0"/>
          <w:color w:val="505050"/>
          <w:sz w:val="28"/>
          <w:szCs w:val="28"/>
        </w:rPr>
      </w:pPr>
      <w:r w:rsidRPr="00913FFB">
        <w:rPr>
          <w:rFonts w:asciiTheme="minorHAnsi" w:eastAsiaTheme="minorHAnsi" w:hAnsiTheme="minorHAnsi" w:cs="Arial"/>
          <w:b w:val="0"/>
          <w:bCs w:val="0"/>
          <w:color w:val="505050"/>
          <w:sz w:val="28"/>
          <w:szCs w:val="28"/>
        </w:rPr>
        <w:t xml:space="preserve">What has fMRI told us about the Development of Cognitive Control through </w:t>
      </w:r>
      <w:proofErr w:type="gramStart"/>
      <w:r w:rsidRPr="00913FFB">
        <w:rPr>
          <w:rFonts w:asciiTheme="minorHAnsi" w:eastAsiaTheme="minorHAnsi" w:hAnsiTheme="minorHAnsi" w:cs="Arial"/>
          <w:b w:val="0"/>
          <w:bCs w:val="0"/>
          <w:color w:val="505050"/>
          <w:sz w:val="28"/>
          <w:szCs w:val="28"/>
        </w:rPr>
        <w:t>Adolescence?</w:t>
      </w:r>
      <w:r>
        <w:rPr>
          <w:rFonts w:asciiTheme="minorHAnsi" w:eastAsiaTheme="minorHAnsi" w:hAnsiTheme="minorHAnsi" w:cs="Arial" w:hint="eastAsia"/>
          <w:b w:val="0"/>
          <w:bCs w:val="0"/>
          <w:color w:val="505050"/>
          <w:sz w:val="28"/>
          <w:szCs w:val="28"/>
        </w:rPr>
        <w:t>（</w:t>
      </w:r>
      <w:proofErr w:type="gramEnd"/>
      <w:r>
        <w:rPr>
          <w:rFonts w:asciiTheme="minorHAnsi" w:eastAsiaTheme="minorHAnsi" w:hAnsiTheme="minorHAnsi" w:cs="Arial"/>
          <w:b w:val="0"/>
          <w:bCs w:val="0"/>
          <w:color w:val="505050"/>
          <w:sz w:val="28"/>
          <w:szCs w:val="28"/>
        </w:rPr>
        <w:t>S</w:t>
      </w:r>
      <w:r>
        <w:rPr>
          <w:rFonts w:asciiTheme="minorHAnsi" w:eastAsiaTheme="minorHAnsi" w:hAnsiTheme="minorHAnsi" w:cs="Arial" w:hint="eastAsia"/>
          <w:b w:val="0"/>
          <w:bCs w:val="0"/>
          <w:color w:val="505050"/>
          <w:sz w:val="28"/>
          <w:szCs w:val="28"/>
        </w:rPr>
        <w:t>cien</w:t>
      </w:r>
      <w:r>
        <w:rPr>
          <w:rFonts w:asciiTheme="minorHAnsi" w:eastAsiaTheme="minorHAnsi" w:hAnsiTheme="minorHAnsi" w:cs="Arial"/>
          <w:b w:val="0"/>
          <w:bCs w:val="0"/>
          <w:color w:val="505050"/>
          <w:sz w:val="28"/>
          <w:szCs w:val="28"/>
        </w:rPr>
        <w:t>ceDirect/Brain and Cognition）</w:t>
      </w:r>
    </w:p>
    <w:p w14:paraId="195E6BA6" w14:textId="6ACF200F" w:rsidR="00913FFB" w:rsidRDefault="00913FFB" w:rsidP="00913FFB">
      <w:pPr>
        <w:ind w:left="360"/>
        <w:rPr>
          <w:rFonts w:ascii="Arial" w:hAnsi="Arial" w:cs="Arial"/>
          <w:color w:val="505050"/>
        </w:rPr>
      </w:pPr>
      <w:hyperlink r:id="rId6" w:tooltip="Learn more about Executive functions" w:history="1">
        <w:r>
          <w:rPr>
            <w:rStyle w:val="a5"/>
            <w:rFonts w:ascii="Arial" w:hAnsi="Arial" w:cs="Arial"/>
            <w:color w:val="007398"/>
          </w:rPr>
          <w:t>Cognitive control</w:t>
        </w:r>
      </w:hyperlink>
      <w:r>
        <w:rPr>
          <w:rFonts w:ascii="Arial" w:hAnsi="Arial" w:cs="Arial"/>
          <w:color w:val="505050"/>
        </w:rPr>
        <w:t>, the ability to voluntarily guide our behavior, continues to improve throughout adolescence. </w:t>
      </w:r>
    </w:p>
    <w:p w14:paraId="270DDFE1" w14:textId="4FA31477" w:rsidR="00913FFB" w:rsidRDefault="00913FFB" w:rsidP="00913FFB">
      <w:pPr>
        <w:ind w:left="360"/>
      </w:pPr>
      <w:r>
        <w:rPr>
          <w:rFonts w:hint="eastAsia"/>
        </w:rPr>
        <w:t>认知控制，即自发控制行为的能力，在青少年时期持续发展。</w:t>
      </w:r>
    </w:p>
    <w:p w14:paraId="3E54E788" w14:textId="717CA5B9" w:rsidR="00913FFB" w:rsidRDefault="00913FFB" w:rsidP="00913FFB">
      <w:pPr>
        <w:ind w:left="360"/>
      </w:pPr>
    </w:p>
    <w:p w14:paraId="55EE95E1" w14:textId="640E42DA" w:rsidR="00913FFB" w:rsidRDefault="00913FFB" w:rsidP="00913FFB">
      <w:pPr>
        <w:ind w:left="360"/>
        <w:rPr>
          <w:rFonts w:hint="eastAsia"/>
        </w:rPr>
      </w:pPr>
      <w:r>
        <w:rPr>
          <w:rFonts w:ascii="Arial" w:hAnsi="Arial" w:cs="Arial" w:hint="eastAsia"/>
          <w:color w:val="505050"/>
        </w:rPr>
        <w:t>……</w:t>
      </w:r>
      <w:r>
        <w:rPr>
          <w:rFonts w:ascii="Arial" w:hAnsi="Arial" w:cs="Arial"/>
          <w:color w:val="505050"/>
        </w:rPr>
        <w:t>d</w:t>
      </w:r>
      <w:r w:rsidRPr="00913FFB">
        <w:rPr>
          <w:rFonts w:ascii="Arial" w:hAnsi="Arial" w:cs="Arial"/>
          <w:color w:val="505050"/>
        </w:rPr>
        <w:t xml:space="preserve">evelopmental improvements in inhibitory control may be supported primarily by the ability to establish an inhibitory response state and the brain systems supporting this particular </w:t>
      </w:r>
      <w:proofErr w:type="spellStart"/>
      <w:r w:rsidRPr="00913FFB">
        <w:rPr>
          <w:rFonts w:ascii="Arial" w:hAnsi="Arial" w:cs="Arial"/>
          <w:color w:val="505050"/>
        </w:rPr>
        <w:t>ability.</w:t>
      </w:r>
      <w:r>
        <w:rPr>
          <w:rFonts w:ascii="Arial" w:hAnsi="Arial" w:cs="Arial"/>
          <w:color w:val="505050"/>
        </w:rPr>
        <w:t>This</w:t>
      </w:r>
      <w:proofErr w:type="spellEnd"/>
      <w:r>
        <w:rPr>
          <w:rFonts w:ascii="Arial" w:hAnsi="Arial" w:cs="Arial"/>
          <w:color w:val="505050"/>
        </w:rPr>
        <w:t xml:space="preserve"> rationale suggests that what characterizes development through adolescence may not be the emergence of a new cognitive ability (inhibitory control) but the ability to use this tool in a flexible and consistent fashion by effectively establishing a response state.</w:t>
      </w:r>
      <w:r w:rsidRPr="00913FFB">
        <w:rPr>
          <w:rFonts w:ascii="Arial" w:hAnsi="Arial" w:cs="Arial"/>
          <w:color w:val="505050"/>
        </w:rPr>
        <w:t xml:space="preserve"> </w:t>
      </w:r>
      <w:r>
        <w:rPr>
          <w:rFonts w:ascii="Arial" w:hAnsi="Arial" w:cs="Arial"/>
          <w:color w:val="505050"/>
        </w:rPr>
        <w:t>This possibility implies that the circuitry that uniquely supports response state (</w:t>
      </w:r>
      <w:bookmarkStart w:id="0" w:name="bbib30"/>
      <w:proofErr w:type="spellStart"/>
      <w:r>
        <w:fldChar w:fldCharType="begin"/>
      </w:r>
      <w:r>
        <w:instrText xml:space="preserve"> HYPERLINK "https://www.sciencedirect.com/science/article/pii/S0278262609001596?via%3Dihub" \l "bib30" </w:instrText>
      </w:r>
      <w:r>
        <w:fldChar w:fldCharType="separate"/>
      </w:r>
      <w:r>
        <w:rPr>
          <w:rStyle w:val="a5"/>
          <w:rFonts w:ascii="Arial" w:hAnsi="Arial" w:cs="Arial"/>
          <w:color w:val="007398"/>
        </w:rPr>
        <w:t>Dosenbach</w:t>
      </w:r>
      <w:proofErr w:type="spellEnd"/>
      <w:r>
        <w:rPr>
          <w:rStyle w:val="a5"/>
          <w:rFonts w:ascii="Arial" w:hAnsi="Arial" w:cs="Arial"/>
          <w:color w:val="007398"/>
        </w:rPr>
        <w:t xml:space="preserve"> et al., 2006</w:t>
      </w:r>
      <w:r>
        <w:fldChar w:fldCharType="end"/>
      </w:r>
      <w:bookmarkEnd w:id="0"/>
      <w:r>
        <w:rPr>
          <w:rFonts w:ascii="Arial" w:hAnsi="Arial" w:cs="Arial"/>
          <w:color w:val="505050"/>
        </w:rPr>
        <w:t>) is immature in adolescence. Consistent with this possibility, neuroimaging findings indicate that the circuitry supporting response state shows a protracted development through adolescence</w:t>
      </w:r>
    </w:p>
    <w:p w14:paraId="5C0DFCD8" w14:textId="5405488B" w:rsidR="00913FFB" w:rsidRDefault="00913FFB" w:rsidP="00913FFB">
      <w:pPr>
        <w:ind w:left="360"/>
      </w:pPr>
      <w:r w:rsidRPr="00913FFB">
        <w:rPr>
          <w:rFonts w:hint="eastAsia"/>
        </w:rPr>
        <w:t>抑制性控制的发育改善主要可以通过建立抑制性反应状态的能力和支持这种特定能力的大脑系统来支持。这个理论基础表明，通过青春期发展的特征可能不是新认知能力（抑制控制）的出现，而是通过有效建立响应状态以灵活和一致的方式使用该工具的能力。这种可能性意味着唯一支持响应状态的电路（</w:t>
      </w:r>
      <w:proofErr w:type="spellStart"/>
      <w:r w:rsidRPr="00913FFB">
        <w:t>Dosenbach</w:t>
      </w:r>
      <w:proofErr w:type="spellEnd"/>
      <w:r w:rsidRPr="00913FFB">
        <w:t>等，2006）在青春期尚不成熟。 与这种可能性一致，神经影像学发现表明支持反应状态的电路显示出通过青春期的长期发展</w:t>
      </w:r>
      <w:r>
        <w:rPr>
          <w:rFonts w:hint="eastAsia"/>
        </w:rPr>
        <w:t>。</w:t>
      </w:r>
    </w:p>
    <w:p w14:paraId="69BCF235" w14:textId="10A4C2CF" w:rsidR="00913FFB" w:rsidRDefault="00913FFB" w:rsidP="00913FFB">
      <w:pPr>
        <w:ind w:left="360"/>
      </w:pPr>
    </w:p>
    <w:p w14:paraId="1BD233BA" w14:textId="77E99BB3" w:rsidR="00913FFB" w:rsidRDefault="00913FFB" w:rsidP="00913FFB">
      <w:pPr>
        <w:ind w:left="360"/>
      </w:pPr>
      <w:r w:rsidRPr="00913FFB">
        <w:t xml:space="preserve">What is evident across studies is that prefrontal systems and the ability to recruit distributed function are present early in development. However, recent work indicates that the connections within these distributed circuitries increase in strength, and incorporate more </w:t>
      </w:r>
      <w:proofErr w:type="gramStart"/>
      <w:r w:rsidRPr="00913FFB">
        <w:t>long range</w:t>
      </w:r>
      <w:proofErr w:type="gramEnd"/>
      <w:r w:rsidRPr="00913FFB">
        <w:t xml:space="preserve"> connections, through adolescence. The transition from adolescence to adulthood therefore can be seen as a change in mode of operation from initially relying on more regionalized processing, such as in the PFC, earlier in development to relying on a broader network of regions that share processing in an efficient and flexible manner at the systems level. Children may rely on processes that support aspects of executive control more generally, while adolescents may transition to utilizing multiple, posterior regions specialized for specific aspects of a task that together provide a rapid response tailored to the task, freeing up executive regions for more complex duties. This transition in the mode of operation may be supported by structural brain changes or other brain dynamics such as brain synchrony that encourage recruitment of more wide-range networks. In adulthood, brain systems may be better </w:t>
      </w:r>
      <w:r w:rsidRPr="00913FFB">
        <w:lastRenderedPageBreak/>
        <w:t xml:space="preserve">specialized and may more efficiently interact with other distant regions, providing a circuitry that supports flexible cognitive control. </w:t>
      </w:r>
    </w:p>
    <w:p w14:paraId="39DC1FCC" w14:textId="7079694D" w:rsidR="00913FFB" w:rsidRPr="00913FFB" w:rsidRDefault="00913FFB" w:rsidP="00913FFB">
      <w:pPr>
        <w:ind w:left="360"/>
        <w:rPr>
          <w:rFonts w:hint="eastAsia"/>
        </w:rPr>
      </w:pPr>
      <w:r w:rsidRPr="00913FFB">
        <w:rPr>
          <w:rFonts w:hint="eastAsia"/>
        </w:rPr>
        <w:t>各研究的明显之处在于，</w:t>
      </w:r>
      <w:r w:rsidR="00F53C54">
        <w:rPr>
          <w:rFonts w:hint="eastAsia"/>
        </w:rPr>
        <w:t>前额叶</w:t>
      </w:r>
      <w:r w:rsidRPr="00913FFB">
        <w:rPr>
          <w:rFonts w:hint="eastAsia"/>
        </w:rPr>
        <w:t>系统和</w:t>
      </w:r>
      <w:r w:rsidR="00F53C54">
        <w:rPr>
          <w:rFonts w:hint="eastAsia"/>
        </w:rPr>
        <w:t>激起</w:t>
      </w:r>
      <w:r w:rsidRPr="00913FFB">
        <w:rPr>
          <w:rFonts w:hint="eastAsia"/>
        </w:rPr>
        <w:t>分布式功能的能力在</w:t>
      </w:r>
      <w:r w:rsidR="00F53C54">
        <w:rPr>
          <w:rFonts w:hint="eastAsia"/>
        </w:rPr>
        <w:t>发育</w:t>
      </w:r>
      <w:r w:rsidRPr="00913FFB">
        <w:rPr>
          <w:rFonts w:hint="eastAsia"/>
        </w:rPr>
        <w:t>早期就已存在。然而，最近的工作表明，</w:t>
      </w:r>
      <w:r w:rsidR="00F53C54">
        <w:rPr>
          <w:rFonts w:hint="eastAsia"/>
        </w:rPr>
        <w:t>在青春期中，</w:t>
      </w:r>
      <w:r w:rsidRPr="00913FFB">
        <w:rPr>
          <w:rFonts w:hint="eastAsia"/>
        </w:rPr>
        <w:t>这些分布式电路的连接增加了强度，</w:t>
      </w:r>
      <w:r w:rsidR="00F53C54">
        <w:rPr>
          <w:rFonts w:hint="eastAsia"/>
        </w:rPr>
        <w:t>并建立</w:t>
      </w:r>
      <w:r w:rsidRPr="00913FFB">
        <w:rPr>
          <w:rFonts w:hint="eastAsia"/>
        </w:rPr>
        <w:t>了更多的长距离连接。因此，从青春期到成年期的过渡可以看作是操作模式的变化，从最初依赖于</w:t>
      </w:r>
      <w:r w:rsidR="00F53C54">
        <w:rPr>
          <w:rFonts w:hint="eastAsia"/>
        </w:rPr>
        <w:t>局部化</w:t>
      </w:r>
      <w:r w:rsidRPr="00913FFB">
        <w:rPr>
          <w:rFonts w:hint="eastAsia"/>
        </w:rPr>
        <w:t>的处理</w:t>
      </w:r>
      <w:r w:rsidR="00F53C54">
        <w:rPr>
          <w:rFonts w:hint="eastAsia"/>
        </w:rPr>
        <w:t>（</w:t>
      </w:r>
      <w:r w:rsidR="00F53C54" w:rsidRPr="00913FFB">
        <w:rPr>
          <w:rFonts w:hint="eastAsia"/>
        </w:rPr>
        <w:t>例如在</w:t>
      </w:r>
      <w:r w:rsidR="00F53C54" w:rsidRPr="00913FFB">
        <w:t>PFC中</w:t>
      </w:r>
      <w:r w:rsidR="00F53C54">
        <w:rPr>
          <w:rFonts w:hint="eastAsia"/>
        </w:rPr>
        <w:t>）</w:t>
      </w:r>
      <w:r w:rsidRPr="00913FFB">
        <w:t>，在</w:t>
      </w:r>
      <w:r w:rsidR="00F53C54">
        <w:rPr>
          <w:rFonts w:hint="eastAsia"/>
        </w:rPr>
        <w:t>发育</w:t>
      </w:r>
      <w:r w:rsidRPr="00913FFB">
        <w:t>早期依赖于更广泛</w:t>
      </w:r>
      <w:r w:rsidR="00F53C54">
        <w:rPr>
          <w:rFonts w:hint="eastAsia"/>
        </w:rPr>
        <w:t>区域的</w:t>
      </w:r>
      <w:r w:rsidRPr="00913FFB">
        <w:t>网络，这些区域</w:t>
      </w:r>
      <w:r w:rsidR="00F53C54">
        <w:rPr>
          <w:rFonts w:hint="eastAsia"/>
        </w:rPr>
        <w:t>从系统层面以</w:t>
      </w:r>
      <w:r w:rsidRPr="00913FFB">
        <w:t>高效灵活的方式</w:t>
      </w:r>
      <w:r w:rsidR="00F53C54">
        <w:rPr>
          <w:rFonts w:hint="eastAsia"/>
        </w:rPr>
        <w:t>共同加工</w:t>
      </w:r>
      <w:r w:rsidRPr="00913FFB">
        <w:t>。儿童可能更多地依赖于支持执行控制的过程，而青少年可能会过渡到利用</w:t>
      </w:r>
      <w:r w:rsidR="00F53C54">
        <w:rPr>
          <w:rFonts w:hint="eastAsia"/>
        </w:rPr>
        <w:t>多个</w:t>
      </w:r>
      <w:r w:rsidRPr="00913FFB">
        <w:t>针对任务特定方面的</w:t>
      </w:r>
      <w:r w:rsidRPr="00F53C54">
        <w:rPr>
          <w:u w:val="single"/>
        </w:rPr>
        <w:t>后部区域</w:t>
      </w:r>
      <w:r w:rsidR="00726792">
        <w:rPr>
          <w:rFonts w:hint="eastAsia"/>
          <w:u w:val="single"/>
        </w:rPr>
        <w:t>（？）</w:t>
      </w:r>
      <w:bookmarkStart w:id="1" w:name="_GoBack"/>
      <w:bookmarkEnd w:id="1"/>
      <w:r w:rsidRPr="00913FFB">
        <w:t>，这些区域共同提供任务的快速响应，从而释放</w:t>
      </w:r>
      <w:r w:rsidR="00F53C54">
        <w:rPr>
          <w:rFonts w:hint="eastAsia"/>
        </w:rPr>
        <w:t>执行</w:t>
      </w:r>
      <w:r w:rsidRPr="00913FFB">
        <w:t>区域以履行</w:t>
      </w:r>
      <w:r w:rsidRPr="00913FFB">
        <w:rPr>
          <w:rFonts w:hint="eastAsia"/>
        </w:rPr>
        <w:t>更复杂的职责。这种操作模式的转变可能受到大脑</w:t>
      </w:r>
      <w:r w:rsidR="00F53C54">
        <w:rPr>
          <w:rFonts w:hint="eastAsia"/>
        </w:rPr>
        <w:t>的</w:t>
      </w:r>
      <w:r w:rsidR="00F53C54" w:rsidRPr="00913FFB">
        <w:rPr>
          <w:rFonts w:hint="eastAsia"/>
        </w:rPr>
        <w:t>结构性</w:t>
      </w:r>
      <w:r w:rsidRPr="00913FFB">
        <w:rPr>
          <w:rFonts w:hint="eastAsia"/>
        </w:rPr>
        <w:t>变化或其他大脑</w:t>
      </w:r>
      <w:r w:rsidR="00F53C54">
        <w:rPr>
          <w:rFonts w:hint="eastAsia"/>
        </w:rPr>
        <w:t>功能</w:t>
      </w:r>
      <w:r w:rsidRPr="00913FFB">
        <w:rPr>
          <w:rFonts w:hint="eastAsia"/>
        </w:rPr>
        <w:t>的支持，例如</w:t>
      </w:r>
      <w:r w:rsidR="00F53C54">
        <w:rPr>
          <w:rFonts w:hint="eastAsia"/>
        </w:rPr>
        <w:t>能够激活更广</w:t>
      </w:r>
      <w:r w:rsidRPr="00913FFB">
        <w:rPr>
          <w:rFonts w:hint="eastAsia"/>
        </w:rPr>
        <w:t>范围网络的</w:t>
      </w:r>
      <w:r w:rsidR="00F53C54">
        <w:rPr>
          <w:rFonts w:hint="eastAsia"/>
        </w:rPr>
        <w:t>“</w:t>
      </w:r>
      <w:r w:rsidR="00726792">
        <w:rPr>
          <w:rFonts w:hint="eastAsia"/>
        </w:rPr>
        <w:t>大脑同步（</w:t>
      </w:r>
      <w:r w:rsidR="00726792" w:rsidRPr="00726792">
        <w:t>brain synchrony</w:t>
      </w:r>
      <w:r w:rsidR="00726792">
        <w:rPr>
          <w:rFonts w:hint="eastAsia"/>
        </w:rPr>
        <w:t>）”</w:t>
      </w:r>
      <w:r w:rsidRPr="00913FFB">
        <w:rPr>
          <w:rFonts w:hint="eastAsia"/>
        </w:rPr>
        <w:t>。在成年期，大脑系统可以更好地专</w:t>
      </w:r>
      <w:r w:rsidR="00726792">
        <w:rPr>
          <w:rFonts w:hint="eastAsia"/>
        </w:rPr>
        <w:t>门</w:t>
      </w:r>
      <w:r w:rsidRPr="00913FFB">
        <w:rPr>
          <w:rFonts w:hint="eastAsia"/>
        </w:rPr>
        <w:t>化</w:t>
      </w:r>
      <w:r w:rsidR="00726792">
        <w:rPr>
          <w:rFonts w:hint="eastAsia"/>
        </w:rPr>
        <w:t>，</w:t>
      </w:r>
      <w:r w:rsidRPr="00913FFB">
        <w:rPr>
          <w:rFonts w:hint="eastAsia"/>
        </w:rPr>
        <w:t>并且可以更</w:t>
      </w:r>
      <w:r w:rsidR="00726792">
        <w:rPr>
          <w:rFonts w:hint="eastAsia"/>
        </w:rPr>
        <w:t>高效地</w:t>
      </w:r>
      <w:r w:rsidRPr="00913FFB">
        <w:rPr>
          <w:rFonts w:hint="eastAsia"/>
        </w:rPr>
        <w:t>与其他远距离区域交互，从而提供支持认知控制的</w:t>
      </w:r>
      <w:r w:rsidR="00726792" w:rsidRPr="00913FFB">
        <w:rPr>
          <w:rFonts w:hint="eastAsia"/>
        </w:rPr>
        <w:t>灵活</w:t>
      </w:r>
      <w:r w:rsidRPr="00913FFB">
        <w:rPr>
          <w:rFonts w:hint="eastAsia"/>
        </w:rPr>
        <w:t>电路。</w:t>
      </w:r>
    </w:p>
    <w:sectPr w:rsidR="00913FFB" w:rsidRPr="00913F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C20B6"/>
    <w:multiLevelType w:val="hybridMultilevel"/>
    <w:tmpl w:val="62B2B256"/>
    <w:lvl w:ilvl="0" w:tplc="6116F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B2"/>
    <w:rsid w:val="00004BBB"/>
    <w:rsid w:val="00726792"/>
    <w:rsid w:val="007A4D42"/>
    <w:rsid w:val="00841630"/>
    <w:rsid w:val="00913FFB"/>
    <w:rsid w:val="00C27BB2"/>
    <w:rsid w:val="00F53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0349"/>
  <w15:chartTrackingRefBased/>
  <w15:docId w15:val="{9DC8B4A2-5B30-4A77-A4E9-89801C8B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13F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BBB"/>
    <w:pPr>
      <w:ind w:firstLineChars="200" w:firstLine="420"/>
    </w:pPr>
  </w:style>
  <w:style w:type="character" w:styleId="a4">
    <w:name w:val="Strong"/>
    <w:basedOn w:val="a0"/>
    <w:uiPriority w:val="22"/>
    <w:qFormat/>
    <w:rsid w:val="00004BBB"/>
    <w:rPr>
      <w:b/>
      <w:bCs/>
    </w:rPr>
  </w:style>
  <w:style w:type="character" w:styleId="a5">
    <w:name w:val="Hyperlink"/>
    <w:basedOn w:val="a0"/>
    <w:uiPriority w:val="99"/>
    <w:semiHidden/>
    <w:unhideWhenUsed/>
    <w:rsid w:val="00004BBB"/>
    <w:rPr>
      <w:color w:val="0000FF"/>
      <w:u w:val="single"/>
    </w:rPr>
  </w:style>
  <w:style w:type="character" w:customStyle="1" w:styleId="10">
    <w:name w:val="标题 1 字符"/>
    <w:basedOn w:val="a0"/>
    <w:link w:val="1"/>
    <w:uiPriority w:val="9"/>
    <w:rsid w:val="00913FFB"/>
    <w:rPr>
      <w:rFonts w:ascii="宋体" w:eastAsia="宋体" w:hAnsi="宋体" w:cs="宋体"/>
      <w:b/>
      <w:bCs/>
      <w:kern w:val="36"/>
      <w:sz w:val="48"/>
      <w:szCs w:val="48"/>
    </w:rPr>
  </w:style>
  <w:style w:type="character" w:customStyle="1" w:styleId="title-text">
    <w:name w:val="title-text"/>
    <w:basedOn w:val="a0"/>
    <w:rsid w:val="00913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neuroscience/executive-functions" TargetMode="External"/><Relationship Id="rId5" Type="http://schemas.openxmlformats.org/officeDocument/2006/relationships/hyperlink" Target="http://science.sciencemag.org/content/303/5660/96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1534376640@qq.com</dc:creator>
  <cp:keywords/>
  <dc:description/>
  <cp:lastModifiedBy>1534376640@qq.com</cp:lastModifiedBy>
  <cp:revision>2</cp:revision>
  <dcterms:created xsi:type="dcterms:W3CDTF">2018-09-23T13:29:00Z</dcterms:created>
  <dcterms:modified xsi:type="dcterms:W3CDTF">2018-09-23T14:16:00Z</dcterms:modified>
</cp:coreProperties>
</file>