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45E" w:rsidRDefault="002B115B">
      <w:r w:rsidRPr="002B115B">
        <w:t xml:space="preserve">P. M. Greenfield, L. E. </w:t>
      </w:r>
      <w:proofErr w:type="spellStart"/>
      <w:r w:rsidRPr="002B115B">
        <w:t>Camaioni</w:t>
      </w:r>
      <w:proofErr w:type="spellEnd"/>
      <w:r w:rsidRPr="002B115B">
        <w:t xml:space="preserve">, and P. </w:t>
      </w:r>
      <w:proofErr w:type="spellStart"/>
      <w:r w:rsidRPr="002B115B">
        <w:t>Ercolani</w:t>
      </w:r>
      <w:proofErr w:type="spellEnd"/>
      <w:r w:rsidRPr="002B115B">
        <w:t>, et al. Cog-</w:t>
      </w:r>
      <w:proofErr w:type="spellStart"/>
      <w:r w:rsidRPr="002B115B">
        <w:t>nitive</w:t>
      </w:r>
      <w:proofErr w:type="spellEnd"/>
      <w:r w:rsidRPr="002B115B">
        <w:t xml:space="preserve"> socialization by computer games in two cultures: </w:t>
      </w:r>
      <w:proofErr w:type="spellStart"/>
      <w:r w:rsidRPr="002B115B">
        <w:t>induc-tive</w:t>
      </w:r>
      <w:proofErr w:type="spellEnd"/>
      <w:r w:rsidRPr="002B115B">
        <w:t xml:space="preserve"> discovery or mastery of an iconic code（https://www.sciencedirect.com/science/article/pii/019339739490006X）</w:t>
      </w:r>
      <w:bookmarkStart w:id="0" w:name="_GoBack"/>
      <w:bookmarkEnd w:id="0"/>
    </w:p>
    <w:sectPr w:rsidR="001F445E" w:rsidSect="00B50F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5B"/>
    <w:rsid w:val="001F445E"/>
    <w:rsid w:val="002B115B"/>
    <w:rsid w:val="00B5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B4D20D4-809E-5D49-8C2C-2596518D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2018-12-28T11:27:00Z</dcterms:created>
  <dcterms:modified xsi:type="dcterms:W3CDTF">2018-12-28T11:28:00Z</dcterms:modified>
</cp:coreProperties>
</file>