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t>Evaluating low cost hyperspectral and RGB imaging of inoculated Arabidopsis plants under controlled conditions</w:t>
      </w:r>
    </w:p>
    <w:p>
      <w:pPr>
        <w:pStyle w:val="Author"/>
      </w:pPr>
      <w:r>
        <w:rPr/>
        <w:t xml:space="preserve">Gabriel U. Crabb</w:t>
      </w:r>
      <w:r>
        <w:rPr>
          <w:vertAlign w:val="superscript"/>
        </w:rPr>
        <w:t xml:space="preserve">1,*</w:t>
      </w:r>
      <w:r>
        <w:rPr/>
        <w:t xml:space="preserve">, Yiding Zhao</w:t>
      </w:r>
      <w:r>
        <w:rPr>
          <w:vertAlign w:val="superscript"/>
        </w:rPr>
        <w:t xml:space="preserve">2,3,*</w:t>
      </w:r>
      <w:r>
        <w:rPr/>
        <w:t xml:space="preserve">, Nicholas K. Priest</w:t>
      </w:r>
      <w:r>
        <w:rPr>
          <w:vertAlign w:val="superscript"/>
        </w:rPr>
        <w:t xml:space="preserve">1,†</w:t>
      </w:r>
      <w:r>
        <w:rPr/>
        <w:t xml:space="preserve">, Xi Chen</w:t>
      </w:r>
      <w:r>
        <w:rPr>
          <w:vertAlign w:val="superscript"/>
        </w:rPr>
        <w:t xml:space="preserve">2,3,4,†</w:t>
      </w:r>
      <w:r>
        <w:rPr/>
        <w:t xml:space="preserve">, Volkan Cevik</w:t>
      </w:r>
      <w:r>
        <w:rPr>
          <w:vertAlign w:val="superscript"/>
        </w:rPr>
        <w:t xml:space="preserve">1,†</w:t>
      </w:r>
    </w:p>
    <w:p>
      <w:pPr>
        <w:pStyle w:val="Affiliation"/>
      </w:pPr>
      <w:r>
        <w:rPr/>
        <w:t xml:space="preserve">*These authors contributed equally to this work. †Corresponding authors.</w:t>
      </w:r>
    </w:p>
    <w:p>
      <w:pPr>
        <w:pStyle w:val="Affiliation"/>
      </w:pPr>
      <w:r>
        <w:rPr>
          <w:vertAlign w:val="superscript"/>
        </w:rPr>
        <w:t xml:space="preserve">1</w:t>
      </w:r>
      <w:r>
        <w:rPr/>
        <w:t xml:space="preserve"> </w:t>
      </w:r>
      <w:r>
        <w:rPr/>
        <w:t xml:space="preserve">Milner Centre for Evolution, Department of Life Sciences, University of Bath, Claverton Down, Bath, BA2 7AY, United Kingdom</w:t>
      </w:r>
    </w:p>
    <w:p>
      <w:pPr>
        <w:pStyle w:val="Affiliation"/>
      </w:pPr>
      <w:r>
        <w:rPr>
          <w:vertAlign w:val="superscript"/>
        </w:rPr>
        <w:t xml:space="preserve">2</w:t>
      </w:r>
      <w:r>
        <w:rPr/>
        <w:t xml:space="preserve"> </w:t>
      </w:r>
      <w:r>
        <w:rPr/>
        <w:t xml:space="preserve">Artificial Intelligence Innovation and Incubation Institute, Fudan University, Shanghai, China</w:t>
      </w:r>
    </w:p>
    <w:p>
      <w:pPr>
        <w:pStyle w:val="Affiliation"/>
      </w:pPr>
      <w:r>
        <w:rPr>
          <w:vertAlign w:val="superscript"/>
        </w:rPr>
        <w:t xml:space="preserve">3</w:t>
      </w:r>
      <w:r>
        <w:rPr/>
        <w:t xml:space="preserve"> </w:t>
      </w:r>
      <w:r>
        <w:rPr/>
        <w:t xml:space="preserve">Shanghai Academy of AI for Science, Shanghai, China</w:t>
      </w:r>
    </w:p>
    <w:p>
      <w:pPr>
        <w:pStyle w:val="Affiliation"/>
      </w:pPr>
      <w:r>
        <w:rPr>
          <w:vertAlign w:val="superscript"/>
        </w:rPr>
        <w:t xml:space="preserve">4</w:t>
      </w:r>
      <w:r>
        <w:rPr/>
        <w:t xml:space="preserve"> </w:t>
      </w:r>
      <w:r>
        <w:rPr/>
        <w:t xml:space="preserve">Department of Computer Science, University of Bath, Claverton Down, Bath, BA2 7AY, United Kingdom</w:t>
      </w:r>
    </w:p>
    <w:p>
      <w:pPr>
        <w:pStyle w:val="Affiliation"/>
      </w:pPr>
      <w:r>
        <w:rPr>
          <w:bCs/>
          <w:b/>
        </w:rPr>
        <w:t xml:space="preserve">Corresponding authors:</w:t>
      </w:r>
      <w:r>
        <w:rPr/>
        <w:t xml:space="preserve"> </w:t>
      </w:r>
      <w:r>
        <w:rPr/>
        <w:t xml:space="preserve">Volkan Cevik (v.cevik@bath.ac.uk); Xi Chen (xi_chen@fudan.edu.cn); Nicholas K. Priest (N.Priest@bath.ac.uk)</w:t>
      </w:r>
    </w:p>
    <w:bookmarkStart w:id="20" w:name="highlights"/>
    <w:p>
      <w:pPr>
        <w:pStyle w:val="Heading1"/>
      </w:pPr>
      <w:r>
        <w:rPr/>
        <w:t xml:space="preserve">Highlights</w:t>
      </w:r>
    </w:p>
    <w:p>
      <w:pPr>
        <w:numPr>
          <w:ilvl w:val="0"/>
          <w:numId w:val="1001"/>
        </w:numPr>
        <w:pStyle w:val="Compact"/>
      </w:pPr>
      <w:r>
        <w:rPr/>
        <w:t xml:space="preserve">Low-cost Raspberry Pi hyperspectral camera paired with RGB imaging</w:t>
      </w:r>
    </w:p>
    <w:p>
      <w:pPr>
        <w:numPr>
          <w:ilvl w:val="0"/>
          <w:numId w:val="1001"/>
        </w:numPr>
        <w:pStyle w:val="Compact"/>
      </w:pPr>
      <w:r>
        <w:rPr/>
        <w:t>Inoculated and mock plants compared within each dpi using plant-disjoint folds</w:t>
      </w:r>
    </w:p>
    <w:p>
      <w:pPr>
        <w:numPr>
          <w:ilvl w:val="0"/>
          <w:numId w:val="1001"/>
        </w:numPr>
        <w:pStyle w:val="Compact"/>
      </w:pPr>
      <w:r>
        <w:rPr/>
        <w:t xml:space="preserve">At 4 dpi, before symptoms, RGB-based models reached 84–92% balanced accuracy</w:t>
      </w:r>
    </w:p>
    <w:p>
      <w:pPr>
        <w:numPr>
          <w:ilvl w:val="0"/>
          <w:numId w:val="1001"/>
        </w:numPr>
        <w:pStyle w:val="Compact"/>
      </w:pPr>
      <w:r>
        <w:rPr/>
        <w:t>A benefit of hyperspectral information over RGB was not demonstrated</w:t>
      </w:r>
    </w:p>
    <w:p>
      <w:pPr>
        <w:numPr>
          <w:ilvl w:val="0"/>
          <w:numId w:val="1001"/>
        </w:numPr>
        <w:pStyle w:val="Compact"/>
      </w:pPr>
      <w:r>
        <w:rPr/>
        <w:t xml:space="preserve">Needs a dark room and lamp: a controlled-environment tool, not field-ready</w:t>
      </w:r>
    </w:p>
    <w:bookmarkEnd w:id="20"/>
    <w:bookmarkStart w:id="21" w:name="abstract"/>
    <w:p>
      <w:pPr>
        <w:pStyle w:val="Heading1"/>
      </w:pPr>
      <w:r>
        <w:rPr/>
        <w:t xml:space="preserve">Abstract</w:t>
      </w:r>
    </w:p>
    <w:p>
      <w:pPr>
        <w:pStyle w:val="FirstParagraph"/>
      </w:pPr>
      <w:r>
        <w:rPr/>
        <w:t>Early detection of plant infection requires evaluation that separates treatment-associated signals from repeated observations and acquisition effects. We evaluated a Raspberry Pi hyperspectral imaging (HSI) unit paired with RGB imaging in a single controlled experiment with Arabidopsis thaliana inoculated with Albugo candida. The documented camera components cost £489.20, excluding printing, illumination and supporting equipment. The design comprised 96 plants (72 inoculated and 24 mock-inoculated) imaged at 2, 4 and 6 days post inoculation (dpi); the archived analysis used 569 paired observations. Date-matched binary tasks were evaluated with five plant-disjoint folds and three training seeds, with probabilities aggregated within plants. The dual-stream PSNet model achieved balanced accuracies of 56.16%, 83.56% and 95.37% at 2, 4 and 6 dpi, respectively, and corresponding AUROCs of 0.605, 0.939 and 0.990. RGB-only models performed within the range of multimodal models, and no architectural component showed a consistent benefit across tasks. Exploratory whole-cube spectral comparisons identified 302 of 313 computational bands at 2 dpi, but none at 4 or 6 dpi, after within-date false-discovery-rate correction. This reversed temporal pattern does not establish an infection-specific spectral signal. A separate single-seed, pooled-date experiment found that selecting ten bands on fitting plants retained high classification scores, but paired intervals did not establish an advantage over its full-band reference. Treatment was confounded with tray and acquisition order, and no independent cultivation run was available. The results demonstrate within-run group discrimination under controlled conditions and do not establish field performance or infection-specific diagnosis.</w:t>
      </w:r>
    </w:p>
    <w:p>
      <w:pPr>
        <w:pStyle w:val="Keywords"/>
      </w:pPr>
      <w:r>
        <w:rPr>
          <w:bCs/>
          <w:b/>
        </w:rPr>
        <w:t xml:space="preserve">Keywords:</w:t>
      </w:r>
      <w:r>
        <w:rPr/>
        <w:t xml:space="preserve"> </w:t>
      </w:r>
      <w:r>
        <w:rPr/>
        <w:t xml:space="preserve">hyperspectral imaging; presymptomatic detection; plant disease;</w:t>
      </w:r>
      <w:r>
        <w:rPr/>
        <w:t xml:space="preserve"> </w:t>
      </w:r>
      <w:r>
        <w:rPr>
          <w:iCs/>
          <w:i/>
        </w:rPr>
        <w:t xml:space="preserve">Albugo candida</w:t>
      </w:r>
      <w:r>
        <w:rPr/>
        <w:t xml:space="preserve">;</w:t>
      </w:r>
      <w:r>
        <w:rPr/>
        <w:t xml:space="preserve"> </w:t>
      </w:r>
      <w:r>
        <w:rPr>
          <w:iCs/>
          <w:i/>
        </w:rPr>
        <w:t xml:space="preserve">Arabidopsis thaliana</w:t>
      </w:r>
      <w:r>
        <w:rPr/>
        <w:t xml:space="preserve">; low-cost sensing; multimodal deep learning; plant-level cross-validation</w:t>
      </w:r>
    </w:p>
    <w:bookmarkEnd w:id="21"/>
    <w:bookmarkStart w:id="22" w:name="introduction"/>
    <w:p>
      <w:pPr>
        <w:pStyle w:val="Heading1"/>
        <w:pageBreakBefore w:val="0"/>
      </w:pPr>
      <w:r>
        <w:rPr>
          <w:rStyle w:val="SectionNumber"/>
        </w:rPr>
        <w:t xml:space="preserve">1</w:t>
      </w:r>
      <w:r>
        <w:rPr/>
        <w:tab/>
      </w:r>
      <w:r>
        <w:rPr/>
        <w:t xml:space="preserve">Introduction</w:t>
      </w:r>
    </w:p>
    <w:p>
      <w:pPr>
        <w:pStyle w:val="FirstParagraph"/>
      </w:pPr>
      <w:r>
        <w:rPr/>
        <w:t xml:space="preserve">Plant diseases pose a persistent threat to food security: pests and pathogens are together responsible for up to 40% of annual crop losses worldwide [1,2], and climate change and expanding trade are altering host–pathogen dynamics and increasing outbreak frequency [3,4]. Infection is usually recognised only after visible symptoms emerge, when intervention is less effective and yield loss may already be unavoidable. In practice, growers therefore often rely on prophylactic or calendar-based fungicide and pesticide applications, which raise production costs, cause environmental contamination and non-target effects, and accelerate the evolution of resistance in pathogen populations [5,6]. Reliable presymptomatic diagnostics would allow interventions to be targeted rather than blanket.</w:t>
      </w:r>
    </w:p>
    <w:p>
      <w:pPr>
        <w:pStyle w:val="BodyText"/>
      </w:pPr>
      <w:r>
        <w:rPr/>
        <w:t xml:space="preserve">Existing diagnostic approaches trade sensitivity against deployability. Visual scouting is subjective and detects disease only after symptoms develop [7]. Molecular assays, including PCR-based tests and isothermal amplification, are sensitive but need specialised equipment, laboratory conditions and technical expertise [8,9], and CRISPR-based diagnostics remain at an early stage of field validation [10]. Hyperspectral imaging (HSI) is a non-destructive alternative that records a reflectance spectrum for each pixel and can register changes in pigment content, water status and tissue structure associated with biotic stress [11–14], and presymptomatic detection has been reported in several host–pathogen systems, including tobacco and tomato [15,16]. Its adoption is limited, however, by the cost of commercial systems, by the computational demands of the data, and by wide variation in reported accuracy that reflects differences in sensor design, calibration standards and analytical pipelines [17].</w:t>
      </w:r>
    </w:p>
    <w:p>
      <w:pPr>
        <w:pStyle w:val="BodyText"/>
      </w:pPr>
      <w:r>
        <w:rPr/>
        <w:t>Two features of experimental design further complicate the interpretation of published accuracies. First, hyperspectral datasets usually contain several images of the same plant, so evaluation must partition data at the plant level; otherwise near-duplicate samples appear in both training and test sets and generalisation is overestimated. Second, if controls from every time point are pooled into a single healthy class while inoculated plants are separated by time after inoculation, a classifier can succeed by learning plant age, imaging session or acquisition conditions rather than infection. A credible test of presymptomatic detection therefore compares inoculated and mock-inoculated plants imaged at the same time point, and reports the presymptomatic time points separately from those at which symptoms are already visible. Even then, a random hold-out of plants from one experimental run shares its cultivation cycle, inoculum, calibration session and illumination with the training data, and is not an external test set.</w:t>
      </w:r>
    </w:p>
    <w:p>
      <w:pPr>
        <w:pStyle w:val="BodyText"/>
      </w:pPr>
      <w:r>
        <w:rPr/>
        <w:t xml:space="preserve">Most deep-learning approaches to hyperspectral classification use spectral information alone [18,19]. Combining HSI with inexpensive RGB imaging is an obvious way to add spatial context, and fusion of complementary modalities is generally expected to help. Whether the hyperspectral stream contributes information beyond the RGB stream for early infection, under a design that controls for the confounds above, has been examined less often.</w:t>
      </w:r>
    </w:p>
    <w:p>
      <w:pPr>
        <w:pStyle w:val="BodyText"/>
      </w:pPr>
      <w:r>
        <w:rPr/>
        <w:t xml:space="preserve">Here we describe and evaluate a low-cost imaging unit adapted from an open-source 3D-printed hyperspectral camera [20] and used, together with RGB imaging, on the</w:t>
      </w:r>
      <w:r>
        <w:rPr/>
        <w:t xml:space="preserve"> </w:t>
      </w:r>
      <w:r>
        <w:rPr>
          <w:iCs/>
          <w:i/>
        </w:rPr>
        <w:t xml:space="preserve">Arabidopsis thaliana</w:t>
      </w:r>
      <w:r>
        <w:rPr/>
        <w:t xml:space="preserve">–</w:t>
      </w:r>
      <w:r>
        <w:rPr>
          <w:iCs/>
          <w:i/>
        </w:rPr>
        <w:t xml:space="preserve">Albugo candida</w:t>
      </w:r>
      <w:r>
        <w:rPr/>
        <w:t xml:space="preserve"> </w:t>
      </w:r>
      <w:r>
        <w:rPr/>
        <w:t xml:space="preserve">pathosystem.</w:t>
      </w:r>
      <w:r>
        <w:rPr/>
        <w:t xml:space="preserve"> </w:t>
      </w:r>
      <w:r>
        <w:rPr>
          <w:iCs/>
          <w:i/>
        </w:rPr>
        <w:t xml:space="preserve">A. thaliana</w:t>
      </w:r>
      <w:r>
        <w:rPr/>
        <w:t xml:space="preserve"> </w:t>
      </w:r>
      <w:r>
        <w:rPr/>
        <w:t xml:space="preserve">is a genetically tractable host with a well-characterised immune system [21], and</w:t>
      </w:r>
      <w:r>
        <w:rPr/>
        <w:t xml:space="preserve"> </w:t>
      </w:r>
      <w:r>
        <w:rPr>
          <w:iCs/>
          <w:i/>
        </w:rPr>
        <w:t xml:space="preserve">A. candida</w:t>
      </w:r>
      <w:r>
        <w:rPr/>
        <w:t xml:space="preserve"> </w:t>
      </w:r>
      <w:r>
        <w:rPr/>
        <w:t>has a defined latent phase before visible symptoms appear [22]. Plants were imaged at 2 and 4 days post inoculation (dpi), before visible symptoms, and at 6 dpi, when sporulation has begun on the abaxial leaf surface although the imaged upper surface remains symptom-free. Our aims were to (i) document the imaging unit, its cost boundary and the acquisition conditions it requires; (ii) evaluate inoculated versus mock-inoculated classification separately at each time point under plant-disjoint cross-validation with several random seeds; (iii) test, with RGB-only, HSI-only and multimodal baselines and ablations, whether the hyperspectral stream adds information; and (iv) state explicitly what this single-run dataset can and cannot show. We evaluated a dual-stream HSI–RGB Transformer, PSNet, as the multimodal model, and we report all baselines and variants for which complete results are available, including those in which PSNet does not perform best.</w:t>
      </w:r>
    </w:p>
    <w:bookmarkEnd w:id="22"/>
    <w:bookmarkStart w:id="48" w:name="materials-and-methods"/>
    <w:p>
      <w:pPr>
        <w:pStyle w:val="Heading1"/>
      </w:pPr>
      <w:r>
        <w:rPr>
          <w:rStyle w:val="SectionNumber"/>
        </w:rPr>
        <w:t xml:space="preserve">2</w:t>
      </w:r>
      <w:r>
        <w:rPr/>
        <w:tab/>
      </w:r>
      <w:r>
        <w:rPr/>
        <w:t xml:space="preserve">Materials and methods</w:t>
      </w:r>
    </w:p>
    <w:p>
      <w:pPr>
        <w:pStyle w:val="FirstParagraph"/>
      </w:pPr>
      <w:r>
        <w:rPr/>
        <w:t xml:space="preserve">Sections 2.1–2.4 describe the biological material, the imaging unit, the acquisition protocol and the calibration and preprocessing. Section 2.5 defines the dataset, the classification tasks and the plant-level evaluation design. Section 2.6 describes the computational framework (PSNet, baselines and ablations) and section 2.7 the spectral statistics.</w:t>
      </w:r>
    </w:p>
    <w:p>
      <w:pPr>
        <w:pStyle w:val="CaptionedFigure"/>
        <w:keepNext/>
      </w:pPr>
      <w:r>
        <w:rPr/>
        <w:drawing>
          <wp:inline>
            <wp:extent cx="5623560" cy="4308512"/>
            <wp:docPr id="58" name="Picture 58"/>
            <wp:cNvGraphicFramePr>
              <a:graphicFrameLocks noChangeAspect="1"/>
            </wp:cNvGraphicFramePr>
            <a:graphic>
              <a:graphicData uri="http://schemas.openxmlformats.org/drawingml/2006/picture">
                <pic:pic>
                  <pic:nvPicPr>
                    <pic:cNvPr id="0" name="Figure_1_workflow.png"/>
                    <pic:cNvPicPr/>
                  </pic:nvPicPr>
                  <pic:blipFill>
                    <a:blip r:embed="rId10"/>
                    <a:stretch>
                      <a:fillRect/>
                    </a:stretch>
                  </pic:blipFill>
                  <pic:spPr>
                    <a:xfrm>
                      <a:off x="0" y="0"/>
                      <a:ext cx="5623560" cy="4308512"/>
                    </a:xfrm>
                    <a:prstGeom prst="rect"/>
                  </pic:spPr>
                </pic:pic>
              </a:graphicData>
            </a:graphic>
          </wp:inline>
        </w:drawing>
      </w:r>
    </w:p>
    <w:p>
      <w:pPr>
        <w:pStyle w:val="ImageCaption"/>
      </w:pPr>
      <w:r>
        <w:rPr/>
        <w:t>Figure 1. Experimental design and analysis workflow. Arabidopsis thaliana plants were inoculated with Albugo candida or mock-inoculated and imaged at 2, 4 and 6 dpi. Paired HSI and RGB observations were partitioned by plant and evaluated in date-matched binary tasks. Microscopy was reported for a reserved leaf subset; it was not a quantitative per-plant reference standard for the classification labels.</w:t>
      </w:r>
    </w:p>
    <w:bookmarkStart w:id="26" w:name="Xf70e0d54fb9fb3ec027ea990beb484a79e0879b"/>
    <w:p>
      <w:pPr>
        <w:pStyle w:val="Heading2"/>
      </w:pPr>
      <w:r>
        <w:rPr>
          <w:rStyle w:val="SectionNumber"/>
        </w:rPr>
        <w:t xml:space="preserve">2.1</w:t>
      </w:r>
      <w:r>
        <w:rPr/>
        <w:tab/>
      </w:r>
      <w:r>
        <w:rPr/>
        <w:t xml:space="preserve">Plant material, inoculation and infection validation</w:t>
      </w:r>
    </w:p>
    <w:p>
      <w:pPr>
        <w:pStyle w:val="FirstParagraph"/>
      </w:pPr>
      <w:r>
        <w:rPr/>
        <w:t xml:space="preserve">The host was the fully susceptible</w:t>
      </w:r>
      <w:r>
        <w:rPr/>
        <w:t xml:space="preserve"> </w:t>
      </w:r>
      <w:r>
        <w:rPr>
          <w:iCs/>
          <w:i/>
        </w:rPr>
        <w:t xml:space="preserve">A. thaliana</w:t>
      </w:r>
      <w:r>
        <w:rPr/>
        <w:t xml:space="preserve"> </w:t>
      </w:r>
      <w:r>
        <w:rPr/>
        <w:t xml:space="preserve">line Col-</w:t>
      </w:r>
      <w:r>
        <w:rPr>
          <w:iCs/>
          <w:i/>
        </w:rPr>
        <w:t xml:space="preserve">eds1.2</w:t>
      </w:r>
      <w:r>
        <w:rPr/>
        <w:t xml:space="preserve"> </w:t>
      </w:r>
      <w:r>
        <w:rPr>
          <w:iCs/>
          <w:i/>
        </w:rPr>
        <w:t xml:space="preserve">wrr7</w:t>
      </w:r>
      <w:r>
        <w:rPr/>
        <w:t xml:space="preserve"> </w:t>
      </w:r>
      <w:r>
        <w:rPr/>
        <w:t xml:space="preserve">[23], which is highly susceptible to the oomycete</w:t>
      </w:r>
      <w:r>
        <w:rPr/>
        <w:t xml:space="preserve"> </w:t>
      </w:r>
      <w:r>
        <w:rPr>
          <w:iCs/>
          <w:i/>
        </w:rPr>
        <w:t xml:space="preserve">A. candida</w:t>
      </w:r>
      <w:r>
        <w:rPr/>
        <w:t xml:space="preserve"> </w:t>
      </w:r>
      <w:r>
        <w:rPr/>
        <w:t xml:space="preserve">(white blister rust) race 4 isolate AcEM2. Seeds were obtained from a certified stock centre. Five 6 × 4 cell trays were filled with a well-drained soil:sand substrate (F2s), and an additional pot with the same mix was used for germination. Seeds were broadcast, vernalised at 4 °C in darkness for 72 h, and transplanted at one plant per cell. Trays stood in water-filled catch trays to maintain uniform moisture by capillarity. Humidity lids were removed at the first true-leaf stage. Unless stated otherwise, conditions were 22 °C, 16 h light/8 h dark, ~60% relative humidity and 120–150 μmol m</w:t>
      </w:r>
      <w:r>
        <w:rPr>
          <w:vertAlign w:val="superscript"/>
        </w:rPr>
        <w:t xml:space="preserve">−2</w:t>
      </w:r>
      <w:r>
        <w:rPr/>
        <w:t xml:space="preserve"> </w:t>
      </w:r>
      <w:r>
        <w:rPr/>
        <w:t xml:space="preserve">s</w:t>
      </w:r>
      <w:r>
        <w:rPr>
          <w:vertAlign w:val="superscript"/>
        </w:rPr>
        <w:t xml:space="preserve">−1</w:t>
      </w:r>
      <w:r>
        <w:rPr/>
        <w:t xml:space="preserve"> </w:t>
      </w:r>
      <w:r>
        <w:rPr/>
        <w:t xml:space="preserve">photosynthetic photon flux density. Seedlings were inoculated about three weeks after transplanting, when rosettes bore four to five true leaves.</w:t>
      </w:r>
    </w:p>
    <w:p>
      <w:pPr>
        <w:pStyle w:val="BodyText"/>
      </w:pPr>
      <w:r>
        <w:rPr/>
        <w:t>Spray guns, flasks and bottles were wiped with 100% ethanol before use. Leaves bearing visible A. candida pustules were suspended in chilled sterile water, and sporangia were dislodged by gentle agitation, filtered through nylon mesh and diluted on ice to 10⁵ spores ml⁻¹. Controls received sterile water only. A single run used 96 seedlings (72 inoculated, 24 mock-inoculated). Both leaf surfaces were misted to run-off. Trays were held at 4 °C for 24 h and then at 22 °C with 10 h light and 18 °C with 14 h dark until 2 dpi, after which standard growth conditions resumed. Symptoms were assessed visually; abaxial sporulation was observed around 6–8 dpi. Trypan blue staining and microscopy were reported for a reserved subset at 2, 4 and 6 dpi, following the previously cited workflow [24]. The available records do not establish stained-leaf denominators, matched mock results or a per-plant infection confirmation rate. Accordingly, the computational labels denote inoculation treatment, not independently confirmed infection in every plant.</w:t>
      </w:r>
    </w:p>
    <w:bookmarkEnd w:id="26"/>
    <w:bookmarkStart w:id="30" w:name="low-cost-imaging-unit"/>
    <w:p>
      <w:pPr>
        <w:pStyle w:val="Heading2"/>
      </w:pPr>
      <w:r>
        <w:rPr>
          <w:rStyle w:val="SectionNumber"/>
        </w:rPr>
        <w:t xml:space="preserve">2.2</w:t>
      </w:r>
      <w:r>
        <w:rPr/>
        <w:tab/>
      </w:r>
      <w:r>
        <w:rPr/>
        <w:t xml:space="preserve">Low-cost imaging unit</w:t>
      </w:r>
    </w:p>
    <w:p>
      <w:pPr>
        <w:pStyle w:val="FirstParagraph"/>
      </w:pPr>
      <w:r>
        <w:rPr/>
        <w:t>The hyperspectral camera was adapted from the open-source 3D-printed design of Salazar-Vazquez and Mendez-Vazquez [20]. The camera, controller and software were updated (Table 1). The camera mount, Part07_Camera, was redesigned as Part07_Camera_Module_3 to accommodate the different lens and autofocus geometry while retaining the PCB mounting-hole positions. The remaining enclosure and optical components were retained except for the objective-lens upgrade described below. Alternative case and lid variants were prototyped but were not used in the final system. The unit is an engineering adaptation of an existing design; the original design files are described in [20].</w:t>
      </w:r>
    </w:p>
    <w:p>
      <w:pPr>
        <w:pStyle w:val="BodyText"/>
      </w:pPr>
      <w:r>
        <w:rPr/>
        <w:t>The optical train (Fig. 2b) comprises a 35 mm Edmund Optics C Series VIS–NIR fixed-focal-length lens (part 67-716; component 2), a front lens (3), a square aperture (4), two extension tubes (5, 6), a +10 macro lens of 52 mm diameter (7) and a diffraction grating (8), mounted on the camera base (9) that carries the sensor board (10). The processing software of the original design (squareHSIBetaV1) extracts the zero-order and first-order diffraction regions from each exposure and, after wavelength calibration and dark correction, assembles them into a spectral cube [20]. The original design used a different 35 mm Edmund Optics lens (part 59872); the VIS–NIR lens was a deliberate optical upgrade. The +10 close-up lens and the diffraction grating were retained from the original build. Source images were acquired at 2592 × 1944 pixels and reconstructed into cubes of 132 × 135 spatial pixels. The Camera Module 3 (IMX708) supports a higher native resolution than the 2592 × 1944 output used here. We retained that output size because the reconstruction software (squareHSIBetaV1) was developed around the earlier camera and expects this image format, and we could not modify it sufficiently within this study to use the full native output. The spatial resolution of the sensor was therefore not fully exploited (Section 4.6). Sensor readout and exposure are controlled by a Raspberry Pi 4B through the libcamera stack.</w:t>
      </w:r>
    </w:p>
    <w:p>
      <w:pPr>
        <w:pStyle w:val="TableCaption"/>
      </w:pPr>
      <w:r>
        <w:rPr>
          <w:bCs/>
          <w:b/>
        </w:rPr>
        <w:t xml:space="preserve">Table 1.</w:t>
      </w:r>
      <w:r>
        <w:rPr/>
        <w:t xml:space="preserve"> </w:t>
      </w:r>
      <w:r>
        <w:rPr/>
        <w:t xml:space="preserve">Modifications to the open-source 3D-printed hyperspectral camera design of Salazar-Vazquez and Mendez-Vazquez [20].</w:t>
      </w:r>
    </w:p>
    <w:tbl>
      <w:tblPr>
        <w:tblCaption w:val="Table 1. Modifications to the open-source 3D-printed hyperspectral camera design of Salazar-Vazquez and Mendez-Vazquez [20]."/>
        <w:tblW w:w="907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1474"/>
        <w:gridCol w:w="1928"/>
        <w:gridCol w:w="2835"/>
        <w:gridCol w:w="2835"/>
      </w:tblGrid>
      <w:tr>
        <w:trPr>
          <w:tblHeader w:val="true"/>
          <w:cantSplit/>
          <w:tblHeader/>
        </w:trPr>
        <w:tc>
          <w:tcPr>
            <w:tcW w:w="1474" w:type="dxa"/>
            <w:tcBorders>
              <w:bottom w:val="single" w:sz="5" w:space="0" w:color="000000"/>
            </w:tcBorders>
            <w:vAlign w:val="center"/>
          </w:tcPr>
          <w:p>
            <w:pPr>
              <w:pStyle w:val="Compact"/>
              <w:spacing w:before="0" w:after="60" w:line="240" w:lineRule="auto"/>
              <w:jc w:val="left"/>
            </w:pPr>
            <w:r>
              <w:rPr>
                <w:b/>
                <w:sz w:val="18"/>
              </w:rPr>
              <w:t xml:space="preserve">Component</w:t>
            </w:r>
          </w:p>
        </w:tc>
        <w:tc>
          <w:tcPr>
            <w:tcW w:w="1928" w:type="dxa"/>
            <w:tcBorders>
              <w:bottom w:val="single" w:sz="5" w:space="0" w:color="000000"/>
            </w:tcBorders>
            <w:vAlign w:val="center"/>
          </w:tcPr>
          <w:p>
            <w:pPr>
              <w:pStyle w:val="Compact"/>
              <w:spacing w:before="0" w:after="60" w:line="240" w:lineRule="auto"/>
              <w:jc w:val="left"/>
            </w:pPr>
            <w:r>
              <w:rPr>
                <w:b/>
                <w:sz w:val="18"/>
              </w:rPr>
              <w:t xml:space="preserve">Original design</w:t>
            </w:r>
          </w:p>
        </w:tc>
        <w:tc>
          <w:tcPr>
            <w:tcW w:w="2835" w:type="dxa"/>
            <w:tcBorders>
              <w:bottom w:val="single" w:sz="5" w:space="0" w:color="000000"/>
            </w:tcBorders>
            <w:vAlign w:val="center"/>
          </w:tcPr>
          <w:p>
            <w:pPr>
              <w:pStyle w:val="Compact"/>
              <w:spacing w:before="0" w:after="60" w:line="240" w:lineRule="auto"/>
              <w:jc w:val="left"/>
            </w:pPr>
            <w:r>
              <w:rPr>
                <w:b/>
                <w:sz w:val="18"/>
              </w:rPr>
              <w:t xml:space="preserve">This build</w:t>
            </w:r>
          </w:p>
        </w:tc>
        <w:tc>
          <w:tcPr>
            <w:tcW w:w="2835" w:type="dxa"/>
            <w:tcBorders>
              <w:bottom w:val="single" w:sz="5" w:space="0" w:color="000000"/>
            </w:tcBorders>
            <w:vAlign w:val="center"/>
          </w:tcPr>
          <w:p>
            <w:pPr>
              <w:pStyle w:val="Compact"/>
              <w:spacing w:before="0" w:after="60" w:line="240" w:lineRule="auto"/>
              <w:jc w:val="left"/>
            </w:pPr>
            <w:r>
              <w:rPr>
                <w:b/>
                <w:sz w:val="18"/>
              </w:rPr>
              <w:t xml:space="preserve">Purpose or effect</w:t>
            </w:r>
          </w:p>
        </w:tc>
      </w:tr>
      <w:tr>
        <w:trPr>
          <w:cantSplit/>
        </w:trPr>
        <w:tc>
          <w:tcPr>
            <w:tcW w:w="1474" w:type="dxa"/>
          </w:tcPr>
          <w:p>
            <w:pPr>
              <w:pStyle w:val="Compact"/>
              <w:spacing w:before="0" w:after="60" w:line="240" w:lineRule="auto"/>
              <w:jc w:val="left"/>
            </w:pPr>
            <w:r>
              <w:rPr>
                <w:sz w:val="18"/>
              </w:rPr>
              <w:t xml:space="preserve">Camera module</w:t>
            </w:r>
          </w:p>
        </w:tc>
        <w:tc>
          <w:tcPr>
            <w:tcW w:w="1928" w:type="dxa"/>
          </w:tcPr>
          <w:p>
            <w:pPr>
              <w:pStyle w:val="Compact"/>
              <w:spacing w:before="0" w:after="60" w:line="240" w:lineRule="auto"/>
              <w:jc w:val="left"/>
            </w:pPr>
            <w:r>
              <w:rPr>
                <w:sz w:val="18"/>
              </w:rPr>
              <w:t xml:space="preserve">Raspberry Pi Camera Module 2 NoIR</w:t>
            </w:r>
          </w:p>
        </w:tc>
        <w:tc>
          <w:tcPr>
            <w:tcW w:w="2835" w:type="dxa"/>
          </w:tcPr>
          <w:p>
            <w:pPr>
              <w:pStyle w:val="Compact"/>
              <w:spacing w:before="0" w:after="60" w:line="240" w:lineRule="auto"/>
              <w:jc w:val="left"/>
            </w:pPr>
            <w:r>
              <w:rPr>
                <w:sz w:val="18"/>
              </w:rPr>
              <w:t xml:space="preserve">Raspberry Pi Camera Module 3 NoIR (12 MP, Sony IMX708)</w:t>
            </w:r>
          </w:p>
        </w:tc>
        <w:tc>
          <w:tcPr>
            <w:tcW w:w="2835" w:type="dxa"/>
          </w:tcPr>
          <w:p>
            <w:pPr>
              <w:pStyle w:val="Compact"/>
              <w:spacing w:before="0" w:after="60" w:line="240" w:lineRule="auto"/>
              <w:jc w:val="left"/>
            </w:pPr>
            <w:r>
              <w:rPr>
                <w:sz w:val="18"/>
              </w:rPr>
              <w:t xml:space="preserve">NoIR variant omits the infrared-blocking filter, preserving response beyond the visible range</w:t>
            </w:r>
          </w:p>
        </w:tc>
      </w:tr>
      <w:tr>
        <w:trPr>
          <w:cantSplit/>
        </w:trPr>
        <w:tc>
          <w:tcPr>
            <w:tcW w:w="1474" w:type="dxa"/>
          </w:tcPr>
          <w:p>
            <w:pPr>
              <w:pStyle w:val="Compact"/>
              <w:spacing w:before="0" w:after="60" w:line="240" w:lineRule="auto"/>
              <w:jc w:val="left"/>
            </w:pPr>
            <w:r>
              <w:rPr>
                <w:sz w:val="18"/>
              </w:rPr>
              <w:t xml:space="preserve">Controller</w:t>
            </w:r>
          </w:p>
        </w:tc>
        <w:tc>
          <w:tcPr>
            <w:tcW w:w="1928" w:type="dxa"/>
          </w:tcPr>
          <w:p>
            <w:pPr>
              <w:pStyle w:val="Compact"/>
              <w:spacing w:before="0" w:after="60" w:line="240" w:lineRule="auto"/>
              <w:jc w:val="left"/>
            </w:pPr>
            <w:r>
              <w:rPr>
                <w:sz w:val="18"/>
              </w:rPr>
              <w:t xml:space="preserve">Raspberry Pi 3B</w:t>
            </w:r>
          </w:p>
        </w:tc>
        <w:tc>
          <w:tcPr>
            <w:tcW w:w="2835" w:type="dxa"/>
          </w:tcPr>
          <w:p>
            <w:pPr>
              <w:pStyle w:val="Compact"/>
              <w:spacing w:before="0" w:after="60" w:line="240" w:lineRule="auto"/>
              <w:jc w:val="left"/>
            </w:pPr>
            <w:r>
              <w:rPr>
                <w:sz w:val="18"/>
              </w:rPr>
              <w:t xml:space="preserve">Raspberry Pi 4B (8 GB RAM)</w:t>
            </w:r>
          </w:p>
        </w:tc>
        <w:tc>
          <w:tcPr>
            <w:tcW w:w="2835" w:type="dxa"/>
          </w:tcPr>
          <w:p>
            <w:pPr>
              <w:pStyle w:val="Compact"/>
              <w:spacing w:before="0" w:after="60" w:line="240" w:lineRule="auto"/>
              <w:jc w:val="left"/>
            </w:pPr>
            <w:r>
              <w:rPr>
                <w:sz w:val="18"/>
              </w:rPr>
              <w:t xml:space="preserve">Processing stability; power delivery through USB-C</w:t>
            </w:r>
          </w:p>
        </w:tc>
      </w:tr>
      <w:tr>
        <w:trPr>
          <w:cantSplit/>
        </w:trPr>
        <w:tc>
          <w:tcPr>
            <w:tcW w:w="1474" w:type="dxa"/>
          </w:tcPr>
          <w:p>
            <w:pPr>
              <w:pStyle w:val="Compact"/>
              <w:spacing w:before="0" w:after="60" w:line="240" w:lineRule="auto"/>
              <w:jc w:val="left"/>
            </w:pPr>
            <w:r>
              <w:rPr>
                <w:sz w:val="18"/>
              </w:rPr>
              <w:t xml:space="preserve">Objective lens</w:t>
            </w:r>
          </w:p>
        </w:tc>
        <w:tc>
          <w:tcPr>
            <w:tcW w:w="1928" w:type="dxa"/>
          </w:tcPr>
          <w:p>
            <w:pPr>
              <w:pStyle w:val="Compact"/>
              <w:spacing w:before="0" w:after="60" w:line="240" w:lineRule="auto"/>
              <w:jc w:val="left"/>
            </w:pPr>
            <w:r>
              <w:rPr>
                <w:sz w:val="18"/>
              </w:rPr>
              <w:t xml:space="preserve">Edmund Optics 35 mm C Series fixed-focal-length lens, #59872</w:t>
            </w:r>
          </w:p>
        </w:tc>
        <w:tc>
          <w:tcPr>
            <w:tcW w:w="2835" w:type="dxa"/>
          </w:tcPr>
          <w:p>
            <w:pPr>
              <w:pStyle w:val="Compact"/>
              <w:spacing w:before="0" w:after="60" w:line="240" w:lineRule="auto"/>
              <w:jc w:val="left"/>
            </w:pPr>
            <w:r>
              <w:rPr>
                <w:sz w:val="18"/>
              </w:rPr>
              <w:t xml:space="preserve">Edmund Optics 35 mm C Series VIS–NIR fixed-focal-length lens, #67-716 (£382.50)</w:t>
            </w:r>
          </w:p>
        </w:tc>
        <w:tc>
          <w:tcPr>
            <w:tcW w:w="2835" w:type="dxa"/>
          </w:tcPr>
          <w:p>
            <w:pPr>
              <w:pStyle w:val="Compact"/>
              <w:spacing w:before="0" w:after="60" w:line="240" w:lineRule="auto"/>
              <w:jc w:val="left"/>
            </w:pPr>
            <w:r>
              <w:rPr>
                <w:sz w:val="18"/>
              </w:rPr>
              <w:t xml:space="preserve">Deliberate VIS–NIR upgrade; transmission in the red and near-infrared</w:t>
            </w:r>
          </w:p>
        </w:tc>
      </w:tr>
      <w:tr>
        <w:trPr>
          <w:cantSplit/>
        </w:trPr>
        <w:tc>
          <w:tcPr>
            <w:tcW w:w="1474" w:type="dxa"/>
          </w:tcPr>
          <w:p>
            <w:pPr>
              <w:pStyle w:val="Compact"/>
              <w:spacing w:before="0" w:after="60" w:line="240" w:lineRule="auto"/>
              <w:jc w:val="left"/>
            </w:pPr>
            <w:r>
              <w:rPr>
                <w:sz w:val="18"/>
              </w:rPr>
              <w:t xml:space="preserve">Close-up lens and grating</w:t>
            </w:r>
          </w:p>
        </w:tc>
        <w:tc>
          <w:tcPr>
            <w:tcW w:w="1928" w:type="dxa"/>
          </w:tcPr>
          <w:p>
            <w:pPr>
              <w:pStyle w:val="Compact"/>
              <w:spacing w:before="0" w:after="60" w:line="240" w:lineRule="auto"/>
              <w:jc w:val="left"/>
            </w:pPr>
            <w:r>
              <w:rPr>
                <w:sz w:val="18"/>
              </w:rPr>
              <w:t xml:space="preserve">+10 close-up lens; diffraction grating</w:t>
            </w:r>
          </w:p>
        </w:tc>
        <w:tc>
          <w:tcPr>
            <w:tcW w:w="2835" w:type="dxa"/>
          </w:tcPr>
          <w:p>
            <w:pPr>
              <w:pStyle w:val="Compact"/>
              <w:spacing w:before="0" w:after="60" w:line="240" w:lineRule="auto"/>
              <w:jc w:val="left"/>
            </w:pPr>
            <w:r>
              <w:rPr>
                <w:sz w:val="18"/>
              </w:rPr>
              <w:t xml:space="preserve">Both retained from the original build</w:t>
            </w:r>
          </w:p>
        </w:tc>
        <w:tc>
          <w:tcPr>
            <w:tcW w:w="2835" w:type="dxa"/>
          </w:tcPr>
          <w:p>
            <w:pPr>
              <w:pStyle w:val="Compact"/>
              <w:spacing w:before="0" w:after="60" w:line="240" w:lineRule="auto"/>
              <w:jc w:val="left"/>
            </w:pPr>
            <w:r>
              <w:rPr>
                <w:sz w:val="18"/>
              </w:rPr>
              <w:t xml:space="preserve">No change</w:t>
            </w:r>
          </w:p>
        </w:tc>
      </w:tr>
      <w:tr>
        <w:trPr>
          <w:cantSplit/>
        </w:trPr>
        <w:tc>
          <w:tcPr>
            <w:tcW w:w="1474" w:type="dxa"/>
          </w:tcPr>
          <w:p>
            <w:pPr>
              <w:pStyle w:val="Compact"/>
              <w:spacing w:before="0" w:after="60" w:line="240" w:lineRule="auto"/>
              <w:jc w:val="left"/>
            </w:pPr>
            <w:r>
              <w:rPr>
                <w:sz w:val="18"/>
              </w:rPr>
              <w:t xml:space="preserve">Focusing</w:t>
            </w:r>
          </w:p>
        </w:tc>
        <w:tc>
          <w:tcPr>
            <w:tcW w:w="1928" w:type="dxa"/>
          </w:tcPr>
          <w:p>
            <w:pPr>
              <w:pStyle w:val="Compact"/>
              <w:spacing w:before="0" w:after="60" w:line="240" w:lineRule="auto"/>
              <w:jc w:val="left"/>
            </w:pPr>
            <w:r>
              <w:rPr>
                <w:sz w:val="18"/>
              </w:rPr>
              <w:t xml:space="preserve">—</w:t>
            </w:r>
          </w:p>
        </w:tc>
        <w:tc>
          <w:tcPr>
            <w:tcW w:w="2835" w:type="dxa"/>
          </w:tcPr>
          <w:p>
            <w:pPr>
              <w:pStyle w:val="Compact"/>
              <w:spacing w:before="0" w:after="60" w:line="240" w:lineRule="auto"/>
              <w:jc w:val="left"/>
            </w:pPr>
            <w:r>
              <w:rPr>
                <w:sz w:val="18"/>
              </w:rPr>
              <w:t xml:space="preserve">External lens fixed for imaging geometry; Camera Module 3 autofocus (macro range) for fine focus</w:t>
            </w:r>
          </w:p>
        </w:tc>
        <w:tc>
          <w:tcPr>
            <w:tcW w:w="2835" w:type="dxa"/>
          </w:tcPr>
          <w:p>
            <w:pPr>
              <w:pStyle w:val="Compact"/>
              <w:spacing w:before="0" w:after="60" w:line="240" w:lineRule="auto"/>
              <w:jc w:val="left"/>
            </w:pPr>
            <w:r>
              <w:rPr>
                <w:sz w:val="18"/>
              </w:rPr>
              <w:t xml:space="preserve">Consistent focus on small leaves at close range</w:t>
            </w:r>
          </w:p>
        </w:tc>
      </w:tr>
      <w:tr>
        <w:trPr>
          <w:cantSplit/>
        </w:trPr>
        <w:tc>
          <w:tcPr>
            <w:tcW w:w="1474" w:type="dxa"/>
          </w:tcPr>
          <w:p>
            <w:pPr>
              <w:pStyle w:val="Compact"/>
              <w:spacing w:before="0" w:after="60" w:line="240" w:lineRule="auto"/>
              <w:jc w:val="left"/>
            </w:pPr>
            <w:r>
              <w:rPr>
                <w:sz w:val="18"/>
              </w:rPr>
              <w:t xml:space="preserve">Acquisition software</w:t>
            </w:r>
          </w:p>
        </w:tc>
        <w:tc>
          <w:tcPr>
            <w:tcW w:w="1928" w:type="dxa"/>
          </w:tcPr>
          <w:p>
            <w:pPr>
              <w:pStyle w:val="Compact"/>
              <w:spacing w:before="0" w:after="60" w:line="240" w:lineRule="auto"/>
              <w:jc w:val="left"/>
            </w:pPr>
            <w:r>
              <w:rPr>
                <w:sz w:val="18"/>
              </w:rPr>
              <w:t xml:space="preserve">raspistill / raspivid utilities</w:t>
            </w:r>
          </w:p>
        </w:tc>
        <w:tc>
          <w:tcPr>
            <w:tcW w:w="2835" w:type="dxa"/>
          </w:tcPr>
          <w:p>
            <w:pPr>
              <w:pStyle w:val="Compact"/>
              <w:spacing w:before="0" w:after="60" w:line="240" w:lineRule="auto"/>
              <w:jc w:val="left"/>
            </w:pPr>
            <w:r>
              <w:rPr>
                <w:sz w:val="18"/>
              </w:rPr>
              <w:t xml:space="preserve">libcamera stack</w:t>
            </w:r>
          </w:p>
        </w:tc>
        <w:tc>
          <w:tcPr>
            <w:tcW w:w="2835" w:type="dxa"/>
          </w:tcPr>
          <w:p>
            <w:pPr>
              <w:pStyle w:val="Compact"/>
              <w:spacing w:before="0" w:after="60" w:line="240" w:lineRule="auto"/>
              <w:jc w:val="left"/>
            </w:pPr>
            <w:r>
              <w:rPr>
                <w:sz w:val="18"/>
              </w:rPr>
              <w:t xml:space="preserve">Stable preview and fine-grained control under current Raspberry Pi OS</w:t>
            </w:r>
          </w:p>
        </w:tc>
      </w:tr>
      <w:tr>
        <w:trPr>
          <w:cantSplit/>
        </w:trPr>
        <w:tc>
          <w:tcPr>
            <w:tcW w:w="1474" w:type="dxa"/>
          </w:tcPr>
          <w:p>
            <w:pPr>
              <w:pStyle w:val="Compact"/>
              <w:spacing w:before="0" w:after="60" w:line="240" w:lineRule="auto"/>
              <w:jc w:val="left"/>
            </w:pPr>
            <w:r>
              <w:rPr>
                <w:sz w:val="18"/>
              </w:rPr>
              <w:t xml:space="preserve">Camera mount</w:t>
            </w:r>
          </w:p>
        </w:tc>
        <w:tc>
          <w:tcPr>
            <w:tcW w:w="1928" w:type="dxa"/>
          </w:tcPr>
          <w:p>
            <w:pPr>
              <w:pStyle w:val="Compact"/>
              <w:spacing w:before="0" w:after="60" w:line="240" w:lineRule="auto"/>
              <w:jc w:val="left"/>
            </w:pPr>
            <w:r>
              <w:rPr>
                <w:sz w:val="18"/>
              </w:rPr>
              <w:t xml:space="preserve">Part07_Camera</w:t>
            </w:r>
          </w:p>
        </w:tc>
        <w:tc>
          <w:tcPr>
            <w:tcW w:w="2835" w:type="dxa"/>
          </w:tcPr>
          <w:p>
            <w:pPr>
              <w:pStyle w:val="Compact"/>
              <w:spacing w:before="0" w:after="60" w:line="240" w:lineRule="auto"/>
              <w:jc w:val="left"/>
            </w:pPr>
            <w:r>
              <w:rPr>
                <w:sz w:val="18"/>
              </w:rPr>
              <w:t xml:space="preserve">Redesigned as Part07_Camera_Module_3</w:t>
            </w:r>
          </w:p>
        </w:tc>
        <w:tc>
          <w:tcPr>
            <w:tcW w:w="2835" w:type="dxa"/>
          </w:tcPr>
          <w:p>
            <w:pPr>
              <w:pStyle w:val="Compact"/>
              <w:spacing w:before="0" w:after="60" w:line="240" w:lineRule="auto"/>
              <w:jc w:val="left"/>
            </w:pPr>
            <w:r>
              <w:rPr>
                <w:sz w:val="18"/>
              </w:rPr>
              <w:t xml:space="preserve">Same PCB hole positions; different lens and autofocus geometry. All other structural parts unchanged</w:t>
            </w:r>
          </w:p>
        </w:tc>
      </w:tr>
    </w:tbl>
    <w:p>
      <w:pPr>
        <w:pStyle w:val="CaptionedFigure"/>
        <w:keepNext/>
      </w:pPr>
      <w:r>
        <w:rPr/>
        <w:drawing>
          <wp:inline>
            <wp:extent cx="5334000" cy="4452112"/>
            <wp:effectExtent b="0" l="0" r="0" t="0"/>
            <wp:docPr descr="Figure 2. The low-cost hyperspectral imaging (HSI) unit. (a) Assembled unit. (b) Exploded view (CAD render) of the optical, structural and electronic components: 1 case; 2 35 mm Edmund Optics C Series VIS–NIR fixed-focal-length lens (67-716); 3 front lens; 4 square aperture; 5, 6 extension tubes; 7 +10 macro 52 mm lens; 8 diffraction grating; 9 camera base; 10 Raspberry Pi Camera Module 3 NoIR (12 MP); 11 seal extension; 12 lid; 13 Raspberry Pi 4 Model B; 14 X-axis extension." title="" id="28" name="Picture"/>
            <a:graphic>
              <a:graphicData uri="http://schemas.openxmlformats.org/drawingml/2006/picture">
                <pic:pic>
                  <pic:nvPicPr>
                    <pic:cNvPr descr="figs/fig2_hardware.png" id="29" name="Picture"/>
                    <pic:cNvPicPr>
                      <a:picLocks noChangeArrowheads="1" noChangeAspect="1"/>
                    </pic:cNvPicPr>
                  </pic:nvPicPr>
                  <pic:blipFill>
                    <a:blip r:embed="rId27"/>
                    <a:stretch>
                      <a:fillRect/>
                    </a:stretch>
                  </pic:blipFill>
                  <pic:spPr bwMode="auto">
                    <a:xfrm>
                      <a:off x="0" y="0"/>
                      <a:ext cx="5334000" cy="4452112"/>
                    </a:xfrm>
                    <a:prstGeom prst="rect">
                      <a:avLst/>
                    </a:prstGeom>
                    <a:noFill/>
                    <a:ln w="9525">
                      <a:noFill/>
                      <a:headEnd/>
                      <a:tailEnd/>
                    </a:ln>
                  </pic:spPr>
                </pic:pic>
              </a:graphicData>
            </a:graphic>
          </wp:inline>
        </w:drawing>
      </w:r>
    </w:p>
    <w:p>
      <w:pPr>
        <w:pStyle w:val="ImageCaption"/>
      </w:pPr>
      <w:r>
        <w:rPr>
          <w:bCs/>
          <w:b/>
        </w:rPr>
        <w:t xml:space="preserve">Figure 2.</w:t>
      </w:r>
      <w:r>
        <w:rPr/>
        <w:t xml:space="preserve"> </w:t>
      </w:r>
      <w:r>
        <w:rPr/>
        <w:t xml:space="preserve">The low-cost hyperspectral imaging (HSI) unit. (a) Assembled unit. (b) Exploded view (CAD render) of the optical, structural and electronic components:</w:t>
      </w:r>
      <w:r>
        <w:rPr/>
        <w:t xml:space="preserve"> </w:t>
      </w:r>
      <w:r>
        <w:rPr>
          <w:bCs/>
          <w:b/>
        </w:rPr>
        <w:t xml:space="preserve">1</w:t>
      </w:r>
      <w:r>
        <w:rPr/>
        <w:t xml:space="preserve"> </w:t>
      </w:r>
      <w:r>
        <w:rPr/>
        <w:t xml:space="preserve">case;</w:t>
      </w:r>
      <w:r>
        <w:rPr/>
        <w:t xml:space="preserve"> </w:t>
      </w:r>
      <w:r>
        <w:rPr>
          <w:bCs/>
          <w:b/>
        </w:rPr>
        <w:t xml:space="preserve">2</w:t>
      </w:r>
      <w:r>
        <w:rPr/>
        <w:t xml:space="preserve"> </w:t>
      </w:r>
      <w:r>
        <w:rPr/>
        <w:t xml:space="preserve">35 mm Edmund Optics C Series VIS–NIR fixed-focal-length lens (67-716);</w:t>
      </w:r>
      <w:r>
        <w:rPr/>
        <w:t xml:space="preserve"> </w:t>
      </w:r>
      <w:r>
        <w:rPr>
          <w:bCs/>
          <w:b/>
        </w:rPr>
        <w:t xml:space="preserve">3</w:t>
      </w:r>
      <w:r>
        <w:rPr/>
        <w:t xml:space="preserve"> </w:t>
      </w:r>
      <w:r>
        <w:rPr/>
        <w:t xml:space="preserve">front lens;</w:t>
      </w:r>
      <w:r>
        <w:rPr/>
        <w:t xml:space="preserve"> </w:t>
      </w:r>
      <w:r>
        <w:rPr>
          <w:bCs/>
          <w:b/>
        </w:rPr>
        <w:t xml:space="preserve">4</w:t>
      </w:r>
      <w:r>
        <w:rPr/>
        <w:t xml:space="preserve"> </w:t>
      </w:r>
      <w:r>
        <w:rPr/>
        <w:t xml:space="preserve">square aperture;</w:t>
      </w:r>
      <w:r>
        <w:rPr/>
        <w:t xml:space="preserve"> </w:t>
      </w:r>
      <w:r>
        <w:rPr>
          <w:bCs/>
          <w:b/>
        </w:rPr>
        <w:t xml:space="preserve">5</w:t>
      </w:r>
      <w:r>
        <w:rPr/>
        <w:t xml:space="preserve">,</w:t>
      </w:r>
      <w:r>
        <w:rPr/>
        <w:t xml:space="preserve"> </w:t>
      </w:r>
      <w:r>
        <w:rPr>
          <w:bCs/>
          <w:b/>
        </w:rPr>
        <w:t xml:space="preserve">6</w:t>
      </w:r>
      <w:r>
        <w:rPr/>
        <w:t xml:space="preserve"> </w:t>
      </w:r>
      <w:r>
        <w:rPr/>
        <w:t xml:space="preserve">extension tubes;</w:t>
      </w:r>
      <w:r>
        <w:rPr/>
        <w:t xml:space="preserve"> </w:t>
      </w:r>
      <w:r>
        <w:rPr>
          <w:bCs/>
          <w:b/>
        </w:rPr>
        <w:t xml:space="preserve">7</w:t>
      </w:r>
      <w:r>
        <w:rPr/>
        <w:t xml:space="preserve"> </w:t>
      </w:r>
      <w:r>
        <w:rPr/>
        <w:t xml:space="preserve">+10 macro 52 mm lens;</w:t>
      </w:r>
      <w:r>
        <w:rPr/>
        <w:t xml:space="preserve"> </w:t>
      </w:r>
      <w:r>
        <w:rPr>
          <w:bCs/>
          <w:b/>
        </w:rPr>
        <w:t xml:space="preserve">8</w:t>
      </w:r>
      <w:r>
        <w:rPr/>
        <w:t xml:space="preserve"> </w:t>
      </w:r>
      <w:r>
        <w:rPr/>
        <w:t xml:space="preserve">diffraction grating;</w:t>
      </w:r>
      <w:r>
        <w:rPr/>
        <w:t xml:space="preserve"> </w:t>
      </w:r>
      <w:r>
        <w:rPr>
          <w:bCs/>
          <w:b/>
        </w:rPr>
        <w:t xml:space="preserve">9</w:t>
      </w:r>
      <w:r>
        <w:rPr/>
        <w:t xml:space="preserve"> </w:t>
      </w:r>
      <w:r>
        <w:rPr/>
        <w:t xml:space="preserve">camera base;</w:t>
      </w:r>
      <w:r>
        <w:rPr/>
        <w:t xml:space="preserve"> </w:t>
      </w:r>
      <w:r>
        <w:rPr>
          <w:bCs/>
          <w:b/>
        </w:rPr>
        <w:t xml:space="preserve">10</w:t>
      </w:r>
      <w:r>
        <w:rPr/>
        <w:t xml:space="preserve"> </w:t>
      </w:r>
      <w:r>
        <w:rPr/>
        <w:t xml:space="preserve">Raspberry Pi Camera Module 3 NoIR (12 MP);</w:t>
      </w:r>
      <w:r>
        <w:rPr/>
        <w:t xml:space="preserve"> </w:t>
      </w:r>
      <w:r>
        <w:rPr>
          <w:bCs/>
          <w:b/>
        </w:rPr>
        <w:t xml:space="preserve">11</w:t>
      </w:r>
      <w:r>
        <w:rPr/>
        <w:t xml:space="preserve"> </w:t>
      </w:r>
      <w:r>
        <w:rPr/>
        <w:t xml:space="preserve">seal extension;</w:t>
      </w:r>
      <w:r>
        <w:rPr/>
        <w:t xml:space="preserve"> </w:t>
      </w:r>
      <w:r>
        <w:rPr>
          <w:bCs/>
          <w:b/>
        </w:rPr>
        <w:t xml:space="preserve">12</w:t>
      </w:r>
      <w:r>
        <w:rPr/>
        <w:t xml:space="preserve"> </w:t>
      </w:r>
      <w:r>
        <w:rPr/>
        <w:t xml:space="preserve">lid;</w:t>
      </w:r>
      <w:r>
        <w:rPr/>
        <w:t xml:space="preserve"> </w:t>
      </w:r>
      <w:r>
        <w:rPr>
          <w:bCs/>
          <w:b/>
        </w:rPr>
        <w:t xml:space="preserve">13</w:t>
      </w:r>
      <w:r>
        <w:rPr/>
        <w:t xml:space="preserve"> </w:t>
      </w:r>
      <w:r>
        <w:rPr/>
        <w:t xml:space="preserve">Raspberry Pi 4 Model B;</w:t>
      </w:r>
      <w:r>
        <w:rPr/>
        <w:t xml:space="preserve"> </w:t>
      </w:r>
      <w:r>
        <w:rPr>
          <w:bCs/>
          <w:b/>
        </w:rPr>
        <w:t xml:space="preserve">14</w:t>
      </w:r>
      <w:r>
        <w:rPr/>
        <w:t xml:space="preserve"> </w:t>
      </w:r>
      <w:r>
        <w:rPr/>
        <w:t xml:space="preserve">X-axis extension.</w:t>
      </w:r>
    </w:p>
    <w:p>
      <w:pPr>
        <w:pStyle w:val="BodyText"/>
      </w:pPr>
      <w:r>
        <w:rPr/>
        <w:t>The documented components total £489.20: the Edmund Optics VIS–NIR lens (£382.50), Raspberry Pi 4 Model B with 8 GB RAM (£62.50), Camera Module 3 NoIR (£21.70), and replacement-price estimates for the reused +10 close-up lens (£13.50) and grating (£9.00). Storage and power accessories were supplied with the Raspberry Pi. Printing costs and the price-record date were not retained, so this is a component subtotal rather than a verified total build cost. The laboratory illumination source, copy stand and cube-assembly workstation are excluded.</w:t>
      </w:r>
    </w:p>
    <w:bookmarkEnd w:id="30"/>
    <w:bookmarkStart w:id="31" w:name="acquisition-set-up-and-protocol"/>
    <w:p>
      <w:pPr>
        <w:pStyle w:val="Heading2"/>
      </w:pPr>
      <w:r>
        <w:rPr>
          <w:rStyle w:val="SectionNumber"/>
        </w:rPr>
        <w:t xml:space="preserve">2.3</w:t>
      </w:r>
      <w:r>
        <w:rPr/>
        <w:tab/>
      </w:r>
      <w:r>
        <w:rPr/>
        <w:t xml:space="preserve">Acquisition set-up and protocol</w:t>
      </w:r>
    </w:p>
    <w:p>
      <w:pPr>
        <w:pStyle w:val="FirstParagraph"/>
      </w:pPr>
      <w:r>
        <w:rPr/>
        <w:t>All imaging was performed in a dark room to exclude ambient light. Both the HSI and RGB data were acquired top-down from the adaxial (upper) leaf surface only. Samples were illuminated with the Leica CLS 150 X source through dual fibre-optic arms placed symmetrically at approximately 45° to the sample plane. The camera was mounted on a copy stand about 10 cm above a matte-black background, and the source was warmed up for about 15 min at the start of each session and then left running continuously. Camera height and imaging geometry were kept consistent throughout a session and were not deliberately reset between trays. The external 35 mm lens was positioned for the required imaging geometry, and the Camera Module 3 autofocus was enabled in macro mode for fine focus, so focus was not fixed at infinity; live preview was used to position each sample. Images were captured with libcamera-still (JPEG quality 100, tungsten white-balance mode, cdn_hq denoising, 20 s preview, 2592 × 1944 pixels, macro autofocus range, RGB888 output). Exposure was fixed at 2 s (2,000,000 µs). Analogue gain was not set in the command and was under automatic control; it was not independently logged. Samples were processed sequentially and we tried to keep a similar acquisition order between sessions, but the order was not strictly fixed, formally randomised or logged. Inoculated and mock-inoculated plants were kept on separately marked trays and imaged with the same acquisition workflow. The mock tray was always imaged first and the inoculated tray second, at every session (2, 4 and 6 dpi), to reduce the risk of cross-contamination from inoculated material. Treatment was therefore consistently correlated with acquisition order, which is a potential acquisition-time confound (Section 4.7).</w:t>
      </w:r>
    </w:p>
    <w:p>
      <w:pPr>
        <w:pStyle w:val="BodyText"/>
      </w:pPr>
      <w:r>
        <w:rPr/>
        <w:t xml:space="preserve">The design comprised 96 plants (72 inoculated and 24 mock-inoculated), each scheduled for imaging at 2, 4 and 6 dpi. Two designated leaves (leaves 3 and 4 of the rosette) were followed across sessions using physical leaf markers, giving 576 planned HSI–RGB image pairs. The RGB inventory contains 576 observations, whereas the archived paired-data analysis manifest contains 569: 185 at 2 dpi (137 from 69 inoculated plants and 48 from 24 mock-inoculated plants), and 192 at each of 4 and 6 dpi (144 from 72 inoculated plants and 48 from 24 mock-inoculated plants). Seven observations present in the RGB inventory are absent from the paired-data manifest, all at 2 dpi: leaf 4 of inoculated plant 69 and leaves 3 and 4 of inoculated plants 70–72. The surviving records do not establish why these observations are absent from the paired-data analysis. Analysis identifiers were reconstructed from source filenames encoding plant number, treatment, leaf and dpi. Inoculated plant numbers were retained across dates. Mock source numbers 1–24, 25–48 and 49–72 at 2, 4 and 6 dpi, respectively, were mapped to analysis plant numbers 1–24 using ((source number − 1) modulo 24) + 1. Treatment was included in each plant identifier. This computational mapping was checked against the archived manifest; the original tray-position-to-plant-ID record was not available for independent verification. The two leaves of a plant were not guaranteed to have been imaged in the same within-plant order at every session.</w:t>
      </w:r>
      <w:r>
        <w:rPr/>
        <w:t xml:space="preserve"/>
      </w:r>
      <w:r>
        <w:rPr>
          <w:rStyle w:val="Placeholder"/>
        </w:rPr>
        <w:t xml:space="preserve"/>
      </w:r>
      <w:r>
        <w:rPr/>
        <w:t xml:space="preserve"/>
      </w:r>
      <w:r>
        <w:rPr/>
        <w:t xml:space="preserve"/>
      </w:r>
      <w:r>
        <w:rPr>
          <w:rStyle w:val="Placeholder"/>
        </w:rPr>
        <w:t xml:space="preserve"/>
      </w:r>
      <w:r>
        <w:rPr/>
        <w:t xml:space="preserve"/>
      </w:r>
    </w:p>
    <w:bookmarkEnd w:id="31"/>
    <w:bookmarkStart w:id="32" w:name="spectral-calibration-and-preprocessing"/>
    <w:p>
      <w:pPr>
        <w:pStyle w:val="Heading2"/>
      </w:pPr>
      <w:r>
        <w:rPr>
          <w:rStyle w:val="SectionNumber"/>
        </w:rPr>
        <w:t xml:space="preserve">2.4</w:t>
      </w:r>
      <w:r>
        <w:rPr/>
        <w:tab/>
      </w:r>
      <w:r>
        <w:rPr/>
        <w:t xml:space="preserve">Spectral calibration and preprocessing</w:t>
      </w:r>
    </w:p>
    <w:p>
      <w:pPr>
        <w:pStyle w:val="FirstParagraph"/>
      </w:pPr>
      <w:r>
        <w:rPr/>
        <w:t>The reconstruction workflow followed Salazar-Vazquez and Mendez-Vazquez [20], using fluorescent-lamp emission peaks, an incandescent-lamp spectrum and lens-covered dark frames for wavelength calibration and dark correction. The available records do not establish the timing of each calibration frame relative to individual trays. Archived model inputs contain 313 computational bands. Acquisition documentation reports 273 calibrated positions spanning 400.000–968.487 nm, but their correspondence to the historical PT tensor axis has not been independently verified. The subsequently recovered MAT files contain a nominal 313-position axis spanning 400.000–1052.090 nm; this alone does not validate the calibration range or the historical band mapping. Analyses therefore use computational band index. No white reference was used, and the data must not be interpreted as absolute reflectance. Spectral resolution, signal-to-noise ratio, linearity, repeatability, saturation behaviour and RGB–HSI registration accuracy were not independently characterised (Table 2).</w:t>
      </w:r>
    </w:p>
    <w:p>
      <w:pPr>
        <w:pStyle w:val="BodyText"/>
      </w:pPr>
      <w:r>
        <w:rPr/>
        <w:t>Archived HSI tensors have 313 channels and 132 × 135 spatial pixels. The retained training code reads these tensors directly; the upstream masking and intensity-transformation provenance is incomplete, so the spectral summaries are described as whole-cube rather than verified leaf-only measurements. Per-band standardisation statistics were estimated using only the fitting plants inside each outer fold, excluding both inner-validation and outer-test plants, and then applied unchanged. RGB images were resized to 224 × 224 pixels and normalised with the ImageNet channel means and standard deviations.</w:t>
      </w:r>
    </w:p>
    <w:p>
      <w:pPr>
        <w:pStyle w:val="TableCaption"/>
      </w:pPr>
      <w:r>
        <w:rPr>
          <w:bCs/>
          <w:b/>
        </w:rPr>
        <w:t xml:space="preserve">Table 2.</w:t>
      </w:r>
      <w:r>
        <w:rPr/>
        <w:t xml:space="preserve"> </w:t>
      </w:r>
      <w:r>
        <w:rPr/>
        <w:t xml:space="preserve">Acquisition settings and instrument characteristics.</w:t>
      </w:r>
    </w:p>
    <w:tbl>
      <w:tblPr>
        <w:tblCaption w:val="Table 2. Acquisition settings and instrument characteristics."/>
        <w:tblW w:w="907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2608"/>
        <w:gridCol w:w="3742"/>
        <w:gridCol w:w="2722"/>
      </w:tblGrid>
      <w:tr>
        <w:trPr>
          <w:tblHeader w:val="true"/>
          <w:cantSplit/>
          <w:tblHeader/>
        </w:trPr>
        <w:tc>
          <w:tcPr>
            <w:tcW w:w="2608" w:type="dxa"/>
            <w:tcBorders>
              <w:bottom w:val="single" w:sz="5" w:space="0" w:color="000000"/>
            </w:tcBorders>
            <w:vAlign w:val="center"/>
          </w:tcPr>
          <w:p>
            <w:pPr>
              <w:pStyle w:val="Compact"/>
              <w:spacing w:before="0" w:after="60" w:line="240" w:lineRule="auto"/>
              <w:jc w:val="left"/>
            </w:pPr>
            <w:r>
              <w:rPr>
                <w:b/>
                <w:sz w:val="18"/>
              </w:rPr>
              <w:t xml:space="preserve">Characteristic</w:t>
            </w:r>
          </w:p>
        </w:tc>
        <w:tc>
          <w:tcPr>
            <w:tcW w:w="3742" w:type="dxa"/>
            <w:tcBorders>
              <w:bottom w:val="single" w:sz="5" w:space="0" w:color="000000"/>
            </w:tcBorders>
            <w:vAlign w:val="center"/>
          </w:tcPr>
          <w:p>
            <w:pPr>
              <w:pStyle w:val="Compact"/>
              <w:spacing w:before="0" w:after="60" w:line="240" w:lineRule="auto"/>
              <w:jc w:val="left"/>
            </w:pPr>
            <w:r>
              <w:rPr>
                <w:b/>
                <w:sz w:val="18"/>
              </w:rPr>
              <w:t xml:space="preserve">Value</w:t>
            </w:r>
          </w:p>
        </w:tc>
        <w:tc>
          <w:tcPr>
            <w:tcW w:w="2722" w:type="dxa"/>
            <w:tcBorders>
              <w:bottom w:val="single" w:sz="5" w:space="0" w:color="000000"/>
            </w:tcBorders>
            <w:vAlign w:val="center"/>
          </w:tcPr>
          <w:p>
            <w:pPr>
              <w:pStyle w:val="Compact"/>
              <w:spacing w:before="0" w:after="60" w:line="240" w:lineRule="auto"/>
              <w:jc w:val="left"/>
            </w:pPr>
            <w:r>
              <w:rPr>
                <w:b/>
                <w:sz w:val="18"/>
              </w:rPr>
              <w:t xml:space="preserve">Status or note</w:t>
            </w:r>
          </w:p>
        </w:tc>
      </w:tr>
      <w:tr>
        <w:trPr>
          <w:cantSplit/>
        </w:trPr>
        <w:tc>
          <w:tcPr>
            <w:tcW w:w="2608" w:type="dxa"/>
          </w:tcPr>
          <w:p>
            <w:pPr>
              <w:pStyle w:val="Compact"/>
              <w:spacing w:before="0" w:after="60" w:line="240" w:lineRule="auto"/>
              <w:jc w:val="left"/>
            </w:pPr>
            <w:r>
              <w:rPr>
                <w:sz w:val="18"/>
              </w:rPr>
              <w:t xml:space="preserve">Illumination</w:t>
            </w:r>
          </w:p>
        </w:tc>
        <w:tc>
          <w:tcPr>
            <w:tcW w:w="3742" w:type="dxa"/>
          </w:tcPr>
          <w:p>
            <w:pPr>
              <w:pStyle w:val="Compact"/>
              <w:spacing w:before="0" w:after="60" w:line="240" w:lineRule="auto"/>
              <w:jc w:val="left"/>
            </w:pPr>
            <w:r>
              <w:rPr>
                <w:sz w:val="18"/>
              </w:rPr>
              <w:t xml:space="preserve">Leica CLS 150 X, 150 W halogen, 3400 K; dual fibre-optic arms at ~45°</w:t>
            </w:r>
          </w:p>
        </w:tc>
        <w:tc>
          <w:tcPr>
            <w:tcW w:w="2722" w:type="dxa"/>
          </w:tcPr>
          <w:p>
            <w:pPr>
              <w:spacing w:after="60" w:line="240" w:lineRule="auto"/>
            </w:pPr>
            <w:r>
              <w:rPr>
                <w:sz w:val="18"/>
              </w:rPr>
              <w:t>Excluded from the £489.20 component subtotal</w:t>
            </w:r>
          </w:p>
        </w:tc>
      </w:tr>
      <w:tr>
        <w:trPr>
          <w:cantSplit/>
        </w:trPr>
        <w:tc>
          <w:tcPr>
            <w:tcW w:w="2608" w:type="dxa"/>
          </w:tcPr>
          <w:p>
            <w:pPr>
              <w:pStyle w:val="Compact"/>
              <w:spacing w:before="0" w:after="60" w:line="240" w:lineRule="auto"/>
              <w:jc w:val="left"/>
            </w:pPr>
            <w:r>
              <w:rPr>
                <w:sz w:val="18"/>
              </w:rPr>
              <w:t xml:space="preserve">Geometry and environment</w:t>
            </w:r>
          </w:p>
        </w:tc>
        <w:tc>
          <w:tcPr>
            <w:tcW w:w="3742" w:type="dxa"/>
          </w:tcPr>
          <w:p>
            <w:pPr>
              <w:pStyle w:val="Compact"/>
              <w:spacing w:before="0" w:after="60" w:line="240" w:lineRule="auto"/>
              <w:jc w:val="left"/>
            </w:pPr>
            <w:r>
              <w:rPr>
                <w:sz w:val="18"/>
              </w:rPr>
              <w:t xml:space="preserve">Camera ~10 cm above sample on a copy stand; matte-black background; dark room; 15 min warm-up</w:t>
            </w:r>
          </w:p>
        </w:tc>
        <w:tc>
          <w:tcPr>
            <w:tcW w:w="2722" w:type="dxa"/>
          </w:tcPr>
          <w:p>
            <w:pPr>
              <w:pStyle w:val="Compact"/>
              <w:spacing w:before="0" w:after="60" w:line="240" w:lineRule="auto"/>
              <w:jc w:val="left"/>
            </w:pPr>
            <w:r>
              <w:rPr>
                <w:sz w:val="18"/>
              </w:rPr>
              <w:t xml:space="preserve">Controlled conditions</w:t>
            </w:r>
          </w:p>
        </w:tc>
      </w:tr>
      <w:tr>
        <w:trPr>
          <w:cantSplit/>
        </w:trPr>
        <w:tc>
          <w:tcPr>
            <w:tcW w:w="2608" w:type="dxa"/>
          </w:tcPr>
          <w:p>
            <w:pPr>
              <w:pStyle w:val="Compact"/>
              <w:spacing w:before="0" w:after="60" w:line="240" w:lineRule="auto"/>
              <w:jc w:val="left"/>
            </w:pPr>
            <w:r>
              <w:rPr>
                <w:sz w:val="18"/>
              </w:rPr>
              <w:t xml:space="preserve">Exposure</w:t>
            </w:r>
          </w:p>
        </w:tc>
        <w:tc>
          <w:tcPr>
            <w:tcW w:w="3742" w:type="dxa"/>
          </w:tcPr>
          <w:p>
            <w:pPr>
              <w:pStyle w:val="Compact"/>
              <w:spacing w:before="0" w:after="60" w:line="240" w:lineRule="auto"/>
              <w:jc w:val="left"/>
            </w:pPr>
            <w:r>
              <w:rPr>
                <w:sz w:val="18"/>
              </w:rPr>
              <w:t xml:space="preserve">2 s (2,000,000 µs), fixed</w:t>
            </w:r>
          </w:p>
        </w:tc>
        <w:tc>
          <w:tcPr>
            <w:tcW w:w="2722" w:type="dxa"/>
          </w:tcPr>
          <w:p>
            <w:pPr>
              <w:pStyle w:val="Compact"/>
              <w:spacing w:before="0" w:after="60" w:line="240" w:lineRule="auto"/>
              <w:jc w:val="left"/>
            </w:pPr>
            <w:r>
              <w:rPr>
                <w:sz w:val="18"/>
              </w:rPr>
              <w:t xml:space="preserve">Fixed in the acquisition command</w:t>
            </w:r>
          </w:p>
        </w:tc>
      </w:tr>
      <w:tr>
        <w:trPr>
          <w:cantSplit/>
        </w:trPr>
        <w:tc>
          <w:tcPr>
            <w:tcW w:w="2608" w:type="dxa"/>
          </w:tcPr>
          <w:p>
            <w:pPr>
              <w:pStyle w:val="Compact"/>
              <w:spacing w:before="0" w:after="60" w:line="240" w:lineRule="auto"/>
              <w:jc w:val="left"/>
            </w:pPr>
            <w:r>
              <w:rPr>
                <w:sz w:val="18"/>
              </w:rPr>
              <w:t xml:space="preserve">Analogue gain</w:t>
            </w:r>
          </w:p>
        </w:tc>
        <w:tc>
          <w:tcPr>
            <w:tcW w:w="3742" w:type="dxa"/>
          </w:tcPr>
          <w:p>
            <w:pPr>
              <w:pStyle w:val="Compact"/>
              <w:spacing w:before="0" w:after="60" w:line="240" w:lineRule="auto"/>
              <w:jc w:val="left"/>
            </w:pPr>
            <w:r>
              <w:rPr>
                <w:sz w:val="18"/>
              </w:rPr>
              <w:t xml:space="preserve">Automatic (not set in the command)</w:t>
            </w:r>
          </w:p>
        </w:tc>
        <w:tc>
          <w:tcPr>
            <w:tcW w:w="2722" w:type="dxa"/>
          </w:tcPr>
          <w:p>
            <w:pPr>
              <w:spacing w:after="60" w:line="240" w:lineRule="auto"/>
            </w:pPr>
            <w:r>
              <w:rPr>
                <w:sz w:val="18"/>
              </w:rPr>
              <w:t>Not independently logged</w:t>
            </w:r>
          </w:p>
        </w:tc>
      </w:tr>
      <w:tr>
        <w:trPr>
          <w:cantSplit/>
        </w:trPr>
        <w:tc>
          <w:tcPr>
            <w:tcW w:w="2608" w:type="dxa"/>
          </w:tcPr>
          <w:p>
            <w:pPr>
              <w:pStyle w:val="Compact"/>
              <w:spacing w:before="0" w:after="60" w:line="240" w:lineRule="auto"/>
              <w:jc w:val="left"/>
            </w:pPr>
            <w:r>
              <w:rPr>
                <w:sz w:val="18"/>
              </w:rPr>
              <w:t xml:space="preserve">Acquisition command</w:t>
            </w:r>
          </w:p>
        </w:tc>
        <w:tc>
          <w:tcPr>
            <w:tcW w:w="3742" w:type="dxa"/>
          </w:tcPr>
          <w:p>
            <w:pPr>
              <w:pStyle w:val="Compact"/>
              <w:spacing w:before="0" w:after="60" w:line="240" w:lineRule="auto"/>
              <w:jc w:val="left"/>
            </w:pPr>
            <w:r>
              <w:rPr>
                <w:sz w:val="18"/>
              </w:rPr>
              <w:t xml:space="preserve">libcamera-still: quality 100, tungsten white balance, cdn_hq denoising, 20 s preview, macro autofocus</w:t>
            </w:r>
          </w:p>
        </w:tc>
        <w:tc>
          <w:tcPr>
            <w:tcW w:w="2722" w:type="dxa"/>
          </w:tcPr>
          <w:p>
            <w:pPr>
              <w:pStyle w:val="Compact"/>
              <w:spacing w:before="0" w:after="60" w:line="240" w:lineRule="auto"/>
              <w:jc w:val="left"/>
            </w:pPr>
            <w:r>
              <w:rPr>
                <w:sz w:val="18"/>
              </w:rPr>
              <w:t xml:space="preserve">Camera Module 3 autofocus enabled</w:t>
            </w:r>
          </w:p>
        </w:tc>
      </w:tr>
      <w:tr>
        <w:trPr>
          <w:cantSplit/>
        </w:trPr>
        <w:tc>
          <w:tcPr>
            <w:tcW w:w="2608" w:type="dxa"/>
          </w:tcPr>
          <w:p>
            <w:pPr>
              <w:pStyle w:val="Compact"/>
              <w:spacing w:before="0" w:after="60" w:line="240" w:lineRule="auto"/>
              <w:jc w:val="left"/>
            </w:pPr>
            <w:r>
              <w:rPr>
                <w:sz w:val="18"/>
              </w:rPr>
              <w:t xml:space="preserve">Image and cube size</w:t>
            </w:r>
          </w:p>
        </w:tc>
        <w:tc>
          <w:tcPr>
            <w:tcW w:w="3742" w:type="dxa"/>
          </w:tcPr>
          <w:p>
            <w:pPr>
              <w:pStyle w:val="Compact"/>
              <w:spacing w:before="0" w:after="60" w:line="240" w:lineRule="auto"/>
              <w:jc w:val="left"/>
            </w:pPr>
            <w:r>
              <w:rPr>
                <w:sz w:val="18"/>
              </w:rPr>
              <w:t xml:space="preserve">Source 2592 × 1944 px; cube 132 × 135 px</w:t>
            </w:r>
          </w:p>
        </w:tc>
        <w:tc>
          <w:tcPr>
            <w:tcW w:w="2722" w:type="dxa"/>
          </w:tcPr>
          <w:p>
            <w:pPr>
              <w:pStyle w:val="Compact"/>
              <w:spacing w:before="0" w:after="60" w:line="240" w:lineRule="auto"/>
              <w:jc w:val="left"/>
            </w:pPr>
            <w:r>
              <w:rPr>
                <w:sz w:val="18"/>
              </w:rPr>
              <w:t xml:space="preserve">Below the native IMX708 resolution (Section 4.6)</w:t>
            </w:r>
          </w:p>
        </w:tc>
      </w:tr>
      <w:tr>
        <w:trPr>
          <w:cantSplit/>
        </w:trPr>
        <w:tc>
          <w:tcPr>
            <w:tcW w:w="2608" w:type="dxa"/>
          </w:tcPr>
          <w:p>
            <w:pPr>
              <w:pStyle w:val="Compact"/>
              <w:spacing w:before="0" w:after="60" w:line="240" w:lineRule="auto"/>
              <w:jc w:val="left"/>
            </w:pPr>
            <w:r>
              <w:rPr>
                <w:sz w:val="18"/>
              </w:rPr>
              <w:t xml:space="preserve">Spectral positions</w:t>
            </w:r>
          </w:p>
        </w:tc>
        <w:tc>
          <w:tcPr>
            <w:tcW w:w="3742" w:type="dxa"/>
          </w:tcPr>
          <w:p>
            <w:pPr>
              <w:pStyle w:val="Compact"/>
              <w:spacing w:before="0" w:after="60" w:line="240" w:lineRule="auto"/>
              <w:jc w:val="left"/>
            </w:pPr>
            <w:r>
              <w:rPr>
                <w:sz w:val="18"/>
              </w:rPr>
              <w:t xml:space="preserve">313 computational; 273 with calibrated wavelengths</w:t>
            </w:r>
          </w:p>
        </w:tc>
        <w:tc>
          <w:tcPr>
            <w:tcW w:w="2722" w:type="dxa"/>
          </w:tcPr>
          <w:p>
            <w:pPr>
              <w:spacing w:after="60" w:line="240" w:lineRule="auto"/>
            </w:pPr>
            <w:r>
              <w:rPr>
                <w:sz w:val="18"/>
              </w:rPr>
              <w:t>Historical tensor-to-wavelength mapping unverified</w:t>
            </w:r>
          </w:p>
        </w:tc>
      </w:tr>
      <w:tr>
        <w:trPr>
          <w:cantSplit/>
        </w:trPr>
        <w:tc>
          <w:tcPr>
            <w:tcW w:w="2608" w:type="dxa"/>
          </w:tcPr>
          <w:p>
            <w:pPr>
              <w:pStyle w:val="Compact"/>
              <w:spacing w:before="0" w:after="60" w:line="240" w:lineRule="auto"/>
              <w:jc w:val="left"/>
            </w:pPr>
            <w:r>
              <w:rPr>
                <w:sz w:val="18"/>
              </w:rPr>
              <w:t xml:space="preserve">Calibrated wavelength range</w:t>
            </w:r>
          </w:p>
        </w:tc>
        <w:tc>
          <w:tcPr>
            <w:tcW w:w="3742" w:type="dxa"/>
          </w:tcPr>
          <w:p>
            <w:pPr>
              <w:pStyle w:val="Compact"/>
              <w:spacing w:before="0" w:after="60" w:line="240" w:lineRule="auto"/>
              <w:jc w:val="left"/>
            </w:pPr>
            <w:r>
              <w:rPr>
                <w:sz w:val="18"/>
              </w:rPr>
              <w:t xml:space="preserve">400.000–968.487 nm</w:t>
            </w:r>
          </w:p>
        </w:tc>
        <w:tc>
          <w:tcPr>
            <w:tcW w:w="2722" w:type="dxa"/>
          </w:tcPr>
          <w:p>
            <w:pPr>
              <w:pStyle w:val="Compact"/>
              <w:spacing w:before="0" w:after="60" w:line="240" w:lineRule="auto"/>
              <w:jc w:val="left"/>
            </w:pPr>
            <w:r>
              <w:rPr>
                <w:sz w:val="18"/>
              </w:rPr>
              <w:t xml:space="preserve">Lens specified ~425–1000 nm</w:t>
            </w:r>
          </w:p>
        </w:tc>
      </w:tr>
      <w:tr>
        <w:trPr>
          <w:cantSplit/>
        </w:trPr>
        <w:tc>
          <w:tcPr>
            <w:tcW w:w="2608" w:type="dxa"/>
          </w:tcPr>
          <w:p>
            <w:pPr>
              <w:pStyle w:val="Compact"/>
              <w:spacing w:before="0" w:after="60" w:line="240" w:lineRule="auto"/>
              <w:jc w:val="left"/>
            </w:pPr>
            <w:r>
              <w:rPr>
                <w:sz w:val="18"/>
              </w:rPr>
              <w:t xml:space="preserve">Mean spacing of calibrated positions</w:t>
            </w:r>
          </w:p>
        </w:tc>
        <w:tc>
          <w:tcPr>
            <w:tcW w:w="3742" w:type="dxa"/>
          </w:tcPr>
          <w:p>
            <w:pPr>
              <w:pStyle w:val="Compact"/>
              <w:spacing w:before="0" w:after="60" w:line="240" w:lineRule="auto"/>
              <w:jc w:val="left"/>
            </w:pPr>
            <w:r>
              <w:rPr>
                <w:sz w:val="18"/>
              </w:rPr>
              <w:t xml:space="preserve">≈2.1 nm</w:t>
            </w:r>
          </w:p>
        </w:tc>
        <w:tc>
          <w:tcPr>
            <w:tcW w:w="2722" w:type="dxa"/>
          </w:tcPr>
          <w:p>
            <w:pPr>
              <w:pStyle w:val="Compact"/>
              <w:spacing w:before="0" w:after="60" w:line="240" w:lineRule="auto"/>
              <w:jc w:val="left"/>
            </w:pPr>
            <w:r>
              <w:rPr>
                <w:sz w:val="18"/>
              </w:rPr>
              <w:t xml:space="preserve">Sampling interval, not spectral resolution</w:t>
            </w:r>
          </w:p>
        </w:tc>
      </w:tr>
      <w:tr>
        <w:trPr>
          <w:cantSplit/>
        </w:trPr>
        <w:tc>
          <w:tcPr>
            <w:tcW w:w="2608" w:type="dxa"/>
          </w:tcPr>
          <w:p>
            <w:pPr>
              <w:pStyle w:val="Compact"/>
              <w:spacing w:before="0" w:after="60" w:line="240" w:lineRule="auto"/>
              <w:jc w:val="left"/>
            </w:pPr>
            <w:r>
              <w:rPr>
                <w:sz w:val="18"/>
              </w:rPr>
              <w:t xml:space="preserve">Spectral resolution</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r>
        <w:trPr>
          <w:cantSplit/>
        </w:trPr>
        <w:tc>
          <w:tcPr>
            <w:tcW w:w="2608" w:type="dxa"/>
          </w:tcPr>
          <w:p>
            <w:pPr>
              <w:pStyle w:val="Compact"/>
              <w:spacing w:before="0" w:after="60" w:line="240" w:lineRule="auto"/>
              <w:jc w:val="left"/>
            </w:pPr>
            <w:r>
              <w:rPr>
                <w:sz w:val="18"/>
              </w:rPr>
              <w:t xml:space="preserve">Wavelength calibration error</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r>
        <w:trPr>
          <w:cantSplit/>
        </w:trPr>
        <w:tc>
          <w:tcPr>
            <w:tcW w:w="2608" w:type="dxa"/>
          </w:tcPr>
          <w:p>
            <w:pPr>
              <w:pStyle w:val="Compact"/>
              <w:spacing w:before="0" w:after="60" w:line="240" w:lineRule="auto"/>
              <w:jc w:val="left"/>
            </w:pPr>
            <w:r>
              <w:rPr>
                <w:sz w:val="18"/>
              </w:rPr>
              <w:t xml:space="preserve">Signal-to-noise ratio</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r>
        <w:trPr>
          <w:cantSplit/>
        </w:trPr>
        <w:tc>
          <w:tcPr>
            <w:tcW w:w="2608" w:type="dxa"/>
          </w:tcPr>
          <w:p>
            <w:pPr>
              <w:pStyle w:val="Compact"/>
              <w:spacing w:before="0" w:after="60" w:line="240" w:lineRule="auto"/>
              <w:jc w:val="left"/>
            </w:pPr>
            <w:r>
              <w:rPr>
                <w:sz w:val="18"/>
              </w:rPr>
              <w:t xml:space="preserve">Spatial resolution</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r>
        <w:trPr>
          <w:cantSplit/>
        </w:trPr>
        <w:tc>
          <w:tcPr>
            <w:tcW w:w="2608" w:type="dxa"/>
          </w:tcPr>
          <w:p>
            <w:pPr>
              <w:pStyle w:val="Compact"/>
              <w:spacing w:before="0" w:after="60" w:line="240" w:lineRule="auto"/>
              <w:jc w:val="left"/>
            </w:pPr>
            <w:r>
              <w:rPr>
                <w:sz w:val="18"/>
              </w:rPr>
              <w:t xml:space="preserve">Repeatability</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r>
        <w:trPr>
          <w:cantSplit/>
        </w:trPr>
        <w:tc>
          <w:tcPr>
            <w:tcW w:w="2608" w:type="dxa"/>
          </w:tcPr>
          <w:p>
            <w:pPr>
              <w:pStyle w:val="Compact"/>
              <w:spacing w:before="0" w:after="60" w:line="240" w:lineRule="auto"/>
              <w:jc w:val="left"/>
            </w:pPr>
            <w:r>
              <w:rPr>
                <w:sz w:val="18"/>
              </w:rPr>
              <w:t xml:space="preserve">Sensor linearity and saturation</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r>
        <w:trPr>
          <w:cantSplit/>
        </w:trPr>
        <w:tc>
          <w:tcPr>
            <w:tcW w:w="2608" w:type="dxa"/>
          </w:tcPr>
          <w:p>
            <w:pPr>
              <w:pStyle w:val="Compact"/>
              <w:spacing w:before="0" w:after="60" w:line="240" w:lineRule="auto"/>
              <w:jc w:val="left"/>
            </w:pPr>
            <w:r>
              <w:rPr>
                <w:sz w:val="18"/>
              </w:rPr>
              <w:t xml:space="preserve">RGB–HSI registration accuracy</w:t>
            </w:r>
          </w:p>
        </w:tc>
        <w:tc>
          <w:tcPr>
            <w:tcW w:w="3742" w:type="dxa"/>
          </w:tcPr>
          <w:p>
            <w:pPr>
              <w:pStyle w:val="Compact"/>
              <w:spacing w:before="0" w:after="60" w:line="240" w:lineRule="auto"/>
              <w:jc w:val="left"/>
            </w:pPr>
            <w:r>
              <w:rPr>
                <w:sz w:val="18"/>
              </w:rPr>
              <w:t xml:space="preserve">Not characterised</w:t>
            </w:r>
          </w:p>
        </w:tc>
        <w:tc>
          <w:tcPr>
            <w:tcW w:w="2722" w:type="dxa"/>
          </w:tcPr>
          <w:p>
            <w:pPr>
              <w:pStyle w:val="Compact"/>
              <w:spacing w:before="0" w:after="60" w:line="240" w:lineRule="auto"/>
              <w:jc w:val="left"/>
            </w:pPr>
            <w:r>
              <w:rPr>
                <w:sz w:val="18"/>
              </w:rPr>
              <w:t xml:space="preserve">Not measured in this experiment; limitation</w:t>
            </w:r>
          </w:p>
        </w:tc>
      </w:tr>
    </w:tbl>
    <w:bookmarkEnd w:id="32"/>
    <w:bookmarkStart w:id="33" w:name="Xdfe4491d350ad0f7473afffd28042931b1e6c07"/>
    <w:p>
      <w:pPr>
        <w:pStyle w:val="Heading2"/>
      </w:pPr>
      <w:r>
        <w:rPr>
          <w:rStyle w:val="SectionNumber"/>
        </w:rPr>
        <w:t xml:space="preserve">2.5</w:t>
      </w:r>
      <w:r>
        <w:rPr/>
        <w:tab/>
      </w:r>
      <w:r>
        <w:rPr/>
        <w:t xml:space="preserve">Dataset and plant-level evaluation design</w:t>
      </w:r>
    </w:p>
    <w:p>
      <w:pPr>
        <w:pStyle w:val="FirstParagraph"/>
      </w:pPr>
      <w:r>
        <w:rPr>
          <w:iCs/>
          <w:i/>
        </w:rPr>
        <w:t xml:space="preserve">Tasks.</w:t>
      </w:r>
      <w:r>
        <w:rPr/>
        <w:t xml:space="preserve"> </w:t>
      </w:r>
      <w:r>
        <w:rPr/>
        <w:t>The primary analysis is a binary classification of inoculated (positive class) versus mock-inoculated plants, performed separately at 2, 4 and 6 dpi. We treat 2 and 4 dpi as presymptomatic because no sporulation was visible on either leaf surface at those times. Visible symptoms were not observed on the imaged adaxial surface at any time point, including 6 dpi; at 6 dpi, however, sporulation was visible on the abaxial surface, so 6 dpi is a transitional, later infection-stage reference and not a visually symptomatic imaging condition. We also evaluated a joint 2+4 dpi task, which combines the two presymptomatic time points and excludes 6 dpi, and, for one seed, a task with all dates pooled, which includes 6 dpi observations from a later infection stage (Table 3). Because the joint task uses information acquired at 4 dpi, it does not measure detection at 2 dpi alone. Within each time point, inoculated and mock-inoculated plants were imaged concurrently, so plant age and session are shared by both classes. The tasks share plants and are not independent of one another; the available paired observations differ at 2 dpi as specified in Table 3.</w:t>
      </w:r>
    </w:p>
    <w:p>
      <w:pPr>
        <w:pStyle w:val="BodyText"/>
      </w:pPr>
      <w:r>
        <w:rPr/>
        <w:t>The unit of analysis is the plant. Predicted positive-class probabilities were averaged over its available observations, including available dates in pooled tasks, and thresholded at 0.5; AUROC used the unthresholded means. Missing observations were not imputed. Five treatment-stratified, plant-disjoint outer folds were generated with split seed 157 and held fixed across models and training seeds within each task. Different tasks need not have identical fold assignments. Each outer-training partition was further split by plant into fitting and inner-validation sets, using a stratified 20% inner-validation fraction and random state equal to the training seed plus fold index. The checkpoint with the highest inner-validation plant-level balanced accuracy was retained. The outer-test fold was not used for checkpoint selection. The five held-out prediction sets were pooled to compute one plant-level metric per training seed (157, 257 or 357).</w:t>
      </w:r>
    </w:p>
    <w:p>
      <w:pPr>
        <w:pStyle w:val="BodyText"/>
      </w:pPr>
      <w:r>
        <w:rPr>
          <w:iCs/>
          <w:i/>
        </w:rPr>
        <w:t xml:space="preserve">Metrics.</w:t>
      </w:r>
      <w:r>
        <w:rPr/>
        <w:t xml:space="preserve"> </w:t>
      </w:r>
      <w:r>
        <w:rPr/>
        <w:t>In the complete experimental design, 75% of plants were inoculated; the corresponding proportion in the available 2 dpi paired-data subset is 74.19% (Table 3). A classifier that labels every plant inoculated therefore obtains 74.19% accuracy at 2 dpi and 75% in the other tasks, with 100% sensitivity, 0% specificity and a balanced accuracy of 50%. Balanced accuracy (BA, the mean of sensitivity and specificity) and the area under the receiver operating characteristic curve (AUROC) are therefore our primary metrics. We also report accuracy, F1, precision, sensitivity (recall of inoculated plants) and specificity (recall of mock-inoculated plants). Unless stated otherwise, results are mean ± sample standard deviation (SD) across the three seeds. This SD reflects variability from training randomness and does not capture sampling variability of plants or variability between experimental runs. To quantify plant-sampling variability we computed 95% percentile intervals from 5,000 treatment-stratified bootstrap resamples of plants, applied to the fixed out-of-fold predictions of seed 157 without retraining. These intervals are not confidence intervals for the three-seed mean and do not include between-run variability.</w:t>
      </w:r>
    </w:p>
    <w:p>
      <w:pPr>
        <w:pStyle w:val="BodyText"/>
      </w:pPr>
      <w:r>
        <w:rPr>
          <w:iCs/>
          <w:i/>
        </w:rPr>
        <w:t xml:space="preserve">Scope of the evaluation.</w:t>
      </w:r>
      <w:r>
        <w:rPr/>
        <w:t xml:space="preserve"> </w:t>
      </w:r>
      <w:r>
        <w:rPr/>
        <w:t xml:space="preserve">Plant-disjoint folds drawn from one cultivation run share the growth cycle, inoculum preparation, calibration session, illumination set-up and operator. They guard against leakage between images of the same plant but are not independent of batch effects, and we do not present them as evidence of generalisation to other runs, sites or conditions.</w:t>
      </w:r>
    </w:p>
    <w:p>
      <w:pPr>
        <w:pStyle w:val="TableCaption"/>
      </w:pPr>
      <w:r>
        <w:rPr>
          <w:bCs/>
          <w:b/>
        </w:rPr>
        <w:t xml:space="preserve">Table 3.</w:t>
      </w:r>
      <w:r>
        <w:rPr/>
        <w:t xml:space="preserve"> </w:t>
      </w:r>
      <w:r>
        <w:rPr/>
        <w:t xml:space="preserve">Classification tasks and plant-level dataset composition. Plant numbers were counted from the archived paired-data manifest. The 2 dpi total is shown as the sum of the inoculated and mock groups; the experimental design comprised 96 plants, but the paired-data subset at this time point lacks the seven observations specified in section 2.3.</w:t>
      </w:r>
      <w:r>
        <w:rPr/>
        <w:t xml:space="preserve"/>
      </w:r>
      <w:r>
        <w:rPr>
          <w:rStyle w:val="Placeholder"/>
        </w:rPr>
        <w:t xml:space="preserve"/>
      </w:r>
      <w:r>
        <w:rPr/>
        <w:t xml:space="preserve"/>
      </w:r>
    </w:p>
    <w:tbl>
      <w:tblPr>
        <w:tblCaption w:val="Table 3. Classification tasks and plant-level dataset composition. Plant numbers were inferred from the granularity of the reported metrics [CONFIRM against the split files: the 2 dpi row implies 93 plants, whereas the design had 96]."/>
        <w:tblW w:w="9071"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2381"/>
        <w:gridCol w:w="1247"/>
        <w:gridCol w:w="850"/>
        <w:gridCol w:w="964"/>
        <w:gridCol w:w="794"/>
        <w:gridCol w:w="1701"/>
        <w:gridCol w:w="1134"/>
      </w:tblGrid>
      <w:tr>
        <w:trPr>
          <w:tblHeader w:val="true"/>
          <w:cantSplit/>
          <w:tblHeader/>
        </w:trPr>
        <w:tc>
          <w:tcPr>
            <w:tcW w:w="2381" w:type="dxa"/>
            <w:tcBorders>
              <w:bottom w:val="single" w:sz="5" w:space="0" w:color="000000"/>
            </w:tcBorders>
            <w:vAlign w:val="center"/>
          </w:tcPr>
          <w:p>
            <w:pPr>
              <w:pStyle w:val="Compact"/>
              <w:spacing w:before="0" w:after="60" w:line="240" w:lineRule="auto"/>
              <w:jc w:val="left"/>
            </w:pPr>
            <w:r>
              <w:rPr>
                <w:b/>
                <w:sz w:val="18"/>
              </w:rPr>
              <w:t xml:space="preserve">Task</w:t>
            </w:r>
          </w:p>
        </w:tc>
        <w:tc>
          <w:tcPr>
            <w:tcW w:w="1247" w:type="dxa"/>
            <w:tcBorders>
              <w:bottom w:val="single" w:sz="5" w:space="0" w:color="000000"/>
            </w:tcBorders>
            <w:vAlign w:val="center"/>
          </w:tcPr>
          <w:p>
            <w:pPr>
              <w:pStyle w:val="Compact"/>
              <w:spacing w:before="0" w:after="60" w:line="240" w:lineRule="auto"/>
              <w:jc w:val="center"/>
            </w:pPr>
            <w:r>
              <w:rPr>
                <w:b/>
                <w:sz w:val="18"/>
              </w:rPr>
              <w:t xml:space="preserve">Time point(s) (dpi)</w:t>
            </w:r>
          </w:p>
        </w:tc>
        <w:tc>
          <w:tcPr>
            <w:tcW w:w="850" w:type="dxa"/>
            <w:tcBorders>
              <w:bottom w:val="single" w:sz="5" w:space="0" w:color="000000"/>
            </w:tcBorders>
            <w:vAlign w:val="center"/>
          </w:tcPr>
          <w:p>
            <w:pPr>
              <w:pStyle w:val="Compact"/>
              <w:spacing w:before="0" w:after="60" w:line="240" w:lineRule="auto"/>
              <w:jc w:val="center"/>
            </w:pPr>
            <w:r>
              <w:rPr>
                <w:b/>
                <w:sz w:val="18"/>
              </w:rPr>
              <w:t xml:space="preserve">Plants</w:t>
            </w:r>
          </w:p>
        </w:tc>
        <w:tc>
          <w:tcPr>
            <w:tcW w:w="964" w:type="dxa"/>
            <w:tcBorders>
              <w:bottom w:val="single" w:sz="5" w:space="0" w:color="000000"/>
            </w:tcBorders>
            <w:vAlign w:val="center"/>
          </w:tcPr>
          <w:p>
            <w:pPr>
              <w:pStyle w:val="Compact"/>
              <w:spacing w:before="0" w:after="60" w:line="240" w:lineRule="auto"/>
              <w:jc w:val="center"/>
            </w:pPr>
            <w:r>
              <w:rPr>
                <w:b/>
                <w:sz w:val="18"/>
              </w:rPr>
              <w:t>Inoculated</w:t>
            </w:r>
          </w:p>
        </w:tc>
        <w:tc>
          <w:tcPr>
            <w:tcW w:w="794" w:type="dxa"/>
            <w:tcBorders>
              <w:bottom w:val="single" w:sz="5" w:space="0" w:color="000000"/>
            </w:tcBorders>
            <w:vAlign w:val="center"/>
          </w:tcPr>
          <w:p>
            <w:pPr>
              <w:pStyle w:val="Compact"/>
              <w:spacing w:before="0" w:after="60" w:line="240" w:lineRule="auto"/>
              <w:jc w:val="center"/>
            </w:pPr>
            <w:r>
              <w:rPr>
                <w:b/>
                <w:sz w:val="18"/>
              </w:rPr>
              <w:t xml:space="preserve">Mock</w:t>
            </w:r>
          </w:p>
        </w:tc>
        <w:tc>
          <w:tcPr>
            <w:tcW w:w="1701" w:type="dxa"/>
            <w:tcBorders>
              <w:bottom w:val="single" w:sz="5" w:space="0" w:color="000000"/>
            </w:tcBorders>
            <w:vAlign w:val="center"/>
          </w:tcPr>
          <w:p>
            <w:pPr>
              <w:pStyle w:val="Compact"/>
              <w:spacing w:before="0" w:after="60" w:line="240" w:lineRule="auto"/>
              <w:jc w:val="center"/>
            </w:pPr>
            <w:r>
              <w:rPr>
                <w:b/>
                <w:sz w:val="18"/>
              </w:rPr>
              <w:t xml:space="preserve">Majority-class accuracy (%)</w:t>
            </w:r>
          </w:p>
        </w:tc>
        <w:tc>
          <w:tcPr>
            <w:tcW w:w="1134" w:type="dxa"/>
            <w:tcBorders>
              <w:bottom w:val="single" w:sz="5" w:space="0" w:color="000000"/>
            </w:tcBorders>
            <w:vAlign w:val="center"/>
          </w:tcPr>
          <w:p>
            <w:pPr>
              <w:pStyle w:val="Compact"/>
              <w:spacing w:before="0" w:after="60" w:line="240" w:lineRule="auto"/>
              <w:jc w:val="center"/>
            </w:pPr>
            <w:r>
              <w:rPr>
                <w:b/>
                <w:sz w:val="18"/>
              </w:rPr>
              <w:t xml:space="preserve">Includes 6 dpi (later infection stage)</w:t>
            </w:r>
          </w:p>
        </w:tc>
      </w:tr>
      <w:tr>
        <w:trPr>
          <w:cantSplit/>
        </w:trPr>
        <w:tc>
          <w:tcPr>
            <w:tcW w:w="2381" w:type="dxa"/>
          </w:tcPr>
          <w:p>
            <w:pPr>
              <w:pStyle w:val="Compact"/>
              <w:spacing w:before="0" w:after="60" w:line="240" w:lineRule="auto"/>
              <w:jc w:val="left"/>
            </w:pPr>
            <w:r>
              <w:rPr>
                <w:sz w:val="18"/>
              </w:rPr>
              <w:t xml:space="preserve">2 dpi</w:t>
            </w:r>
          </w:p>
        </w:tc>
        <w:tc>
          <w:tcPr>
            <w:tcW w:w="1247" w:type="dxa"/>
          </w:tcPr>
          <w:p>
            <w:pPr>
              <w:pStyle w:val="Compact"/>
              <w:spacing w:before="0" w:after="60" w:line="240" w:lineRule="auto"/>
              <w:jc w:val="center"/>
            </w:pPr>
            <w:r>
              <w:rPr>
                <w:sz w:val="18"/>
              </w:rPr>
              <w:t xml:space="preserve">2</w:t>
            </w:r>
          </w:p>
        </w:tc>
        <w:tc>
          <w:tcPr>
            <w:tcW w:w="850" w:type="dxa"/>
          </w:tcPr>
          <w:p>
            <w:pPr>
              <w:pStyle w:val="Compact"/>
              <w:spacing w:before="0" w:after="60" w:line="240" w:lineRule="auto"/>
              <w:jc w:val="center"/>
            </w:pPr>
            <w:r>
              <w:rPr>
                <w:sz w:val="18"/>
              </w:rPr>
              <w:t xml:space="preserve">69 + 24</w:t>
            </w:r>
          </w:p>
        </w:tc>
        <w:tc>
          <w:tcPr>
            <w:tcW w:w="964" w:type="dxa"/>
          </w:tcPr>
          <w:p>
            <w:pPr>
              <w:pStyle w:val="Compact"/>
              <w:spacing w:before="0" w:after="60" w:line="240" w:lineRule="auto"/>
              <w:jc w:val="center"/>
            </w:pPr>
            <w:r>
              <w:rPr>
                <w:sz w:val="18"/>
              </w:rPr>
              <w:t xml:space="preserve">69</w:t>
            </w:r>
          </w:p>
        </w:tc>
        <w:tc>
          <w:tcPr>
            <w:tcW w:w="794" w:type="dxa"/>
          </w:tcPr>
          <w:p>
            <w:pPr>
              <w:pStyle w:val="Compact"/>
              <w:spacing w:before="0" w:after="60" w:line="240" w:lineRule="auto"/>
              <w:jc w:val="center"/>
            </w:pPr>
            <w:r>
              <w:rPr>
                <w:sz w:val="18"/>
              </w:rPr>
              <w:t xml:space="preserve">24</w:t>
            </w:r>
          </w:p>
        </w:tc>
        <w:tc>
          <w:tcPr>
            <w:tcW w:w="1701" w:type="dxa"/>
          </w:tcPr>
          <w:p>
            <w:pPr>
              <w:pStyle w:val="Compact"/>
              <w:spacing w:before="0" w:after="60" w:line="240" w:lineRule="auto"/>
              <w:jc w:val="center"/>
            </w:pPr>
            <w:r>
              <w:rPr>
                <w:sz w:val="18"/>
              </w:rPr>
              <w:t xml:space="preserve">74.19</w:t>
            </w:r>
          </w:p>
        </w:tc>
        <w:tc>
          <w:tcPr>
            <w:tcW w:w="1134" w:type="dxa"/>
          </w:tcPr>
          <w:p>
            <w:pPr>
              <w:pStyle w:val="Compact"/>
              <w:spacing w:before="0" w:after="60" w:line="240" w:lineRule="auto"/>
              <w:jc w:val="center"/>
            </w:pPr>
            <w:r>
              <w:rPr>
                <w:sz w:val="18"/>
              </w:rPr>
              <w:t xml:space="preserve">No</w:t>
            </w:r>
          </w:p>
        </w:tc>
      </w:tr>
      <w:tr>
        <w:trPr>
          <w:cantSplit/>
        </w:trPr>
        <w:tc>
          <w:tcPr>
            <w:tcW w:w="2381" w:type="dxa"/>
          </w:tcPr>
          <w:p>
            <w:pPr>
              <w:pStyle w:val="Compact"/>
              <w:spacing w:before="0" w:after="60" w:line="240" w:lineRule="auto"/>
              <w:jc w:val="left"/>
            </w:pPr>
            <w:r>
              <w:rPr>
                <w:sz w:val="18"/>
              </w:rPr>
              <w:t xml:space="preserve">4 dpi</w:t>
            </w:r>
          </w:p>
        </w:tc>
        <w:tc>
          <w:tcPr>
            <w:tcW w:w="1247" w:type="dxa"/>
          </w:tcPr>
          <w:p>
            <w:pPr>
              <w:pStyle w:val="Compact"/>
              <w:spacing w:before="0" w:after="60" w:line="240" w:lineRule="auto"/>
              <w:jc w:val="center"/>
            </w:pPr>
            <w:r>
              <w:rPr>
                <w:sz w:val="18"/>
              </w:rPr>
              <w:t xml:space="preserve">4</w:t>
            </w:r>
          </w:p>
        </w:tc>
        <w:tc>
          <w:tcPr>
            <w:tcW w:w="850" w:type="dxa"/>
          </w:tcPr>
          <w:p>
            <w:pPr>
              <w:pStyle w:val="Compact"/>
              <w:spacing w:before="0" w:after="60" w:line="240" w:lineRule="auto"/>
              <w:jc w:val="center"/>
            </w:pPr>
            <w:r>
              <w:rPr>
                <w:sz w:val="18"/>
              </w:rPr>
              <w:t xml:space="preserve">96</w:t>
            </w:r>
          </w:p>
        </w:tc>
        <w:tc>
          <w:tcPr>
            <w:tcW w:w="964" w:type="dxa"/>
          </w:tcPr>
          <w:p>
            <w:pPr>
              <w:pStyle w:val="Compact"/>
              <w:spacing w:before="0" w:after="60" w:line="240" w:lineRule="auto"/>
              <w:jc w:val="center"/>
            </w:pPr>
            <w:r>
              <w:rPr>
                <w:sz w:val="18"/>
              </w:rPr>
              <w:t xml:space="preserve">72</w:t>
            </w:r>
          </w:p>
        </w:tc>
        <w:tc>
          <w:tcPr>
            <w:tcW w:w="794" w:type="dxa"/>
          </w:tcPr>
          <w:p>
            <w:pPr>
              <w:pStyle w:val="Compact"/>
              <w:spacing w:before="0" w:after="60" w:line="240" w:lineRule="auto"/>
              <w:jc w:val="center"/>
            </w:pPr>
            <w:r>
              <w:rPr>
                <w:sz w:val="18"/>
              </w:rPr>
              <w:t xml:space="preserve">24</w:t>
            </w:r>
          </w:p>
        </w:tc>
        <w:tc>
          <w:tcPr>
            <w:tcW w:w="1701" w:type="dxa"/>
          </w:tcPr>
          <w:p>
            <w:pPr>
              <w:pStyle w:val="Compact"/>
              <w:spacing w:before="0" w:after="60" w:line="240" w:lineRule="auto"/>
              <w:jc w:val="center"/>
            </w:pPr>
            <w:r>
              <w:rPr>
                <w:sz w:val="18"/>
              </w:rPr>
              <w:t xml:space="preserve">75.00</w:t>
            </w:r>
          </w:p>
        </w:tc>
        <w:tc>
          <w:tcPr>
            <w:tcW w:w="1134" w:type="dxa"/>
          </w:tcPr>
          <w:p>
            <w:pPr>
              <w:pStyle w:val="Compact"/>
              <w:spacing w:before="0" w:after="60" w:line="240" w:lineRule="auto"/>
              <w:jc w:val="center"/>
            </w:pPr>
            <w:r>
              <w:rPr>
                <w:sz w:val="18"/>
              </w:rPr>
              <w:t xml:space="preserve">No</w:t>
            </w:r>
          </w:p>
        </w:tc>
      </w:tr>
      <w:tr>
        <w:trPr>
          <w:cantSplit/>
        </w:trPr>
        <w:tc>
          <w:tcPr>
            <w:tcW w:w="2381" w:type="dxa"/>
          </w:tcPr>
          <w:p>
            <w:pPr>
              <w:pStyle w:val="Compact"/>
              <w:spacing w:before="0" w:after="60" w:line="240" w:lineRule="auto"/>
              <w:jc w:val="left"/>
            </w:pPr>
            <w:r>
              <w:rPr>
                <w:sz w:val="18"/>
              </w:rPr>
              <w:t xml:space="preserve">6 dpi</w:t>
            </w:r>
          </w:p>
        </w:tc>
        <w:tc>
          <w:tcPr>
            <w:tcW w:w="1247" w:type="dxa"/>
          </w:tcPr>
          <w:p>
            <w:pPr>
              <w:pStyle w:val="Compact"/>
              <w:spacing w:before="0" w:after="60" w:line="240" w:lineRule="auto"/>
              <w:jc w:val="center"/>
            </w:pPr>
            <w:r>
              <w:rPr>
                <w:sz w:val="18"/>
              </w:rPr>
              <w:t xml:space="preserve">6</w:t>
            </w:r>
          </w:p>
        </w:tc>
        <w:tc>
          <w:tcPr>
            <w:tcW w:w="850" w:type="dxa"/>
          </w:tcPr>
          <w:p>
            <w:pPr>
              <w:pStyle w:val="Compact"/>
              <w:spacing w:before="0" w:after="60" w:line="240" w:lineRule="auto"/>
              <w:jc w:val="center"/>
            </w:pPr>
            <w:r>
              <w:rPr>
                <w:sz w:val="18"/>
              </w:rPr>
              <w:t xml:space="preserve">96</w:t>
            </w:r>
          </w:p>
        </w:tc>
        <w:tc>
          <w:tcPr>
            <w:tcW w:w="964" w:type="dxa"/>
          </w:tcPr>
          <w:p>
            <w:pPr>
              <w:pStyle w:val="Compact"/>
              <w:spacing w:before="0" w:after="60" w:line="240" w:lineRule="auto"/>
              <w:jc w:val="center"/>
            </w:pPr>
            <w:r>
              <w:rPr>
                <w:sz w:val="18"/>
              </w:rPr>
              <w:t xml:space="preserve">72</w:t>
            </w:r>
          </w:p>
        </w:tc>
        <w:tc>
          <w:tcPr>
            <w:tcW w:w="794" w:type="dxa"/>
          </w:tcPr>
          <w:p>
            <w:pPr>
              <w:pStyle w:val="Compact"/>
              <w:spacing w:before="0" w:after="60" w:line="240" w:lineRule="auto"/>
              <w:jc w:val="center"/>
            </w:pPr>
            <w:r>
              <w:rPr>
                <w:sz w:val="18"/>
              </w:rPr>
              <w:t xml:space="preserve">24</w:t>
            </w:r>
          </w:p>
        </w:tc>
        <w:tc>
          <w:tcPr>
            <w:tcW w:w="1701" w:type="dxa"/>
          </w:tcPr>
          <w:p>
            <w:pPr>
              <w:pStyle w:val="Compact"/>
              <w:spacing w:before="0" w:after="60" w:line="240" w:lineRule="auto"/>
              <w:jc w:val="center"/>
            </w:pPr>
            <w:r>
              <w:rPr>
                <w:sz w:val="18"/>
              </w:rPr>
              <w:t xml:space="preserve">75.00</w:t>
            </w:r>
          </w:p>
        </w:tc>
        <w:tc>
          <w:tcPr>
            <w:tcW w:w="1134" w:type="dxa"/>
          </w:tcPr>
          <w:p>
            <w:pPr>
              <w:pStyle w:val="Compact"/>
              <w:spacing w:before="0" w:after="60" w:line="240" w:lineRule="auto"/>
              <w:jc w:val="center"/>
            </w:pPr>
            <w:r>
              <w:rPr>
                <w:sz w:val="18"/>
              </w:rPr>
              <w:t xml:space="preserve">Yes</w:t>
            </w:r>
          </w:p>
        </w:tc>
      </w:tr>
      <w:tr>
        <w:trPr>
          <w:cantSplit/>
        </w:trPr>
        <w:tc>
          <w:tcPr>
            <w:tcW w:w="2381" w:type="dxa"/>
          </w:tcPr>
          <w:p>
            <w:pPr>
              <w:pStyle w:val="Compact"/>
              <w:spacing w:before="0" w:after="60" w:line="240" w:lineRule="auto"/>
              <w:jc w:val="left"/>
            </w:pPr>
            <w:r>
              <w:rPr>
                <w:sz w:val="18"/>
              </w:rPr>
              <w:t xml:space="preserve">Joint 2+4 dpi</w:t>
            </w:r>
          </w:p>
        </w:tc>
        <w:tc>
          <w:tcPr>
            <w:tcW w:w="1247" w:type="dxa"/>
          </w:tcPr>
          <w:p>
            <w:pPr>
              <w:pStyle w:val="Compact"/>
              <w:spacing w:before="0" w:after="60" w:line="240" w:lineRule="auto"/>
              <w:jc w:val="center"/>
            </w:pPr>
            <w:r>
              <w:rPr>
                <w:sz w:val="18"/>
              </w:rPr>
              <w:t xml:space="preserve">2, 4</w:t>
            </w:r>
          </w:p>
        </w:tc>
        <w:tc>
          <w:tcPr>
            <w:tcW w:w="850" w:type="dxa"/>
          </w:tcPr>
          <w:p>
            <w:pPr>
              <w:pStyle w:val="Compact"/>
              <w:spacing w:before="0" w:after="60" w:line="240" w:lineRule="auto"/>
              <w:jc w:val="center"/>
            </w:pPr>
            <w:r>
              <w:rPr>
                <w:sz w:val="18"/>
              </w:rPr>
              <w:t xml:space="preserve">96</w:t>
            </w:r>
          </w:p>
        </w:tc>
        <w:tc>
          <w:tcPr>
            <w:tcW w:w="964" w:type="dxa"/>
          </w:tcPr>
          <w:p>
            <w:pPr>
              <w:pStyle w:val="Compact"/>
              <w:spacing w:before="0" w:after="60" w:line="240" w:lineRule="auto"/>
              <w:jc w:val="center"/>
            </w:pPr>
            <w:r>
              <w:rPr>
                <w:sz w:val="18"/>
              </w:rPr>
              <w:t xml:space="preserve">72</w:t>
            </w:r>
          </w:p>
        </w:tc>
        <w:tc>
          <w:tcPr>
            <w:tcW w:w="794" w:type="dxa"/>
          </w:tcPr>
          <w:p>
            <w:pPr>
              <w:pStyle w:val="Compact"/>
              <w:spacing w:before="0" w:after="60" w:line="240" w:lineRule="auto"/>
              <w:jc w:val="center"/>
            </w:pPr>
            <w:r>
              <w:rPr>
                <w:sz w:val="18"/>
              </w:rPr>
              <w:t xml:space="preserve">24</w:t>
            </w:r>
          </w:p>
        </w:tc>
        <w:tc>
          <w:tcPr>
            <w:tcW w:w="1701" w:type="dxa"/>
          </w:tcPr>
          <w:p>
            <w:pPr>
              <w:pStyle w:val="Compact"/>
              <w:spacing w:before="0" w:after="60" w:line="240" w:lineRule="auto"/>
              <w:jc w:val="center"/>
            </w:pPr>
            <w:r>
              <w:rPr>
                <w:sz w:val="18"/>
              </w:rPr>
              <w:t xml:space="preserve">75.00</w:t>
            </w:r>
          </w:p>
        </w:tc>
        <w:tc>
          <w:tcPr>
            <w:tcW w:w="1134" w:type="dxa"/>
          </w:tcPr>
          <w:p>
            <w:pPr>
              <w:pStyle w:val="Compact"/>
              <w:spacing w:before="0" w:after="60" w:line="240" w:lineRule="auto"/>
              <w:jc w:val="center"/>
            </w:pPr>
            <w:r>
              <w:rPr>
                <w:sz w:val="18"/>
              </w:rPr>
              <w:t xml:space="preserve">No</w:t>
            </w:r>
          </w:p>
        </w:tc>
      </w:tr>
      <w:tr>
        <w:trPr>
          <w:cantSplit/>
        </w:trPr>
        <w:tc>
          <w:tcPr>
            <w:tcW w:w="2381" w:type="dxa"/>
          </w:tcPr>
          <w:p>
            <w:pPr>
              <w:pStyle w:val="Compact"/>
              <w:spacing w:before="0" w:after="60" w:line="240" w:lineRule="auto"/>
              <w:jc w:val="left"/>
            </w:pPr>
            <w:r>
              <w:rPr>
                <w:sz w:val="18"/>
              </w:rPr>
              <w:t xml:space="preserve">All dates pooled (seed 157 only)</w:t>
            </w:r>
          </w:p>
        </w:tc>
        <w:tc>
          <w:tcPr>
            <w:tcW w:w="1247" w:type="dxa"/>
          </w:tcPr>
          <w:p>
            <w:pPr>
              <w:pStyle w:val="Compact"/>
              <w:spacing w:before="0" w:after="60" w:line="240" w:lineRule="auto"/>
              <w:jc w:val="center"/>
            </w:pPr>
            <w:r>
              <w:rPr>
                <w:sz w:val="18"/>
              </w:rPr>
              <w:t xml:space="preserve">2, 4, 6</w:t>
            </w:r>
          </w:p>
        </w:tc>
        <w:tc>
          <w:tcPr>
            <w:tcW w:w="850" w:type="dxa"/>
          </w:tcPr>
          <w:p>
            <w:pPr>
              <w:pStyle w:val="Compact"/>
              <w:spacing w:before="0" w:after="60" w:line="240" w:lineRule="auto"/>
              <w:jc w:val="center"/>
            </w:pPr>
            <w:r>
              <w:rPr>
                <w:sz w:val="18"/>
              </w:rPr>
              <w:t xml:space="preserve">96</w:t>
            </w:r>
          </w:p>
        </w:tc>
        <w:tc>
          <w:tcPr>
            <w:tcW w:w="964" w:type="dxa"/>
          </w:tcPr>
          <w:p>
            <w:pPr>
              <w:pStyle w:val="Compact"/>
              <w:spacing w:before="0" w:after="60" w:line="240" w:lineRule="auto"/>
              <w:jc w:val="center"/>
            </w:pPr>
            <w:r>
              <w:rPr>
                <w:sz w:val="18"/>
              </w:rPr>
              <w:t xml:space="preserve">72</w:t>
            </w:r>
          </w:p>
        </w:tc>
        <w:tc>
          <w:tcPr>
            <w:tcW w:w="794" w:type="dxa"/>
          </w:tcPr>
          <w:p>
            <w:pPr>
              <w:pStyle w:val="Compact"/>
              <w:spacing w:before="0" w:after="60" w:line="240" w:lineRule="auto"/>
              <w:jc w:val="center"/>
            </w:pPr>
            <w:r>
              <w:rPr>
                <w:sz w:val="18"/>
              </w:rPr>
              <w:t xml:space="preserve">24</w:t>
            </w:r>
          </w:p>
        </w:tc>
        <w:tc>
          <w:tcPr>
            <w:tcW w:w="1701" w:type="dxa"/>
          </w:tcPr>
          <w:p>
            <w:pPr>
              <w:pStyle w:val="Compact"/>
              <w:spacing w:before="0" w:after="60" w:line="240" w:lineRule="auto"/>
              <w:jc w:val="center"/>
            </w:pPr>
            <w:r>
              <w:rPr>
                <w:sz w:val="18"/>
              </w:rPr>
              <w:t xml:space="preserve">75.00</w:t>
            </w:r>
          </w:p>
        </w:tc>
        <w:tc>
          <w:tcPr>
            <w:tcW w:w="1134" w:type="dxa"/>
          </w:tcPr>
          <w:p>
            <w:pPr>
              <w:pStyle w:val="Compact"/>
              <w:spacing w:before="0" w:after="60" w:line="240" w:lineRule="auto"/>
              <w:jc w:val="center"/>
            </w:pPr>
            <w:r>
              <w:rPr>
                <w:sz w:val="18"/>
              </w:rPr>
              <w:t xml:space="preserve">Yes</w:t>
            </w:r>
          </w:p>
        </w:tc>
      </w:tr>
    </w:tbl>
    <w:bookmarkEnd w:id="33"/>
    <w:bookmarkStart w:id="46" w:name="computational-framework"/>
    <w:p>
      <w:pPr>
        <w:pStyle w:val="Heading2"/>
      </w:pPr>
      <w:r>
        <w:rPr>
          <w:rStyle w:val="SectionNumber"/>
        </w:rPr>
        <w:t xml:space="preserve">2.6</w:t>
      </w:r>
      <w:r>
        <w:rPr/>
        <w:tab/>
      </w:r>
      <w:r>
        <w:rPr/>
        <w:t xml:space="preserve">Computational framework</w:t>
      </w:r>
    </w:p>
    <w:bookmarkStart w:id="37" w:name="overview"/>
    <w:p>
      <w:pPr>
        <w:pStyle w:val="Heading3"/>
      </w:pPr>
      <w:r>
        <w:rPr>
          <w:rStyle w:val="SectionNumber"/>
        </w:rPr>
        <w:t xml:space="preserve">2.6.1</w:t>
      </w:r>
      <w:r>
        <w:rPr/>
        <w:tab/>
      </w:r>
      <w:r>
        <w:rPr/>
        <w:t xml:space="preserve">Overview</w:t>
      </w:r>
    </w:p>
    <w:p>
      <w:pPr>
        <w:pStyle w:val="FirstParagraph"/>
      </w:pPr>
      <w:r>
        <w:rPr/>
        <w:t xml:space="preserve">The multimodal model, PSNet, is a dual-stream network (Fig. 3). A spatial branch encodes the RGB image with a ResNet34, and a spectral branch (HSNet) encodes the hyperspectral cube with a Transformer. The two embeddings are concatenated and classified by a small multilayer perceptron. The remainder of this section defines each part, the baselines and ablation variants that were compared with it, and the training settings.</w:t>
      </w:r>
    </w:p>
    <w:p>
      <w:pPr>
        <w:pStyle w:val="CaptionedFigure"/>
        <w:keepNext/>
      </w:pPr>
      <w:r>
        <w:rPr/>
        <w:drawing>
          <wp:inline>
            <wp:extent cx="5623560" cy="2335940"/>
            <wp:docPr id="59" name="Picture 59"/>
            <wp:cNvGraphicFramePr>
              <a:graphicFrameLocks noChangeAspect="1"/>
            </wp:cNvGraphicFramePr>
            <a:graphic>
              <a:graphicData uri="http://schemas.openxmlformats.org/drawingml/2006/picture">
                <pic:pic>
                  <pic:nvPicPr>
                    <pic:cNvPr id="0" name="Figure_3_PSNet_overview.png"/>
                    <pic:cNvPicPr/>
                  </pic:nvPicPr>
                  <pic:blipFill>
                    <a:blip r:embed="rId11"/>
                    <a:stretch>
                      <a:fillRect/>
                    </a:stretch>
                  </pic:blipFill>
                  <pic:spPr>
                    <a:xfrm>
                      <a:off x="0" y="0"/>
                      <a:ext cx="5623560" cy="2335940"/>
                    </a:xfrm>
                    <a:prstGeom prst="rect"/>
                  </pic:spPr>
                </pic:pic>
              </a:graphicData>
            </a:graphic>
          </wp:inline>
        </w:drawing>
      </w:r>
    </w:p>
    <w:p>
      <w:pPr>
        <w:pStyle w:val="ImageCaption"/>
      </w:pPr>
      <w:r>
        <w:rPr/>
        <w:t>Figure 3. Binary PSNet reimplementation evaluated in this revision. The RGB ResNet34 and HSI Transformer produce 64-dimensional embeddings. Concatenation and a 128 → 128 → 2 head yield mock-versus-inoculated logits. Tensor dimensions omit the batch axis. The model diagram and equations describe the released binary implementation rather than the earlier four-class prototype.</w:t>
      </w:r>
    </w:p>
    <w:bookmarkEnd w:id="37"/>
    <w:bookmarkStart w:id="38" w:name="spatial-branch"/>
    <w:p>
      <w:pPr>
        <w:pStyle w:val="Heading3"/>
      </w:pPr>
      <w:r>
        <w:rPr>
          <w:rStyle w:val="SectionNumber"/>
        </w:rPr>
        <w:t xml:space="preserve">2.6.2</w:t>
      </w:r>
      <w:r>
        <w:rPr/>
        <w:tab/>
      </w:r>
      <w:r>
        <w:rPr/>
        <w:t xml:space="preserve">Spatial branch</w:t>
      </w:r>
    </w:p>
    <w:p>
      <w:pPr>
        <w:pStyle w:val="FirstParagraph"/>
      </w:pPr>
      <w:r>
        <w:rPr/>
        <w:t xml:space="preserve">The RGB branch is an ImageNet-pretrained ResNet34. The RGB image</w:t>
      </w:r>
      <w:r>
        <w:rPr/>
        <w:t xml:space="preserve"> </w:t>
      </w:r>
      <m:oMath>
        <m:sSub>
          <m:e>
            <m:r>
              <m:rPr>
                <m:sty m:val="b"/>
              </m:rPr>
              <m:t>X</m:t>
            </m:r>
          </m:e>
          <m:sub>
            <m:r>
              <m:t>r</m:t>
            </m:r>
            <m:r>
              <m:t>g</m:t>
            </m:r>
            <m:r>
              <m:t>b</m:t>
            </m:r>
          </m:sub>
        </m:sSub>
        <m:r>
          <m:rPr>
            <m:sty m:val="p"/>
          </m:rPr>
          <m:t>∈</m:t>
        </m:r>
        <m:sSup>
          <m:e>
            <m:r>
              <m:rPr>
                <m:sty m:val="p"/>
                <m:scr m:val="double-struck"/>
              </m:rPr>
              <m:t>R</m:t>
            </m:r>
          </m:e>
          <m:sup>
            <m:r>
              <m:t>224</m:t>
            </m:r>
            <m:r>
              <m:rPr>
                <m:sty m:val="p"/>
              </m:rPr>
              <m:t>×</m:t>
            </m:r>
            <m:r>
              <m:t>224</m:t>
            </m:r>
            <m:r>
              <m:rPr>
                <m:sty m:val="p"/>
              </m:rPr>
              <m:t>×</m:t>
            </m:r>
            <m:r>
              <m:t>3</m:t>
            </m:r>
          </m:sup>
        </m:sSup>
      </m:oMath>
      <w:r>
        <w:rPr/>
        <w:t xml:space="preserve"> </w:t>
      </w:r>
      <w:r>
        <w:rPr/>
        <w:t xml:space="preserve">passes through the convolutional and residual stages, the final feature map is aggregated by global average pooling (GAP), and a projection head produces the RGB embedding</w:t>
      </w:r>
      <w:r>
        <w:rPr/>
        <w:t xml:space="preserve"> </w:t>
      </w:r>
      <m:oMath>
        <m:sSub>
          <m:e>
            <m:r>
              <m:rPr>
                <m:sty m:val="b"/>
              </m:rPr>
              <m:t>z</m:t>
            </m:r>
          </m:e>
          <m:sub>
            <m:r>
              <m:t>r</m:t>
            </m:r>
            <m:r>
              <m:t>g</m:t>
            </m:r>
            <m:r>
              <m:t>b</m:t>
            </m:r>
          </m:sub>
        </m:sSub>
      </m:oMath>
      <w:r>
        <w:rPr/>
        <w:t xml:space="preserve">.</w:t>
      </w:r>
    </w:p>
    <w:bookmarkEnd w:id="38"/>
    <w:bookmarkStart w:id="42" w:name="spectral-branch"/>
    <w:p>
      <w:pPr>
        <w:pStyle w:val="Heading3"/>
      </w:pPr>
      <w:r>
        <w:rPr>
          <w:rStyle w:val="SectionNumber"/>
        </w:rPr>
        <w:t xml:space="preserve">2.6.3</w:t>
      </w:r>
      <w:r>
        <w:rPr/>
        <w:tab/>
      </w:r>
      <w:r>
        <w:rPr/>
        <w:t xml:space="preserve">Spectral branch</w:t>
      </w:r>
    </w:p>
    <w:p>
      <w:pPr>
        <w:pStyle w:val="FirstParagraph"/>
      </w:pPr>
      <w:r>
        <w:rPr/>
        <w:t>The spectral encoder accepts X with shape C × H × W, where C = 313, H = 132 and W = 135. It constructs one global token from the spatial mean spectrum and 512 local tokens from learned feature channels (Fig. 4). All tokens have dimension 64.</w:t>
      </w:r>
    </w:p>
    <w:p>
      <w:pPr>
        <w:pStyle w:val="CaptionedFigure"/>
        <w:keepNext/>
      </w:pPr>
      <w:r>
        <w:rPr/>
        <w:drawing>
          <wp:inline>
            <wp:extent cx="5623560" cy="3328715"/>
            <wp:docPr id="60" name="Picture 60"/>
            <wp:cNvGraphicFramePr>
              <a:graphicFrameLocks noChangeAspect="1"/>
            </wp:cNvGraphicFramePr>
            <a:graphic>
              <a:graphicData uri="http://schemas.openxmlformats.org/drawingml/2006/picture">
                <pic:pic>
                  <pic:nvPicPr>
                    <pic:cNvPr id="0" name="Figure_4_HSI_encoder.png"/>
                    <pic:cNvPicPr/>
                  </pic:nvPicPr>
                  <pic:blipFill>
                    <a:blip r:embed="rId12"/>
                    <a:stretch>
                      <a:fillRect/>
                    </a:stretch>
                  </pic:blipFill>
                  <pic:spPr>
                    <a:xfrm>
                      <a:off x="0" y="0"/>
                      <a:ext cx="5623560" cy="3328715"/>
                    </a:xfrm>
                    <a:prstGeom prst="rect"/>
                  </pic:spPr>
                </pic:pic>
              </a:graphicData>
            </a:graphic>
          </wp:inline>
        </w:drawing>
      </w:r>
    </w:p>
    <w:p>
      <w:pPr>
        <w:pStyle w:val="ImageCaption"/>
      </w:pPr>
      <w:r>
        <w:rPr/>
        <w:t>Figure 4. Implemented HSI encoder. A three-level Haar transform acts on the spatially averaged input spectrum. A separate 3 × 3 convolution reduces the cube to 64 learned feature channels, followed by 3D patch embedding. Five Transformer layers use four attention heads and CAF before layers 3–5. The feature-channel axis after reduction is not a physical wavelength axis. Supplementary Algorithm S1 specifies the global-token and CAF operations.</w:t>
      </w:r>
    </w:p>
    <w:p>
      <w:pPr>
        <w:pStyle w:val="BodyText"/>
      </w:pPr>
      <w:r>
        <w:rPr/>
        <w:t>Global token. The input is first averaged spatially. A three-level Haar transform, not a Daubechies-4 transform, is then applied to this mean spectrum. At each level, the final value is replicated if the length is odd. For paired values u and v, approximation and detail coefficients are (u + v)/√2 and (u − v)/√2, respectively:</w:t>
      </w:r>
    </w:p>
    <w:p>
      <w:pPr>
        <w:pStyle w:val="BodyText"/>
      </w:pPr>
      <m:oMath>
        <m:r>
          <m:t>s = </m:t>
        </m:r>
        <m:sSub>
          <m:e>
            <m:r>
              <m:t>mean</m:t>
            </m:r>
          </m:e>
          <m:sub>
            <m:r>
              <m:t>HW</m:t>
            </m:r>
          </m:sub>
        </m:sSub>
        <m:r>
          <m:t>(X);  [</m:t>
        </m:r>
        <m:sSub>
          <m:e>
            <m:r>
              <m:t>d</m:t>
            </m:r>
          </m:e>
          <m:sub>
            <m:r>
              <m:t>1</m:t>
            </m:r>
          </m:sub>
        </m:sSub>
        <m:r>
          <m:t>, </m:t>
        </m:r>
        <m:sSub>
          <m:e>
            <m:r>
              <m:t>d</m:t>
            </m:r>
          </m:e>
          <m:sub>
            <m:r>
              <m:t>2</m:t>
            </m:r>
          </m:sub>
        </m:sSub>
        <m:r>
          <m:t>, </m:t>
        </m:r>
        <m:sSub>
          <m:e>
            <m:r>
              <m:t>d</m:t>
            </m:r>
          </m:e>
          <m:sub>
            <m:r>
              <m:t>3</m:t>
            </m:r>
          </m:sub>
        </m:sSub>
        <m:r>
          <m:t>, </m:t>
        </m:r>
        <m:sSub>
          <m:e>
            <m:r>
              <m:t>a</m:t>
            </m:r>
          </m:e>
          <m:sub>
            <m:r>
              <m:t>3</m:t>
            </m:r>
          </m:sub>
        </m:sSub>
        <m:r>
          <m:t>] = </m:t>
        </m:r>
        <m:sSub>
          <m:e>
            <m:r>
              <m:t>Haar</m:t>
            </m:r>
          </m:e>
          <m:sub>
            <m:r>
              <m:t>3</m:t>
            </m:r>
          </m:sub>
        </m:sSub>
        <m:r>
          <m:t>(s)</m:t>
        </m:r>
      </m:oMath>
      <w:r>
        <w:rPr/>
        <w:t xml:space="preserve">  (1)</w:t>
      </w:r>
    </w:p>
    <w:p>
      <w:pPr>
        <w:pStyle w:val="FirstParagraph"/>
      </w:pPr>
      <w:r>
        <w:rPr/>
        <w:t>The detail vectors from levels 1, 2 and 3 are concatenated in that order, followed by the level-3 approximation. For 313 input bands, the concatenation has 316 elements; the implementation keeps the first 313 elements. A learned linear projection and GELU produce the global token:</w:t>
      </w:r>
    </w:p>
    <w:p>
      <w:pPr>
        <w:pStyle w:val="BodyText"/>
      </w:pPr>
      <m:oMath>
        <m:r>
          <m:t>g = GELU(</m:t>
        </m:r>
        <m:sSub>
          <m:e>
            <m:r>
              <m:t>W</m:t>
            </m:r>
          </m:e>
          <m:sub>
            <m:r>
              <m:t>g</m:t>
            </m:r>
          </m:sub>
        </m:sSub>
        <m:r>
          <m:t> · concat(</m:t>
        </m:r>
        <m:sSub>
          <m:e>
            <m:r>
              <m:t>d</m:t>
            </m:r>
          </m:e>
          <m:sub>
            <m:r>
              <m:t>1</m:t>
            </m:r>
          </m:sub>
        </m:sSub>
        <m:r>
          <m:t>, </m:t>
        </m:r>
        <m:sSub>
          <m:e>
            <m:r>
              <m:t>d</m:t>
            </m:r>
          </m:e>
          <m:sub>
            <m:r>
              <m:t>2</m:t>
            </m:r>
          </m:sub>
        </m:sSub>
        <m:r>
          <m:t>, </m:t>
        </m:r>
        <m:sSub>
          <m:e>
            <m:r>
              <m:t>d</m:t>
            </m:r>
          </m:e>
          <m:sub>
            <m:r>
              <m:t>3</m:t>
            </m:r>
          </m:sub>
        </m:sSub>
        <m:r>
          <m:t>, </m:t>
        </m:r>
        <m:sSub>
          <m:e>
            <m:r>
              <m:t>a</m:t>
            </m:r>
          </m:e>
          <m:sub>
            <m:r>
              <m:t>3</m:t>
            </m:r>
          </m:sub>
        </m:sSub>
        <m:r>
          <m:t>)[0:313] + </m:t>
        </m:r>
        <m:sSub>
          <m:e>
            <m:r>
              <m:t>b</m:t>
            </m:r>
          </m:e>
          <m:sub>
            <m:r>
              <m:t>g</m:t>
            </m:r>
          </m:sub>
        </m:sSub>
        <m:r>
          <m:t>)</m:t>
        </m:r>
      </m:oMath>
      <w:r>
        <w:rPr/>
        <w:t xml:space="preserve">  (2)</w:t>
      </w:r>
    </w:p>
    <w:p>
      <w:pPr>
        <w:pStyle w:val="FirstParagraph"/>
      </w:pPr>
      <w:r>
        <w:rPr/>
        <w:t>The resulting token has 64 elements and depends on the input cube. This differs from a freely learned CLS vector and from taking the mean of patch tokens. Spatial averaging precedes the Haar transform in the released implementation.</w:t>
      </w:r>
    </w:p>
    <w:p>
      <w:pPr>
        <w:pStyle w:val="BodyText"/>
      </w:pPr>
      <w:r>
        <w:rPr/>
        <w:t>Patch tokens. A Conv2D layer with 313 input channels, 64 output channels, kernel 3 × 3 and padding 1, followed by batch normalisation and GELU, produces a 64 × 132 × 135 feature tensor. A singleton channel axis is inserted for a Conv3D layer with 64 output channels, kernel and stride 8 × 16 × 16, and no padding. Thus:</w:t>
      </w:r>
    </w:p>
    <w:p>
      <w:pPr>
        <w:pStyle w:val="BodyText"/>
      </w:pPr>
      <m:oMath>
        <m:r>
          <m:t>N = floor(64/8) × floor(132/16) × floor(135/16) = 512</m:t>
        </m:r>
      </m:oMath>
      <w:r>
        <w:rPr/>
        <w:t xml:space="preserve">  (3)</w:t>
      </w:r>
    </w:p>
    <w:p>
      <w:pPr>
        <w:pStyle w:val="FirstParagraph"/>
      </w:pPr>
      <w:r>
        <w:rPr/>
        <w:t>The 3D convolution spans blocks of eight learned feature channels and 16 × 16 spatial positions. Spatial remainders are discarded; the output grid is 8 × 8 × 8. These blocks do not represent groups of eight adjacent physical wavelengths after the learned channel reduction.</w:t>
      </w:r>
    </w:p>
    <w:p>
      <w:pPr>
        <w:pStyle w:val="BodyText"/>
      </w:pPr>
      <m:oMath>
        <m:r>
          <m:t>T = flatten(Conv3D(reduce(X))) ∈ </m:t>
        </m:r>
        <m:sSup>
          <m:e>
            <m:r>
              <m:t>ℝ</m:t>
            </m:r>
          </m:e>
          <m:sup>
            <m:r>
              <m:t>512×64</m:t>
            </m:r>
          </m:sup>
        </m:sSup>
        <m:r>
          <m:t/>
        </m:r>
      </m:oMath>
      <w:r>
        <w:rPr/>
        <w:t xml:space="preserve">  (4)</w:t>
      </w:r>
    </w:p>
    <w:p>
      <w:pPr>
        <w:pStyle w:val="FirstParagraph"/>
      </w:pPr>
      <w:r>
        <w:rPr/>
        <w:t>Flattening this grid gives 512 patch tokens, each of dimension 64. The global token is prepended and positional embeddings are added to form the Transformer input:</w:t>
      </w:r>
    </w:p>
    <w:p>
      <w:pPr>
        <w:pStyle w:val="BodyText"/>
      </w:pPr>
      <m:oMath>
        <m:sSub>
          <m:e>
            <m:r>
              <m:t>Z</m:t>
            </m:r>
          </m:e>
          <m:sub>
            <m:r>
              <m:t>0</m:t>
            </m:r>
          </m:sub>
        </m:sSub>
        <m:r>
          <m:t> = Dropout(concat(g, T) + P[0:513]) ∈ </m:t>
        </m:r>
        <m:sSup>
          <m:e>
            <m:r>
              <m:t>ℝ</m:t>
            </m:r>
          </m:e>
          <m:sup>
            <m:r>
              <m:t>513×64</m:t>
            </m:r>
          </m:sup>
        </m:sSup>
        <m:r>
          <m:t/>
        </m:r>
      </m:oMath>
      <w:r>
        <w:rPr/>
        <w:t xml:space="preserve">  (5)</w:t>
      </w:r>
    </w:p>
    <w:p>
      <w:pPr>
        <w:pStyle w:val="FirstParagraph"/>
      </w:pPr>
      <w:r>
        <w:rPr/>
        <w:t>The positional parameter stores 1,025 × 64 elements, but only the first 513 positions are used in this path. The remaining 32,768 elements are registered but unused. Token dropout is 0.5.</w:t>
      </w:r>
    </w:p>
    <w:p>
      <w:pPr>
        <w:pStyle w:val="BodyText"/>
      </w:pPr>
      <w:r>
        <w:rPr/>
        <w:t>Encoder and cross-layer adaptive fusion. Five pre-normalisation Transformer layers use four attention heads, a feed-forward width of 256, GELU and dropout 0.5. CAF, adapted from SpectralFormer [25], concatenates the current representation with an earlier stored layer input and applies a learned 128 → 64 linear projection before layers 3, 4 and 5:</w:t>
      </w:r>
    </w:p>
    <w:p>
      <w:pPr>
        <w:pStyle w:val="BodyText"/>
      </w:pPr>
      <m:oMath>
        <m:sSub>
          <m:e>
            <m:r>
              <m:t>u</m:t>
            </m:r>
          </m:e>
          <m:sub>
            <m:r>
              <m:t>j</m:t>
            </m:r>
          </m:sub>
        </m:sSub>
        <m:r>
          <m:t> = </m:t>
        </m:r>
        <m:sSub>
          <m:e>
            <m:r>
              <m:t>W</m:t>
            </m:r>
          </m:e>
          <m:sub>
            <m:r>
              <m:t>j</m:t>
            </m:r>
          </m:sub>
        </m:sSub>
        <m:r>
          <m:t> · concat(</m:t>
        </m:r>
        <m:sSub>
          <m:e>
            <m:r>
              <m:t>h</m:t>
            </m:r>
          </m:e>
          <m:sub>
            <m:r>
              <m:t>j−1</m:t>
            </m:r>
          </m:sub>
        </m:sSub>
        <m:r>
          <m:t>, </m:t>
        </m:r>
        <m:sSub>
          <m:e>
            <m:r>
              <m:t>u</m:t>
            </m:r>
          </m:e>
          <m:sub>
            <m:r>
              <m:t>j−2</m:t>
            </m:r>
          </m:sub>
        </m:sSub>
        <m:r>
          <m:t>) + </m:t>
        </m:r>
        <m:sSub>
          <m:e>
            <m:r>
              <m:t>b</m:t>
            </m:r>
          </m:e>
          <m:sub>
            <m:r>
              <m:t>j</m:t>
            </m:r>
          </m:sub>
        </m:sSub>
        <m:r>
          <m:t>,   j ∈ {3,4,5}</m:t>
        </m:r>
      </m:oMath>
      <w:r>
        <w:rPr/>
        <w:t xml:space="preserve">  (6)</w:t>
      </w:r>
    </w:p>
    <w:p>
      <w:pPr>
        <w:pStyle w:val="FirstParagraph"/>
      </w:pPr>
      <w:r>
        <w:rPr/>
        <w:t>Here h denotes the current layer representation and u denotes the stored layer input. The earlier inputs are those of layers 1, 2 and 3, respectively. The post-fusion input is stored before applying each Transformer layer. A final layer normalisation is applied, and the global-token position supplies the 64-dimensional HSI embedding.</w:t>
      </w:r>
    </w:p>
    <w:bookmarkEnd w:id="42"/>
    <w:bookmarkStart w:id="43" w:name="fusion-and-classification"/>
    <w:p>
      <w:pPr>
        <w:pStyle w:val="Heading3"/>
      </w:pPr>
      <w:r>
        <w:rPr>
          <w:rStyle w:val="SectionNumber"/>
        </w:rPr>
        <w:t xml:space="preserve">2.6.4</w:t>
      </w:r>
      <w:r>
        <w:rPr/>
        <w:tab/>
      </w:r>
      <w:r>
        <w:rPr/>
        <w:t xml:space="preserve">Fusion and classification</w:t>
      </w:r>
    </w:p>
    <w:p>
      <w:pPr>
        <w:pStyle w:val="FirstParagraph"/>
      </w:pPr>
      <w:r>
        <w:rPr/>
        <w:t>The RGB and HSI embeddings are concatenated into 128 elements. The classification head comprises Linear(128, 128), GELU, dropout 0.5 and Linear(128, 2). Training minimises ordinary, unweighted cross-entropy:</w:t>
      </w:r>
    </w:p>
    <w:p>
      <w:pPr>
        <w:pStyle w:val="BodyText"/>
      </w:pPr>
      <m:oMath>
        <m:r>
          <m:t>L = −</m:t>
        </m:r>
        <m:sSub>
          <m:e>
            <m:r>
              <m:t>mean</m:t>
            </m:r>
          </m:e>
          <m:sub>
            <m:r>
              <m:t>i</m:t>
            </m:r>
          </m:sub>
        </m:sSub>
        <m:r>
          <m:t> log softmax(</m:t>
        </m:r>
        <m:sSub>
          <m:e>
            <m:r>
              <m:t>logits</m:t>
            </m:r>
          </m:e>
          <m:sub>
            <m:r>
              <m:t>i</m:t>
            </m:r>
          </m:sub>
        </m:sSub>
        <m:r>
          <m:t>)[</m:t>
        </m:r>
        <m:sSub>
          <m:e>
            <m:r>
              <m:t>y</m:t>
            </m:r>
          </m:e>
          <m:sub>
            <m:r>
              <m:t>i</m:t>
            </m:r>
          </m:sub>
        </m:sSub>
        <m:r>
          <m:t>]</m:t>
        </m:r>
      </m:oMath>
      <w:r>
        <w:rPr/>
        <w:t xml:space="preserve">  (7)</w:t>
      </w:r>
    </w:p>
    <w:p>
      <w:pPr>
        <w:pStyle w:val="FirstParagraph"/>
      </w:pPr>
      <w:r>
        <w:rPr/>
        <w:t>There are two classes: mock (0) and inoculated (1). No class weighting or class-balanced resampling is implemented. Balanced accuracy and AUROC, rather than accuracy alone, are used to interpret the unequal treatment groups.</w:t>
      </w:r>
    </w:p>
    <w:bookmarkEnd w:id="43"/>
    <w:bookmarkStart w:id="44" w:name="baselines-and-ablation-variants"/>
    <w:p>
      <w:pPr>
        <w:pStyle w:val="Heading3"/>
      </w:pPr>
      <w:r>
        <w:rPr>
          <w:rStyle w:val="SectionNumber"/>
        </w:rPr>
        <w:t xml:space="preserve">2.6.5</w:t>
      </w:r>
      <w:r>
        <w:rPr/>
        <w:tab/>
      </w:r>
      <w:r>
        <w:rPr/>
        <w:t xml:space="preserve">Baselines and ablation variants</w:t>
      </w:r>
    </w:p>
    <w:p>
      <w:pPr>
        <w:pStyle w:val="FirstParagraph"/>
      </w:pPr>
      <w:r>
        <w:rPr/>
        <w:t>Baselines use the same within-task outer folds and metrics. RGB-only ResNet18 and ResNet34 use ImageNet initialisation, global pooling, a 64-dimensional projection and a two-class head. The HSI Transformer uses the spectral branch defined above without RGB. The spectral 1D CNN averages each cube spatially and applies convolutional widths 32, 64 and 64 with kernels 7, 5 and 3, followed by global pooling and classification. The compact 3D CNN processes a singleton-channel cube with output widths 16, 32 and 64 and global pooling. The simple multimodal baseline combines ResNet18 and the spectral 1D CNN. The plain multimodal model uses a learnable CLS token and disables CAF. Historical PSNet variants disable CAF, substitute the mean patch token or a learnable CLS vector, or use direct 2D tokenisation. The latter changes capacity and token count as well as patching, so it is not an isolated test of 3D patching. Additional controlled substitutions are implemented in the public rerun code but have no completed real-data results in this manuscript.</w:t>
      </w:r>
    </w:p>
    <w:p>
      <w:pPr>
        <w:pStyle w:val="TableCaption"/>
      </w:pPr>
      <w:r>
        <w:rPr/>
        <w:t>Table 4. Configurations and registered parameter counts at embedding dimension 64. Counts include 24,768 bypassed CAF parameters where CAF is disabled and 32,768 unused positional parameters in the full 3D path. Equal registered counts do not imply equal active capacity. Standalone baseline counts include their classification heads.</w:t>
      </w:r>
    </w:p>
    <w:tbl>
      <w:tblPr>
        <w:tblCaption w:val="Table 4. Configurations of PSNet and its variants with registered parameter counts. Counts include 24,768 bypassed fusion parameters in models with CAF disabled and 32,768 unused positional-embedding elements in the full 3D path, so equal counts do not establish equal active capacity. [PENDING: parameter counts for the RGB ResNets, HSI Transformer, spectral 1D CNN, compact 3D CNN and simple multimodal model.]"/>
        <w:tblW w:w="9071"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1871"/>
        <w:gridCol w:w="1701"/>
        <w:gridCol w:w="907"/>
        <w:gridCol w:w="1474"/>
        <w:gridCol w:w="3118"/>
      </w:tblGrid>
      <w:tr>
        <w:trPr>
          <w:tblHeader w:val="true"/>
          <w:cantSplit/>
          <w:tblHeader/>
        </w:trPr>
        <w:tc>
          <w:tcPr>
            <w:tcW w:w="1871" w:type="dxa"/>
            <w:tcBorders>
              <w:bottom w:val="single" w:sz="5" w:space="0" w:color="000000"/>
            </w:tcBorders>
            <w:vAlign w:val="center"/>
          </w:tcPr>
          <w:p>
            <w:pPr>
              <w:pStyle w:val="Compact"/>
              <w:spacing w:before="0" w:after="60" w:line="240" w:lineRule="auto"/>
              <w:jc w:val="left"/>
            </w:pPr>
            <w:r>
              <w:rPr>
                <w:b/>
                <w:sz w:val="18"/>
              </w:rPr>
              <w:t xml:space="preserve">Configuration</w:t>
            </w:r>
          </w:p>
        </w:tc>
        <w:tc>
          <w:tcPr>
            <w:tcW w:w="1701" w:type="dxa"/>
            <w:tcBorders>
              <w:bottom w:val="single" w:sz="5" w:space="0" w:color="000000"/>
            </w:tcBorders>
            <w:vAlign w:val="center"/>
          </w:tcPr>
          <w:p>
            <w:pPr>
              <w:pStyle w:val="Compact"/>
              <w:spacing w:before="0" w:after="60" w:line="240" w:lineRule="auto"/>
              <w:jc w:val="left"/>
            </w:pPr>
            <w:r>
              <w:rPr>
                <w:b/>
                <w:sz w:val="18"/>
              </w:rPr>
              <w:t xml:space="preserve">Global token</w:t>
            </w:r>
          </w:p>
        </w:tc>
        <w:tc>
          <w:tcPr>
            <w:tcW w:w="907" w:type="dxa"/>
            <w:tcBorders>
              <w:bottom w:val="single" w:sz="5" w:space="0" w:color="000000"/>
            </w:tcBorders>
            <w:vAlign w:val="center"/>
          </w:tcPr>
          <w:p>
            <w:pPr>
              <w:pStyle w:val="Compact"/>
              <w:spacing w:before="0" w:after="60" w:line="240" w:lineRule="auto"/>
              <w:jc w:val="center"/>
            </w:pPr>
            <w:r>
              <w:rPr>
                <w:b/>
                <w:sz w:val="18"/>
              </w:rPr>
              <w:t xml:space="preserve">Patch tokens</w:t>
            </w:r>
          </w:p>
        </w:tc>
        <w:tc>
          <w:tcPr>
            <w:tcW w:w="1474" w:type="dxa"/>
            <w:tcBorders>
              <w:bottom w:val="single" w:sz="5" w:space="0" w:color="000000"/>
            </w:tcBorders>
            <w:vAlign w:val="center"/>
          </w:tcPr>
          <w:p>
            <w:pPr>
              <w:pStyle w:val="Compact"/>
              <w:spacing w:before="0" w:after="60" w:line="240" w:lineRule="auto"/>
              <w:jc w:val="center"/>
            </w:pPr>
            <w:r>
              <w:rPr>
                <w:b/>
                <w:sz w:val="18"/>
              </w:rPr>
              <w:t xml:space="preserve">Registered parameters</w:t>
            </w:r>
          </w:p>
        </w:tc>
        <w:tc>
          <w:tcPr>
            <w:tcW w:w="3118" w:type="dxa"/>
            <w:tcBorders>
              <w:bottom w:val="single" w:sz="5" w:space="0" w:color="000000"/>
            </w:tcBorders>
            <w:vAlign w:val="center"/>
          </w:tcPr>
          <w:p>
            <w:pPr>
              <w:pStyle w:val="Compact"/>
              <w:spacing w:before="0" w:after="60" w:line="240" w:lineRule="auto"/>
              <w:jc w:val="left"/>
            </w:pPr>
            <w:r>
              <w:rPr>
                <w:b/>
                <w:sz w:val="18"/>
              </w:rPr>
              <w:t xml:space="preserve">Change relative to full PSNet</w:t>
            </w:r>
          </w:p>
        </w:tc>
      </w:tr>
      <w:tr>
        <w:trPr>
          <w:cantSplit/>
        </w:trPr>
        <w:tc>
          <w:tcPr>
            <w:tcW w:w="1871" w:type="dxa"/>
          </w:tcPr>
          <w:p>
            <w:pPr>
              <w:pStyle w:val="Compact"/>
              <w:spacing w:before="0" w:after="60" w:line="240" w:lineRule="auto"/>
              <w:jc w:val="left"/>
            </w:pPr>
            <w:r>
              <w:rPr>
                <w:sz w:val="18"/>
              </w:rPr>
              <w:t xml:space="preserve">Full PSNet</w:t>
            </w:r>
          </w:p>
        </w:tc>
        <w:tc>
          <w:tcPr>
            <w:tcW w:w="1701" w:type="dxa"/>
          </w:tcPr>
          <w:p>
            <w:pPr>
              <w:pStyle w:val="Compact"/>
              <w:spacing w:before="0" w:after="60" w:line="240" w:lineRule="auto"/>
              <w:jc w:val="left"/>
            </w:pPr>
            <w:r>
              <w:rPr>
                <w:sz w:val="18"/>
              </w:rPr>
              <w:t xml:space="preserve">Wavelet-initialised</w:t>
            </w:r>
          </w:p>
        </w:tc>
        <w:tc>
          <w:tcPr>
            <w:tcW w:w="907" w:type="dxa"/>
          </w:tcPr>
          <w:p>
            <w:pPr>
              <w:pStyle w:val="Compact"/>
              <w:spacing w:before="0" w:after="60" w:line="240" w:lineRule="auto"/>
              <w:jc w:val="center"/>
            </w:pPr>
            <w:r>
              <w:rPr>
                <w:sz w:val="18"/>
              </w:rPr>
              <w:t xml:space="preserve">512</w:t>
            </w:r>
          </w:p>
        </w:tc>
        <w:tc>
          <w:tcPr>
            <w:tcW w:w="1474" w:type="dxa"/>
          </w:tcPr>
          <w:p>
            <w:pPr>
              <w:pStyle w:val="Compact"/>
              <w:spacing w:before="0" w:after="60" w:line="240" w:lineRule="auto"/>
              <w:jc w:val="center"/>
            </w:pPr>
            <w:r>
              <w:rPr>
                <w:sz w:val="18"/>
              </w:rPr>
              <w:t xml:space="preserve">22,006,402</w:t>
            </w:r>
          </w:p>
        </w:tc>
        <w:tc>
          <w:tcPr>
            <w:tcW w:w="3118" w:type="dxa"/>
          </w:tcPr>
          <w:p>
            <w:pPr>
              <w:pStyle w:val="Compact"/>
              <w:spacing w:before="0" w:after="60" w:line="240" w:lineRule="auto"/>
              <w:jc w:val="left"/>
            </w:pPr>
            <w:r>
              <w:rPr>
                <w:sz w:val="18"/>
              </w:rPr>
              <w:t xml:space="preserve">—</w:t>
            </w:r>
          </w:p>
        </w:tc>
      </w:tr>
      <w:tr>
        <w:trPr>
          <w:cantSplit/>
        </w:trPr>
        <w:tc>
          <w:tcPr>
            <w:tcW w:w="1871" w:type="dxa"/>
          </w:tcPr>
          <w:p>
            <w:pPr>
              <w:pStyle w:val="Compact"/>
              <w:spacing w:before="0" w:after="60" w:line="240" w:lineRule="auto"/>
              <w:jc w:val="left"/>
            </w:pPr>
            <w:r>
              <w:rPr>
                <w:sz w:val="18"/>
              </w:rPr>
              <w:t xml:space="preserve">CAF disabled</w:t>
            </w:r>
          </w:p>
        </w:tc>
        <w:tc>
          <w:tcPr>
            <w:tcW w:w="1701" w:type="dxa"/>
          </w:tcPr>
          <w:p>
            <w:pPr>
              <w:pStyle w:val="Compact"/>
              <w:spacing w:before="0" w:after="60" w:line="240" w:lineRule="auto"/>
              <w:jc w:val="left"/>
            </w:pPr>
            <w:r>
              <w:rPr>
                <w:sz w:val="18"/>
              </w:rPr>
              <w:t xml:space="preserve">Wavelet-initialised</w:t>
            </w:r>
          </w:p>
        </w:tc>
        <w:tc>
          <w:tcPr>
            <w:tcW w:w="907" w:type="dxa"/>
          </w:tcPr>
          <w:p>
            <w:pPr>
              <w:pStyle w:val="Compact"/>
              <w:spacing w:before="0" w:after="60" w:line="240" w:lineRule="auto"/>
              <w:jc w:val="center"/>
            </w:pPr>
            <w:r>
              <w:rPr>
                <w:sz w:val="18"/>
              </w:rPr>
              <w:t xml:space="preserve">512</w:t>
            </w:r>
          </w:p>
        </w:tc>
        <w:tc>
          <w:tcPr>
            <w:tcW w:w="1474" w:type="dxa"/>
          </w:tcPr>
          <w:p>
            <w:pPr>
              <w:pStyle w:val="Compact"/>
              <w:spacing w:before="0" w:after="60" w:line="240" w:lineRule="auto"/>
              <w:jc w:val="center"/>
            </w:pPr>
            <w:r>
              <w:rPr>
                <w:sz w:val="18"/>
              </w:rPr>
              <w:t xml:space="preserve">22,006,402</w:t>
            </w:r>
          </w:p>
        </w:tc>
        <w:tc>
          <w:tcPr>
            <w:tcW w:w="3118" w:type="dxa"/>
          </w:tcPr>
          <w:p>
            <w:pPr>
              <w:pStyle w:val="Compact"/>
              <w:spacing w:before="0" w:after="60" w:line="240" w:lineRule="auto"/>
              <w:jc w:val="left"/>
            </w:pPr>
            <w:r>
              <w:rPr>
                <w:sz w:val="18"/>
              </w:rPr>
              <w:t xml:space="preserve">Cross-layer adaptive fusion bypassed</w:t>
            </w:r>
          </w:p>
        </w:tc>
      </w:tr>
      <w:tr>
        <w:trPr>
          <w:cantSplit/>
        </w:trPr>
        <w:tc>
          <w:tcPr>
            <w:tcW w:w="1871" w:type="dxa"/>
          </w:tcPr>
          <w:p>
            <w:pPr>
              <w:pStyle w:val="Compact"/>
              <w:spacing w:before="0" w:after="60" w:line="240" w:lineRule="auto"/>
              <w:jc w:val="left"/>
            </w:pPr>
            <w:r>
              <w:rPr>
                <w:sz w:val="18"/>
              </w:rPr>
              <w:t xml:space="preserve">Mean patch token</w:t>
            </w:r>
          </w:p>
        </w:tc>
        <w:tc>
          <w:tcPr>
            <w:tcW w:w="1701" w:type="dxa"/>
          </w:tcPr>
          <w:p>
            <w:pPr>
              <w:pStyle w:val="Compact"/>
              <w:spacing w:before="0" w:after="60" w:line="240" w:lineRule="auto"/>
              <w:jc w:val="left"/>
            </w:pPr>
            <w:r>
              <w:rPr>
                <w:sz w:val="18"/>
              </w:rPr>
              <w:t xml:space="preserve">Mean of patch tokens</w:t>
            </w:r>
          </w:p>
        </w:tc>
        <w:tc>
          <w:tcPr>
            <w:tcW w:w="907" w:type="dxa"/>
          </w:tcPr>
          <w:p>
            <w:pPr>
              <w:pStyle w:val="Compact"/>
              <w:spacing w:before="0" w:after="60" w:line="240" w:lineRule="auto"/>
              <w:jc w:val="center"/>
            </w:pPr>
            <w:r>
              <w:rPr>
                <w:sz w:val="18"/>
              </w:rPr>
              <w:t xml:space="preserve">512</w:t>
            </w:r>
          </w:p>
        </w:tc>
        <w:tc>
          <w:tcPr>
            <w:tcW w:w="1474" w:type="dxa"/>
          </w:tcPr>
          <w:p>
            <w:pPr>
              <w:pStyle w:val="Compact"/>
              <w:spacing w:before="0" w:after="60" w:line="240" w:lineRule="auto"/>
              <w:jc w:val="center"/>
            </w:pPr>
            <w:r>
              <w:rPr>
                <w:sz w:val="18"/>
              </w:rPr>
              <w:t xml:space="preserve">21,986,306</w:t>
            </w:r>
          </w:p>
        </w:tc>
        <w:tc>
          <w:tcPr>
            <w:tcW w:w="3118" w:type="dxa"/>
          </w:tcPr>
          <w:p>
            <w:pPr>
              <w:pStyle w:val="Compact"/>
              <w:spacing w:before="0" w:after="60" w:line="240" w:lineRule="auto"/>
              <w:jc w:val="left"/>
            </w:pPr>
            <w:r>
              <w:rPr>
                <w:sz w:val="18"/>
              </w:rPr>
              <w:t xml:space="preserve">Wavelet-initialised token replaced by mean of patch tokens</w:t>
            </w:r>
          </w:p>
        </w:tc>
      </w:tr>
      <w:tr>
        <w:trPr>
          <w:cantSplit/>
        </w:trPr>
        <w:tc>
          <w:tcPr>
            <w:tcW w:w="1871" w:type="dxa"/>
          </w:tcPr>
          <w:p>
            <w:pPr>
              <w:pStyle w:val="Compact"/>
              <w:spacing w:before="0" w:after="60" w:line="240" w:lineRule="auto"/>
              <w:jc w:val="left"/>
            </w:pPr>
            <w:r>
              <w:rPr>
                <w:sz w:val="18"/>
              </w:rPr>
              <w:t xml:space="preserve">Alternative 2D tokenisation</w:t>
            </w:r>
          </w:p>
        </w:tc>
        <w:tc>
          <w:tcPr>
            <w:tcW w:w="1701" w:type="dxa"/>
          </w:tcPr>
          <w:p>
            <w:pPr>
              <w:pStyle w:val="Compact"/>
              <w:spacing w:before="0" w:after="60" w:line="240" w:lineRule="auto"/>
              <w:jc w:val="left"/>
            </w:pPr>
            <w:r>
              <w:rPr>
                <w:sz w:val="18"/>
              </w:rPr>
              <w:t xml:space="preserve">Wavelet-initialised</w:t>
            </w:r>
          </w:p>
        </w:tc>
        <w:tc>
          <w:tcPr>
            <w:tcW w:w="907" w:type="dxa"/>
          </w:tcPr>
          <w:p>
            <w:pPr>
              <w:pStyle w:val="Compact"/>
              <w:spacing w:before="0" w:after="60" w:line="240" w:lineRule="auto"/>
              <w:jc w:val="center"/>
            </w:pPr>
            <w:r>
              <w:rPr>
                <w:sz w:val="18"/>
              </w:rPr>
              <w:t xml:space="preserve">64</w:t>
            </w:r>
          </w:p>
        </w:tc>
        <w:tc>
          <w:tcPr>
            <w:tcW w:w="1474" w:type="dxa"/>
          </w:tcPr>
          <w:p>
            <w:pPr>
              <w:pStyle w:val="Compact"/>
              <w:spacing w:before="0" w:after="60" w:line="240" w:lineRule="auto"/>
              <w:jc w:val="center"/>
            </w:pPr>
            <w:r>
              <w:rPr>
                <w:sz w:val="18"/>
              </w:rPr>
              <w:t xml:space="preserve">26,823,042</w:t>
            </w:r>
          </w:p>
        </w:tc>
        <w:tc>
          <w:tcPr>
            <w:tcW w:w="3118" w:type="dxa"/>
          </w:tcPr>
          <w:p>
            <w:pPr>
              <w:pStyle w:val="Compact"/>
              <w:spacing w:before="0" w:after="60" w:line="240" w:lineRule="auto"/>
              <w:jc w:val="left"/>
            </w:pPr>
            <w:r>
              <w:rPr>
                <w:sz w:val="18"/>
              </w:rPr>
              <w:t xml:space="preserve">2D tokenisation (changes reduction stage, token number and capacity)</w:t>
            </w:r>
          </w:p>
        </w:tc>
      </w:tr>
      <w:tr>
        <w:trPr>
          <w:cantSplit/>
        </w:trPr>
        <w:tc>
          <w:tcPr>
            <w:tcW w:w="1871" w:type="dxa"/>
          </w:tcPr>
          <w:p>
            <w:pPr>
              <w:pStyle w:val="Compact"/>
              <w:spacing w:before="0" w:after="60" w:line="240" w:lineRule="auto"/>
              <w:jc w:val="left"/>
            </w:pPr>
            <w:r>
              <w:rPr>
                <w:sz w:val="18"/>
              </w:rPr>
              <w:t xml:space="preserve">Learnable CLS</w:t>
            </w:r>
          </w:p>
        </w:tc>
        <w:tc>
          <w:tcPr>
            <w:tcW w:w="1701" w:type="dxa"/>
          </w:tcPr>
          <w:p>
            <w:pPr>
              <w:pStyle w:val="Compact"/>
              <w:spacing w:before="0" w:after="60" w:line="240" w:lineRule="auto"/>
              <w:jc w:val="left"/>
            </w:pPr>
            <w:r>
              <w:rPr>
                <w:sz w:val="18"/>
              </w:rPr>
              <w:t xml:space="preserve">Learnable parameter</w:t>
            </w:r>
          </w:p>
        </w:tc>
        <w:tc>
          <w:tcPr>
            <w:tcW w:w="907" w:type="dxa"/>
          </w:tcPr>
          <w:p>
            <w:pPr>
              <w:pStyle w:val="Compact"/>
              <w:spacing w:before="0" w:after="60" w:line="240" w:lineRule="auto"/>
              <w:jc w:val="center"/>
            </w:pPr>
            <w:r>
              <w:rPr>
                <w:sz w:val="18"/>
              </w:rPr>
              <w:t xml:space="preserve">512</w:t>
            </w:r>
          </w:p>
        </w:tc>
        <w:tc>
          <w:tcPr>
            <w:tcW w:w="1474" w:type="dxa"/>
          </w:tcPr>
          <w:p>
            <w:pPr>
              <w:pStyle w:val="Compact"/>
              <w:spacing w:before="0" w:after="60" w:line="240" w:lineRule="auto"/>
              <w:jc w:val="center"/>
            </w:pPr>
            <w:r>
              <w:rPr>
                <w:sz w:val="18"/>
              </w:rPr>
              <w:t xml:space="preserve">21,986,370</w:t>
            </w:r>
          </w:p>
        </w:tc>
        <w:tc>
          <w:tcPr>
            <w:tcW w:w="3118" w:type="dxa"/>
          </w:tcPr>
          <w:p>
            <w:pPr>
              <w:pStyle w:val="Compact"/>
              <w:spacing w:before="0" w:after="60" w:line="240" w:lineRule="auto"/>
              <w:jc w:val="left"/>
            </w:pPr>
            <w:r>
              <w:rPr>
                <w:sz w:val="18"/>
              </w:rPr>
              <w:t xml:space="preserve">Wavelet-initialised token replaced by learnable CLS token</w:t>
            </w:r>
          </w:p>
        </w:tc>
      </w:tr>
      <w:tr>
        <w:trPr>
          <w:cantSplit/>
        </w:trPr>
        <w:tc>
          <w:tcPr>
            <w:tcW w:w="1871" w:type="dxa"/>
          </w:tcPr>
          <w:p>
            <w:pPr>
              <w:pStyle w:val="Compact"/>
              <w:spacing w:before="0" w:after="60" w:line="240" w:lineRule="auto"/>
              <w:jc w:val="left"/>
            </w:pPr>
            <w:r>
              <w:rPr>
                <w:sz w:val="18"/>
              </w:rPr>
              <w:t xml:space="preserve">Plain multimodal</w:t>
            </w:r>
          </w:p>
        </w:tc>
        <w:tc>
          <w:tcPr>
            <w:tcW w:w="1701" w:type="dxa"/>
          </w:tcPr>
          <w:p>
            <w:pPr>
              <w:pStyle w:val="Compact"/>
              <w:spacing w:before="0" w:after="60" w:line="240" w:lineRule="auto"/>
              <w:jc w:val="left"/>
            </w:pPr>
            <w:r>
              <w:rPr>
                <w:sz w:val="18"/>
              </w:rPr>
              <w:t xml:space="preserve">Learnable parameter</w:t>
            </w:r>
          </w:p>
        </w:tc>
        <w:tc>
          <w:tcPr>
            <w:tcW w:w="907" w:type="dxa"/>
          </w:tcPr>
          <w:p>
            <w:pPr>
              <w:pStyle w:val="Compact"/>
              <w:spacing w:before="0" w:after="60" w:line="240" w:lineRule="auto"/>
              <w:jc w:val="center"/>
            </w:pPr>
            <w:r>
              <w:rPr>
                <w:sz w:val="18"/>
              </w:rPr>
              <w:t xml:space="preserve">512</w:t>
            </w:r>
          </w:p>
        </w:tc>
        <w:tc>
          <w:tcPr>
            <w:tcW w:w="1474" w:type="dxa"/>
          </w:tcPr>
          <w:p>
            <w:pPr>
              <w:pStyle w:val="Compact"/>
              <w:spacing w:before="0" w:after="60" w:line="240" w:lineRule="auto"/>
              <w:jc w:val="center"/>
            </w:pPr>
            <w:r>
              <w:rPr>
                <w:sz w:val="18"/>
              </w:rPr>
              <w:t xml:space="preserve">21,986,370</w:t>
            </w:r>
          </w:p>
        </w:tc>
        <w:tc>
          <w:tcPr>
            <w:tcW w:w="3118" w:type="dxa"/>
          </w:tcPr>
          <w:p>
            <w:pPr>
              <w:pStyle w:val="Compact"/>
              <w:spacing w:before="0" w:after="60" w:line="240" w:lineRule="auto"/>
              <w:jc w:val="left"/>
            </w:pPr>
            <w:r>
              <w:rPr>
                <w:sz w:val="18"/>
              </w:rPr>
              <w:t xml:space="preserve">Learnable CLS token and CAF disabled</w:t>
            </w:r>
          </w:p>
        </w:tc>
      </w:tr>
      <w:tr>
        <w:tc>
          <w:tcPr>
            <w:tcW w:type="dxa" w:w="1871"/>
          </w:tcPr>
          <w:p>
            <w:pPr>
              <w:spacing w:after="60" w:line="240" w:lineRule="auto"/>
            </w:pPr>
            <w:r>
              <w:rPr>
                <w:sz w:val="18"/>
              </w:rPr>
              <w:t>RGB ResNet18</w:t>
            </w:r>
          </w:p>
        </w:tc>
        <w:tc>
          <w:tcPr>
            <w:tcW w:type="dxa" w:w="1701"/>
          </w:tcPr>
          <w:p>
            <w:pPr>
              <w:spacing w:after="60" w:line="240" w:lineRule="auto"/>
            </w:pPr>
            <w:r>
              <w:rPr>
                <w:sz w:val="18"/>
              </w:rPr>
              <w:t>—</w:t>
            </w:r>
          </w:p>
        </w:tc>
        <w:tc>
          <w:tcPr>
            <w:tcW w:type="dxa" w:w="907"/>
          </w:tcPr>
          <w:p>
            <w:pPr>
              <w:spacing w:after="60" w:line="240" w:lineRule="auto"/>
            </w:pPr>
            <w:r>
              <w:rPr>
                <w:sz w:val="18"/>
              </w:rPr>
              <w:t>—</w:t>
            </w:r>
          </w:p>
        </w:tc>
        <w:tc>
          <w:tcPr>
            <w:tcW w:type="dxa" w:w="1474"/>
          </w:tcPr>
          <w:p>
            <w:pPr>
              <w:spacing w:after="60" w:line="240" w:lineRule="auto"/>
            </w:pPr>
            <w:r>
              <w:rPr>
                <w:sz w:val="18"/>
              </w:rPr>
              <w:t>11,209,474</w:t>
            </w:r>
          </w:p>
        </w:tc>
        <w:tc>
          <w:tcPr>
            <w:tcW w:type="dxa" w:w="3118"/>
          </w:tcPr>
          <w:p>
            <w:pPr>
              <w:spacing w:after="60" w:line="240" w:lineRule="auto"/>
            </w:pPr>
            <w:r>
              <w:rPr>
                <w:sz w:val="18"/>
              </w:rPr>
              <w:t>RGB only</w:t>
            </w:r>
          </w:p>
        </w:tc>
      </w:tr>
      <w:tr>
        <w:tc>
          <w:tcPr>
            <w:tcW w:type="dxa" w:w="1871"/>
          </w:tcPr>
          <w:p>
            <w:pPr>
              <w:spacing w:after="60" w:line="240" w:lineRule="auto"/>
            </w:pPr>
            <w:r>
              <w:rPr>
                <w:sz w:val="18"/>
              </w:rPr>
              <w:t>RGB ResNet34</w:t>
            </w:r>
          </w:p>
        </w:tc>
        <w:tc>
          <w:tcPr>
            <w:tcW w:type="dxa" w:w="1701"/>
          </w:tcPr>
          <w:p>
            <w:pPr>
              <w:spacing w:after="60" w:line="240" w:lineRule="auto"/>
            </w:pPr>
            <w:r>
              <w:rPr>
                <w:sz w:val="18"/>
              </w:rPr>
              <w:t>—</w:t>
            </w:r>
          </w:p>
        </w:tc>
        <w:tc>
          <w:tcPr>
            <w:tcW w:type="dxa" w:w="907"/>
          </w:tcPr>
          <w:p>
            <w:pPr>
              <w:spacing w:after="60" w:line="240" w:lineRule="auto"/>
            </w:pPr>
            <w:r>
              <w:rPr>
                <w:sz w:val="18"/>
              </w:rPr>
              <w:t>—</w:t>
            </w:r>
          </w:p>
        </w:tc>
        <w:tc>
          <w:tcPr>
            <w:tcW w:type="dxa" w:w="1474"/>
          </w:tcPr>
          <w:p>
            <w:pPr>
              <w:spacing w:after="60" w:line="240" w:lineRule="auto"/>
            </w:pPr>
            <w:r>
              <w:rPr>
                <w:sz w:val="18"/>
              </w:rPr>
              <w:t>21,317,634</w:t>
            </w:r>
          </w:p>
        </w:tc>
        <w:tc>
          <w:tcPr>
            <w:tcW w:type="dxa" w:w="3118"/>
          </w:tcPr>
          <w:p>
            <w:pPr>
              <w:spacing w:after="60" w:line="240" w:lineRule="auto"/>
            </w:pPr>
            <w:r>
              <w:rPr>
                <w:sz w:val="18"/>
              </w:rPr>
              <w:t>RGB only</w:t>
            </w:r>
          </w:p>
        </w:tc>
      </w:tr>
      <w:tr>
        <w:tc>
          <w:tcPr>
            <w:tcW w:type="dxa" w:w="1871"/>
          </w:tcPr>
          <w:p>
            <w:pPr>
              <w:spacing w:after="60" w:line="240" w:lineRule="auto"/>
            </w:pPr>
            <w:r>
              <w:rPr>
                <w:sz w:val="18"/>
              </w:rPr>
              <w:t>HSI Transformer</w:t>
            </w:r>
          </w:p>
        </w:tc>
        <w:tc>
          <w:tcPr>
            <w:tcW w:type="dxa" w:w="1701"/>
          </w:tcPr>
          <w:p>
            <w:pPr>
              <w:spacing w:after="60" w:line="240" w:lineRule="auto"/>
            </w:pPr>
            <w:r>
              <w:rPr>
                <w:sz w:val="18"/>
              </w:rPr>
              <w:t>—</w:t>
            </w:r>
          </w:p>
        </w:tc>
        <w:tc>
          <w:tcPr>
            <w:tcW w:type="dxa" w:w="907"/>
          </w:tcPr>
          <w:p>
            <w:pPr>
              <w:spacing w:after="60" w:line="240" w:lineRule="auto"/>
            </w:pPr>
            <w:r>
              <w:rPr>
                <w:sz w:val="18"/>
              </w:rPr>
              <w:t>—</w:t>
            </w:r>
          </w:p>
        </w:tc>
        <w:tc>
          <w:tcPr>
            <w:tcW w:type="dxa" w:w="1474"/>
          </w:tcPr>
          <w:p>
            <w:pPr>
              <w:spacing w:after="60" w:line="240" w:lineRule="auto"/>
            </w:pPr>
            <w:r>
              <w:rPr>
                <w:sz w:val="18"/>
              </w:rPr>
              <w:t>672,258</w:t>
            </w:r>
          </w:p>
        </w:tc>
        <w:tc>
          <w:tcPr>
            <w:tcW w:type="dxa" w:w="3118"/>
          </w:tcPr>
          <w:p>
            <w:pPr>
              <w:spacing w:after="60" w:line="240" w:lineRule="auto"/>
            </w:pPr>
            <w:r>
              <w:rPr>
                <w:sz w:val="18"/>
              </w:rPr>
              <w:t>HSI branch only</w:t>
            </w:r>
          </w:p>
        </w:tc>
      </w:tr>
      <w:tr>
        <w:tc>
          <w:tcPr>
            <w:tcW w:type="dxa" w:w="1871"/>
          </w:tcPr>
          <w:p>
            <w:pPr>
              <w:spacing w:after="60" w:line="240" w:lineRule="auto"/>
            </w:pPr>
            <w:r>
              <w:rPr>
                <w:sz w:val="18"/>
              </w:rPr>
              <w:t>Spectral 1D CNN</w:t>
            </w:r>
          </w:p>
        </w:tc>
        <w:tc>
          <w:tcPr>
            <w:tcW w:type="dxa" w:w="1701"/>
          </w:tcPr>
          <w:p>
            <w:pPr>
              <w:spacing w:after="60" w:line="240" w:lineRule="auto"/>
            </w:pPr>
            <w:r>
              <w:rPr>
                <w:sz w:val="18"/>
              </w:rPr>
              <w:t>—</w:t>
            </w:r>
          </w:p>
        </w:tc>
        <w:tc>
          <w:tcPr>
            <w:tcW w:type="dxa" w:w="907"/>
          </w:tcPr>
          <w:p>
            <w:pPr>
              <w:spacing w:after="60" w:line="240" w:lineRule="auto"/>
            </w:pPr>
            <w:r>
              <w:rPr>
                <w:sz w:val="18"/>
              </w:rPr>
              <w:t>—</w:t>
            </w:r>
          </w:p>
        </w:tc>
        <w:tc>
          <w:tcPr>
            <w:tcW w:type="dxa" w:w="1474"/>
          </w:tcPr>
          <w:p>
            <w:pPr>
              <w:spacing w:after="60" w:line="240" w:lineRule="auto"/>
            </w:pPr>
            <w:r>
              <w:rPr>
                <w:sz w:val="18"/>
              </w:rPr>
              <w:t>23,234</w:t>
            </w:r>
          </w:p>
        </w:tc>
        <w:tc>
          <w:tcPr>
            <w:tcW w:type="dxa" w:w="3118"/>
          </w:tcPr>
          <w:p>
            <w:pPr>
              <w:spacing w:after="60" w:line="240" w:lineRule="auto"/>
            </w:pPr>
            <w:r>
              <w:rPr>
                <w:sz w:val="18"/>
              </w:rPr>
              <w:t>Spatial mean spectrum</w:t>
            </w:r>
          </w:p>
        </w:tc>
      </w:tr>
      <w:tr>
        <w:tc>
          <w:tcPr>
            <w:tcW w:type="dxa" w:w="1871"/>
          </w:tcPr>
          <w:p>
            <w:pPr>
              <w:spacing w:after="60" w:line="240" w:lineRule="auto"/>
            </w:pPr>
            <w:r>
              <w:rPr>
                <w:sz w:val="18"/>
              </w:rPr>
              <w:t>Compact 3D CNN</w:t>
            </w:r>
          </w:p>
        </w:tc>
        <w:tc>
          <w:tcPr>
            <w:tcW w:type="dxa" w:w="1701"/>
          </w:tcPr>
          <w:p>
            <w:pPr>
              <w:spacing w:after="60" w:line="240" w:lineRule="auto"/>
            </w:pPr>
            <w:r>
              <w:rPr>
                <w:sz w:val="18"/>
              </w:rPr>
              <w:t>—</w:t>
            </w:r>
          </w:p>
        </w:tc>
        <w:tc>
          <w:tcPr>
            <w:tcW w:type="dxa" w:w="907"/>
          </w:tcPr>
          <w:p>
            <w:pPr>
              <w:spacing w:after="60" w:line="240" w:lineRule="auto"/>
            </w:pPr>
            <w:r>
              <w:rPr>
                <w:sz w:val="18"/>
              </w:rPr>
              <w:t>—</w:t>
            </w:r>
          </w:p>
        </w:tc>
        <w:tc>
          <w:tcPr>
            <w:tcW w:type="dxa" w:w="1474"/>
          </w:tcPr>
          <w:p>
            <w:pPr>
              <w:spacing w:after="60" w:line="240" w:lineRule="auto"/>
            </w:pPr>
            <w:r>
              <w:rPr>
                <w:sz w:val="18"/>
              </w:rPr>
              <w:t>81,474</w:t>
            </w:r>
          </w:p>
        </w:tc>
        <w:tc>
          <w:tcPr>
            <w:tcW w:type="dxa" w:w="3118"/>
          </w:tcPr>
          <w:p>
            <w:pPr>
              <w:spacing w:after="60" w:line="240" w:lineRule="auto"/>
            </w:pPr>
            <w:r>
              <w:rPr>
                <w:sz w:val="18"/>
              </w:rPr>
              <w:t>Whole cube</w:t>
            </w:r>
          </w:p>
        </w:tc>
      </w:tr>
      <w:tr>
        <w:tc>
          <w:tcPr>
            <w:tcW w:type="dxa" w:w="1871"/>
          </w:tcPr>
          <w:p>
            <w:pPr>
              <w:spacing w:after="60" w:line="240" w:lineRule="auto"/>
            </w:pPr>
            <w:r>
              <w:rPr>
                <w:sz w:val="18"/>
              </w:rPr>
              <w:t>Simple multimodal</w:t>
            </w:r>
          </w:p>
        </w:tc>
        <w:tc>
          <w:tcPr>
            <w:tcW w:type="dxa" w:w="1701"/>
          </w:tcPr>
          <w:p>
            <w:pPr>
              <w:spacing w:after="60" w:line="240" w:lineRule="auto"/>
            </w:pPr>
            <w:r>
              <w:rPr>
                <w:sz w:val="18"/>
              </w:rPr>
              <w:t>—</w:t>
            </w:r>
          </w:p>
        </w:tc>
        <w:tc>
          <w:tcPr>
            <w:tcW w:type="dxa" w:w="907"/>
          </w:tcPr>
          <w:p>
            <w:pPr>
              <w:spacing w:after="60" w:line="240" w:lineRule="auto"/>
            </w:pPr>
            <w:r>
              <w:rPr>
                <w:sz w:val="18"/>
              </w:rPr>
              <w:t>—</w:t>
            </w:r>
          </w:p>
        </w:tc>
        <w:tc>
          <w:tcPr>
            <w:tcW w:type="dxa" w:w="1474"/>
          </w:tcPr>
          <w:p>
            <w:pPr>
              <w:spacing w:after="60" w:line="240" w:lineRule="auto"/>
            </w:pPr>
            <w:r>
              <w:rPr>
                <w:sz w:val="18"/>
              </w:rPr>
              <w:t>11,240,834</w:t>
            </w:r>
          </w:p>
        </w:tc>
        <w:tc>
          <w:tcPr>
            <w:tcW w:type="dxa" w:w="3118"/>
          </w:tcPr>
          <w:p>
            <w:pPr>
              <w:spacing w:after="60" w:line="240" w:lineRule="auto"/>
            </w:pPr>
            <w:r>
              <w:rPr>
                <w:sz w:val="18"/>
              </w:rPr>
              <w:t>ResNet18 + spectral 1D CNN</w:t>
            </w:r>
          </w:p>
        </w:tc>
      </w:tr>
    </w:tbl>
    <w:bookmarkEnd w:id="44"/>
    <w:bookmarkStart w:id="45" w:name="training-and-reproducibility"/>
    <w:p>
      <w:pPr>
        <w:pStyle w:val="Heading3"/>
      </w:pPr>
      <w:r>
        <w:rPr>
          <w:rStyle w:val="SectionNumber"/>
        </w:rPr>
        <w:t xml:space="preserve">2.6.6</w:t>
      </w:r>
      <w:r>
        <w:rPr/>
        <w:tab/>
      </w:r>
      <w:r>
        <w:rPr/>
        <w:t xml:space="preserve">Training and reproducibility</w:t>
      </w:r>
    </w:p>
    <w:p>
      <w:pPr>
        <w:pStyle w:val="FirstParagraph"/>
      </w:pPr>
      <w:r>
        <w:rPr/>
        <w:t>Table 5 distinguishes settings recoverable from archived configurations from the documented rerun protocol. The archived configuration files verify embedding dimension 64, five Transformer layers, four attention heads, dropout 0.5 and pretrained RGB initialisation. The released training implementation uses AdamW, paired horizontal and vertical flips, inner-validation checkpoint selection and early stopping; it contains no learning-rate warm-up or scheduler, label smoothing or stochastic depth. Some historical run records do not retain every optimiser and training-budget argument, so the documented defaults cannot certify every historical invocation. New runs save the configuration, source snapshot, task hashes, fitted preprocessing, checkpoints and held-out predictions. No hyperparameter search is specified in the rerun protocol.</w:t>
      </w:r>
    </w:p>
    <w:p>
      <w:pPr>
        <w:pStyle w:val="TableCaption"/>
      </w:pPr>
      <w:r>
        <w:rPr/>
        <w:t>Table 5. Audited architecture and documented rerun settings. Architecture settings are recovered from the archived configurations; optimiser and budget values specify the released rerun protocol where historical invocation records are incomplete.</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spacing w:after="60" w:line="240" w:lineRule="auto"/>
            </w:pPr>
            <w:r>
              <w:rPr>
                <w:b/>
                <w:sz w:val="18"/>
              </w:rPr>
              <w:t>Item</w:t>
            </w:r>
          </w:p>
        </w:tc>
        <w:tc>
          <w:tcPr>
            <w:tcW w:type="dxa" w:w="4320"/>
          </w:tcPr>
          <w:p>
            <w:pPr>
              <w:spacing w:after="60" w:line="240" w:lineRule="auto"/>
            </w:pPr>
            <w:r>
              <w:rPr>
                <w:b/>
                <w:sz w:val="18"/>
              </w:rPr>
              <w:t>Setting and evidence status</w:t>
            </w:r>
          </w:p>
        </w:tc>
      </w:tr>
      <w:tr>
        <w:tc>
          <w:tcPr>
            <w:tcW w:type="dxa" w:w="4320"/>
          </w:tcPr>
          <w:p>
            <w:pPr>
              <w:spacing w:after="60" w:line="240" w:lineRule="auto"/>
            </w:pPr>
            <w:r>
              <w:rPr>
                <w:b w:val="0"/>
                <w:sz w:val="18"/>
              </w:rPr>
              <w:t>RGB / HSI input</w:t>
            </w:r>
          </w:p>
        </w:tc>
        <w:tc>
          <w:tcPr>
            <w:tcW w:type="dxa" w:w="4320"/>
          </w:tcPr>
          <w:p>
            <w:pPr>
              <w:spacing w:after="60" w:line="240" w:lineRule="auto"/>
            </w:pPr>
            <w:r>
              <w:rPr>
                <w:b w:val="0"/>
                <w:sz w:val="18"/>
              </w:rPr>
              <w:t>3 × 224 × 224 / 313 × 132 × 135</w:t>
            </w:r>
          </w:p>
        </w:tc>
      </w:tr>
      <w:tr>
        <w:tc>
          <w:tcPr>
            <w:tcW w:type="dxa" w:w="4320"/>
          </w:tcPr>
          <w:p>
            <w:pPr>
              <w:spacing w:after="60" w:line="240" w:lineRule="auto"/>
            </w:pPr>
            <w:r>
              <w:rPr>
                <w:b w:val="0"/>
                <w:sz w:val="18"/>
              </w:rPr>
              <w:t>Patch kernel and stride</w:t>
            </w:r>
          </w:p>
        </w:tc>
        <w:tc>
          <w:tcPr>
            <w:tcW w:type="dxa" w:w="4320"/>
          </w:tcPr>
          <w:p>
            <w:pPr>
              <w:spacing w:after="60" w:line="240" w:lineRule="auto"/>
            </w:pPr>
            <w:r>
              <w:rPr>
                <w:b w:val="0"/>
                <w:sz w:val="18"/>
              </w:rPr>
              <w:t>8 × 16 × 16 after reduction to 64 learned channels</w:t>
            </w:r>
          </w:p>
        </w:tc>
      </w:tr>
      <w:tr>
        <w:tc>
          <w:tcPr>
            <w:tcW w:type="dxa" w:w="4320"/>
          </w:tcPr>
          <w:p>
            <w:pPr>
              <w:spacing w:after="60" w:line="240" w:lineRule="auto"/>
            </w:pPr>
            <w:r>
              <w:rPr>
                <w:b w:val="0"/>
                <w:sz w:val="18"/>
              </w:rPr>
              <w:t>Tokens / embedding</w:t>
            </w:r>
          </w:p>
        </w:tc>
        <w:tc>
          <w:tcPr>
            <w:tcW w:type="dxa" w:w="4320"/>
          </w:tcPr>
          <w:p>
            <w:pPr>
              <w:spacing w:after="60" w:line="240" w:lineRule="auto"/>
            </w:pPr>
            <w:r>
              <w:rPr>
                <w:b w:val="0"/>
                <w:sz w:val="18"/>
              </w:rPr>
              <w:t>513 total / 64 dimensions</w:t>
            </w:r>
          </w:p>
        </w:tc>
      </w:tr>
      <w:tr>
        <w:tc>
          <w:tcPr>
            <w:tcW w:type="dxa" w:w="4320"/>
          </w:tcPr>
          <w:p>
            <w:pPr>
              <w:spacing w:after="60" w:line="240" w:lineRule="auto"/>
            </w:pPr>
            <w:r>
              <w:rPr>
                <w:b w:val="0"/>
                <w:sz w:val="18"/>
              </w:rPr>
              <w:t>Transformer depth / heads</w:t>
            </w:r>
          </w:p>
        </w:tc>
        <w:tc>
          <w:tcPr>
            <w:tcW w:type="dxa" w:w="4320"/>
          </w:tcPr>
          <w:p>
            <w:pPr>
              <w:spacing w:after="60" w:line="240" w:lineRule="auto"/>
            </w:pPr>
            <w:r>
              <w:rPr>
                <w:b w:val="0"/>
                <w:sz w:val="18"/>
              </w:rPr>
              <w:t>5 / 4 (archived configuration)</w:t>
            </w:r>
          </w:p>
        </w:tc>
      </w:tr>
      <w:tr>
        <w:tc>
          <w:tcPr>
            <w:tcW w:type="dxa" w:w="4320"/>
          </w:tcPr>
          <w:p>
            <w:pPr>
              <w:spacing w:after="60" w:line="240" w:lineRule="auto"/>
            </w:pPr>
            <w:r>
              <w:rPr>
                <w:b w:val="0"/>
                <w:sz w:val="18"/>
              </w:rPr>
              <w:t>Classification head</w:t>
            </w:r>
          </w:p>
        </w:tc>
        <w:tc>
          <w:tcPr>
            <w:tcW w:type="dxa" w:w="4320"/>
          </w:tcPr>
          <w:p>
            <w:pPr>
              <w:spacing w:after="60" w:line="240" w:lineRule="auto"/>
            </w:pPr>
            <w:r>
              <w:rPr>
                <w:b w:val="0"/>
                <w:sz w:val="18"/>
              </w:rPr>
              <w:t>128 → 128 → 2; GELU; dropout 0.5</w:t>
            </w:r>
          </w:p>
        </w:tc>
      </w:tr>
      <w:tr>
        <w:tc>
          <w:tcPr>
            <w:tcW w:type="dxa" w:w="4320"/>
          </w:tcPr>
          <w:p>
            <w:pPr>
              <w:spacing w:after="60" w:line="240" w:lineRule="auto"/>
            </w:pPr>
            <w:r>
              <w:rPr>
                <w:b w:val="0"/>
                <w:sz w:val="18"/>
              </w:rPr>
              <w:t>Optimiser</w:t>
            </w:r>
          </w:p>
        </w:tc>
        <w:tc>
          <w:tcPr>
            <w:tcW w:type="dxa" w:w="4320"/>
          </w:tcPr>
          <w:p>
            <w:pPr>
              <w:spacing w:after="60" w:line="240" w:lineRule="auto"/>
            </w:pPr>
            <w:r>
              <w:rPr>
                <w:b w:val="0"/>
                <w:sz w:val="18"/>
              </w:rPr>
              <w:t>AdamW; learning rate 3 × 10⁻⁴; weight decay 10⁻⁴ (rerun protocol)</w:t>
            </w:r>
          </w:p>
        </w:tc>
      </w:tr>
      <w:tr>
        <w:tc>
          <w:tcPr>
            <w:tcW w:type="dxa" w:w="4320"/>
          </w:tcPr>
          <w:p>
            <w:pPr>
              <w:spacing w:after="60" w:line="240" w:lineRule="auto"/>
            </w:pPr>
            <w:r>
              <w:rPr>
                <w:b w:val="0"/>
                <w:sz w:val="18"/>
              </w:rPr>
              <w:t>Batch / maximum epochs</w:t>
            </w:r>
          </w:p>
        </w:tc>
        <w:tc>
          <w:tcPr>
            <w:tcW w:type="dxa" w:w="4320"/>
          </w:tcPr>
          <w:p>
            <w:pPr>
              <w:spacing w:after="60" w:line="240" w:lineRule="auto"/>
            </w:pPr>
            <w:r>
              <w:rPr>
                <w:b w:val="0"/>
                <w:sz w:val="18"/>
              </w:rPr>
              <w:t>8 / 100 (rerun protocol)</w:t>
            </w:r>
          </w:p>
        </w:tc>
      </w:tr>
      <w:tr>
        <w:tc>
          <w:tcPr>
            <w:tcW w:type="dxa" w:w="4320"/>
          </w:tcPr>
          <w:p>
            <w:pPr>
              <w:spacing w:after="60" w:line="240" w:lineRule="auto"/>
            </w:pPr>
            <w:r>
              <w:rPr>
                <w:b w:val="0"/>
                <w:sz w:val="18"/>
              </w:rPr>
              <w:t>Checkpoint / early stopping</w:t>
            </w:r>
          </w:p>
        </w:tc>
        <w:tc>
          <w:tcPr>
            <w:tcW w:type="dxa" w:w="4320"/>
          </w:tcPr>
          <w:p>
            <w:pPr>
              <w:spacing w:after="60" w:line="240" w:lineRule="auto"/>
            </w:pPr>
            <w:r>
              <w:rPr>
                <w:b w:val="0"/>
                <w:sz w:val="18"/>
              </w:rPr>
              <w:t>Inner-validation plant BA; patience 12 epochs; fraction 0.2</w:t>
            </w:r>
          </w:p>
        </w:tc>
      </w:tr>
      <w:tr>
        <w:tc>
          <w:tcPr>
            <w:tcW w:type="dxa" w:w="4320"/>
          </w:tcPr>
          <w:p>
            <w:pPr>
              <w:spacing w:after="60" w:line="240" w:lineRule="auto"/>
            </w:pPr>
            <w:r>
              <w:rPr>
                <w:b w:val="0"/>
                <w:sz w:val="18"/>
              </w:rPr>
              <w:t>Scheduler / loss</w:t>
            </w:r>
          </w:p>
        </w:tc>
        <w:tc>
          <w:tcPr>
            <w:tcW w:type="dxa" w:w="4320"/>
          </w:tcPr>
          <w:p>
            <w:pPr>
              <w:spacing w:after="60" w:line="240" w:lineRule="auto"/>
            </w:pPr>
            <w:r>
              <w:rPr>
                <w:b w:val="0"/>
                <w:sz w:val="18"/>
              </w:rPr>
              <w:t>No scheduler or warm-up; unweighted cross-entropy</w:t>
            </w:r>
          </w:p>
        </w:tc>
      </w:tr>
      <w:tr>
        <w:tc>
          <w:tcPr>
            <w:tcW w:type="dxa" w:w="4320"/>
          </w:tcPr>
          <w:p>
            <w:pPr>
              <w:spacing w:after="60" w:line="240" w:lineRule="auto"/>
            </w:pPr>
            <w:r>
              <w:rPr>
                <w:b w:val="0"/>
                <w:sz w:val="18"/>
              </w:rPr>
              <w:t>Training seeds</w:t>
            </w:r>
          </w:p>
        </w:tc>
        <w:tc>
          <w:tcPr>
            <w:tcW w:type="dxa" w:w="4320"/>
          </w:tcPr>
          <w:p>
            <w:pPr>
              <w:spacing w:after="60" w:line="240" w:lineRule="auto"/>
            </w:pPr>
            <w:r>
              <w:rPr>
                <w:b w:val="0"/>
                <w:sz w:val="18"/>
              </w:rPr>
              <w:t>157, 257, 357; outer split seed 157</w:t>
            </w:r>
          </w:p>
        </w:tc>
      </w:tr>
      <w:tr>
        <w:tc>
          <w:tcPr>
            <w:tcW w:type="dxa" w:w="4320"/>
          </w:tcPr>
          <w:p>
            <w:pPr>
              <w:spacing w:after="60" w:line="240" w:lineRule="auto"/>
            </w:pPr>
            <w:r>
              <w:rPr>
                <w:b w:val="0"/>
                <w:sz w:val="18"/>
              </w:rPr>
              <w:t>Augmentation / regularisation</w:t>
            </w:r>
          </w:p>
        </w:tc>
        <w:tc>
          <w:tcPr>
            <w:tcW w:type="dxa" w:w="4320"/>
          </w:tcPr>
          <w:p>
            <w:pPr>
              <w:spacing w:after="60" w:line="240" w:lineRule="auto"/>
            </w:pPr>
            <w:r>
              <w:rPr>
                <w:b w:val="0"/>
                <w:sz w:val="18"/>
              </w:rPr>
              <w:t>Paired horizontal/vertical flips; dropout 0.5; no label smoothing or stochastic depth</w:t>
            </w:r>
          </w:p>
        </w:tc>
      </w:tr>
      <w:tr>
        <w:tc>
          <w:tcPr>
            <w:tcW w:type="dxa" w:w="4320"/>
          </w:tcPr>
          <w:p>
            <w:pPr>
              <w:spacing w:after="60" w:line="240" w:lineRule="auto"/>
            </w:pPr>
            <w:r>
              <w:rPr>
                <w:b w:val="0"/>
                <w:sz w:val="18"/>
              </w:rPr>
              <w:t>Hardware evidence</w:t>
            </w:r>
          </w:p>
        </w:tc>
        <w:tc>
          <w:tcPr>
            <w:tcW w:type="dxa" w:w="4320"/>
          </w:tcPr>
          <w:p>
            <w:pPr>
              <w:spacing w:after="60" w:line="240" w:lineRule="auto"/>
            </w:pPr>
            <w:r>
              <w:rPr>
                <w:b w:val="0"/>
                <w:sz w:val="18"/>
              </w:rPr>
              <w:t>A100-SXM4-80GB for recorded latency; not a verified inventory of all training runs</w:t>
            </w:r>
          </w:p>
        </w:tc>
      </w:tr>
    </w:tbl>
    <w:bookmarkEnd w:id="45"/>
    <w:bookmarkEnd w:id="46"/>
    <w:bookmarkStart w:id="47" w:name="spectral-statistics"/>
    <w:p>
      <w:pPr>
        <w:pStyle w:val="Heading2"/>
      </w:pPr>
      <w:r>
        <w:rPr>
          <w:rStyle w:val="SectionNumber"/>
        </w:rPr>
        <w:t xml:space="preserve">2.7</w:t>
      </w:r>
      <w:r>
        <w:rPr/>
        <w:tab/>
      </w:r>
      <w:r>
        <w:rPr/>
        <w:t xml:space="preserve">Spectral statistics</w:t>
      </w:r>
    </w:p>
    <w:p>
      <w:pPr>
        <w:pStyle w:val="FirstParagraph"/>
      </w:pPr>
      <w:r>
        <w:rPr/>
        <w:t>For exploratory spectral analysis, each archived cube was averaged over all spatial positions, and the available leaf means were averaged within each plant and date. No additional masking was assumed. At each computational band and separately within each dpi, inoculated and mock plants were compared with a two-sided Welch test. Benjamini–Hochberg correction was applied independently to the 313 tests at each date. Hedges’ g describes the inoculated-minus-mock standardised difference with small-sample correction. Figure 7 shows pointwise 95% t-based intervals for group means, not simultaneous confidence bands. The same plants recur across dates, so the three analyses are not independent. No red-edge wavelength, physiological attribution or gain-adjusted effect is claimed because the historical band mapping, masks and per-image gain records are not verified. Separately, an exploratory pooled-date experiment selected the 3, 10 or 30 bands with the largest absolute treatment-mean differences using fitting plants only inside each outer fold. Band selection and standardisation excluded inner-validation and outer-test plants. Each selection was retrained and compared with its own full-band control using seed 157 and five folds. Paired 95% percentile intervals used 20,000 treatment-stratified plant resamples of the fixed predictions, without retraining.</w:t>
      </w:r>
    </w:p>
    <w:bookmarkEnd w:id="47"/>
    <w:bookmarkEnd w:id="48"/>
    <w:bookmarkStart w:id="65" w:name="results"/>
    <w:p>
      <w:pPr>
        <w:pStyle w:val="Heading1"/>
      </w:pPr>
      <w:r>
        <w:rPr>
          <w:rStyle w:val="SectionNumber"/>
        </w:rPr>
        <w:t xml:space="preserve">3</w:t>
      </w:r>
      <w:r>
        <w:rPr/>
        <w:tab/>
      </w:r>
      <w:r>
        <w:rPr/>
        <w:t xml:space="preserve">Results</w:t>
      </w:r>
    </w:p>
    <w:bookmarkStart w:id="52" w:name="Xa5d1afa46868056a18bd91c34674f57aa69a0d3"/>
    <w:p>
      <w:pPr>
        <w:pStyle w:val="Heading2"/>
      </w:pPr>
      <w:r>
        <w:rPr>
          <w:rStyle w:val="SectionNumber"/>
        </w:rPr>
        <w:t xml:space="preserve">3.1</w:t>
      </w:r>
      <w:r>
        <w:rPr/>
        <w:tab/>
      </w:r>
      <w:r>
        <w:rPr/>
        <w:t xml:space="preserve">Dataset, symptom status and infection validation</w:t>
      </w:r>
    </w:p>
    <w:p>
      <w:pPr>
        <w:pStyle w:val="FirstParagraph"/>
      </w:pPr>
      <w:r>
        <w:rPr/>
        <w:t>No visible symptoms were present at 2 or 4 dpi. The HSI and RGB images were acquired from the adaxial (upper) leaf surface in a top-down configuration. Visible white-blister sporulation was not observed on this surface at any time point, including 6 dpi. At 6 dpi, however, sporulation was visible on the abaxial (lower) surface (Fig. 5), and obvious symptoms developed at approximately 6–8 dpi, varying between leaves. Accordingly, 6 dpi is a transitional, later infection-stage reference and not a visually symptomatic imaging condition. The paired-data evaluation subset comprised 69 inoculated and 24 mock-inoculated plants at 2 dpi, and 72 inoculated and 24 mock-inoculated plants at each of 4 and 6 dpi (Table 3). These counts were verified against the archived analysis manifest; the missing observations are listed in section 2.3.</w:t>
      </w:r>
    </w:p>
    <w:p>
      <w:pPr>
        <w:pStyle w:val="CaptionedFigure"/>
        <w:keepNext/>
      </w:pPr>
      <w:r>
        <w:rPr/>
        <w:drawing>
          <wp:inline>
            <wp:extent cx="3840480" cy="3840480"/>
            <wp:effectExtent b="0" l="0" r="0" t="0"/>
            <wp:docPr descr="Figure 5. Representative adaxial and abaxial surfaces of leaves at 2, 4 and 6 days post inoculation (dpi) with Albugo candida. No symptoms are visible at 2 or 4 dpi; white sporulation is visible on the abaxial surface at 6 dpi, whereas the adaxial surface remains symptom-free. Scale bar, 2 mm. [ADD: a representative mock-inoculated image acquired with the same workflow (image to be supplied), and state the treatment of the leaves shown.]" title="" id="50" name="Picture"/>
            <a:graphic>
              <a:graphicData uri="http://schemas.openxmlformats.org/drawingml/2006/picture">
                <pic:pic>
                  <pic:nvPicPr>
                    <pic:cNvPr descr="figs/fig5_leaves.png" id="51" name="Picture"/>
                    <pic:cNvPicPr>
                      <a:picLocks noChangeArrowheads="1" noChangeAspect="1"/>
                    </pic:cNvPicPr>
                  </pic:nvPicPr>
                  <pic:blipFill>
                    <a:blip r:embed="rId49"/>
                    <a:stretch>
                      <a:fillRect/>
                    </a:stretch>
                  </pic:blipFill>
                  <pic:spPr bwMode="auto">
                    <a:xfrm>
                      <a:off x="0" y="0"/>
                      <a:ext cx="3840480" cy="3840480"/>
                    </a:xfrm>
                    <a:prstGeom prst="rect">
                      <a:avLst/>
                    </a:prstGeom>
                    <a:noFill/>
                    <a:ln w="9525">
                      <a:noFill/>
                      <a:headEnd/>
                      <a:tailEnd/>
                    </a:ln>
                  </pic:spPr>
                </pic:pic>
              </a:graphicData>
            </a:graphic>
          </wp:inline>
        </w:drawing>
      </w:r>
    </w:p>
    <w:p>
      <w:pPr>
        <w:pStyle w:val="ImageCaption"/>
      </w:pPr>
      <w:r>
        <w:rPr/>
        <w:t>Figure 5. Representative inoculated leaves at 2, 4 and 6 dpi with Albugo candida. White sporulation is visible on the abaxial surface at 6 dpi, whereas the imaged adaxial surface remains symptom-free. Scale bar, 2 mm. The panel documents representative inoculated material and does not provide a matched mock microscopy comparison or per-plant infection confirmation.</w:t>
      </w:r>
    </w:p>
    <w:bookmarkEnd w:id="52"/>
    <w:bookmarkStart w:id="53" w:name="instrument-characterisation"/>
    <w:p>
      <w:pPr>
        <w:pStyle w:val="Heading2"/>
      </w:pPr>
      <w:r>
        <w:rPr>
          <w:rStyle w:val="SectionNumber"/>
        </w:rPr>
        <w:t xml:space="preserve">3.2</w:t>
      </w:r>
      <w:r>
        <w:rPr/>
        <w:tab/>
      </w:r>
      <w:r>
        <w:rPr/>
        <w:t xml:space="preserve">Instrument characterisation</w:t>
      </w:r>
    </w:p>
    <w:p>
      <w:pPr>
        <w:pStyle w:val="FirstParagraph"/>
      </w:pPr>
      <w:r>
        <w:rPr/>
        <w:t xml:space="preserve">Table 2 lists the instrument characteristics that were available at the time of writing. Spectral resolution, wavelength calibration error, signal-to-noise ratio at the final exposure, spatial resolution, repeatability, sensor linearity and RGB–HSI registration accuracy have not yet been measured or verified, and we therefore make no claims about them. Preliminary exposure tests at 10–100 ms did not use the final 2 s setting and are not sufficient to establish signal-to-noise ratio or the absence of saturation.</w:t>
      </w:r>
    </w:p>
    <w:bookmarkEnd w:id="53"/>
    <w:bookmarkStart w:id="54" w:name="classification-at-each-time-point"/>
    <w:p>
      <w:pPr>
        <w:pStyle w:val="Heading2"/>
      </w:pPr>
      <w:r>
        <w:rPr>
          <w:rStyle w:val="SectionNumber"/>
        </w:rPr>
        <w:t xml:space="preserve">3.3</w:t>
      </w:r>
      <w:r>
        <w:rPr/>
        <w:tab/>
      </w:r>
      <w:r>
        <w:rPr/>
        <w:t xml:space="preserve">Classification at each time point</w:t>
      </w:r>
    </w:p>
    <w:p>
      <w:pPr>
        <w:pStyle w:val="FirstParagraph"/>
      </w:pPr>
      <w:r>
        <w:rPr/>
        <w:t>PSNet separated inoculated from mock-inoculated plants poorly at 2 dpi, moderately at 4 dpi and well at 6 dpi (Table 6, Fig. 6). At 2 dpi, PSNet labelled most plants as inoculated, giving high sensitivity (84.54%) but low specificity (27.78%). Its balanced accuracy was 56.16 ± 4.09% and its AUROC 0.605 ± 0.049, and its accuracy of 69.89 ± 4.69% was lower than the 74.19% obtained by calling every plant inoculated. At 4 dpi, before visible symptoms, PSNet reached a balanced accuracy of 83.56 ± 4.24% and an AUROC of 0.939 ± 0.026, with sensitivity 93.52% and specificity 73.61%. At 6 dpi, a later infection stage at which the imaged surface remained symptom-free, balanced accuracy was 95.37 ± 0.80% and AUROC 0.990 ± 0.006. On the joint task that combines the two presymptomatic time points, balanced accuracy was 74.07 ± 5.21% and AUROC 0.821 ± 0.064; because this task uses information from 4 dpi, it should not be read as detection at 2 dpi.</w:t>
      </w:r>
    </w:p>
    <w:p>
      <w:pPr>
        <w:pStyle w:val="TableCaption"/>
      </w:pPr>
      <w:r>
        <w:rPr>
          <w:bCs/>
          <w:b/>
        </w:rPr>
        <w:t xml:space="preserve">Table 6.</w:t>
      </w:r>
      <w:r>
        <w:rPr/>
        <w:t xml:space="preserve"> </w:t>
      </w:r>
      <w:r>
        <w:rPr/>
        <w:t>Classification performance of PSNet for inoculated versus mock-inoculated plants. Mean ± SD across three seeds (157, 257, 357), each evaluated with five plant-disjoint folds; predictions aggregated within plants. Majority-class reference: accuracy 74.19% at 2 dpi and 75.00% for the other tasks, BA 50%, AUROC 0.5. The joint 2+4 dpi task uses information acquired at 4 dpi and is not a measure of detection at 2 dpi. BA, balanced accuracy.</w:t>
      </w:r>
    </w:p>
    <w:tbl>
      <w:tblPr>
        <w:tblCaption w:val="Table 6. Classification performance of PSNet for infected versus mock-inoculated plants. Mean ± SD across three seeds (157, 257, 357), each evaluated with five plant-disjoint folds; predictions aggregated within plants. Majority-class reference: accuracy 74.19% at 2 dpi and 75.00% for the other tasks, BA 50%, AUROC 0.5. The joint 2+4 dpi task uses information acquired at 4 dpi and is not a measure of detection at 2 dpi. BA, balanced accuracy."/>
        <w:tblW w:w="9074"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1418"/>
        <w:gridCol w:w="1106"/>
        <w:gridCol w:w="1106"/>
        <w:gridCol w:w="1077"/>
        <w:gridCol w:w="1049"/>
        <w:gridCol w:w="1106"/>
        <w:gridCol w:w="1106"/>
        <w:gridCol w:w="1106"/>
      </w:tblGrid>
      <w:tr>
        <w:trPr>
          <w:tblHeader w:val="true"/>
          <w:cantSplit/>
          <w:tblHeader/>
        </w:trPr>
        <w:tc>
          <w:tcPr>
            <w:tcW w:w="1418" w:type="dxa"/>
            <w:tcBorders>
              <w:bottom w:val="single" w:sz="5" w:space="0" w:color="000000"/>
            </w:tcBorders>
            <w:vAlign w:val="center"/>
          </w:tcPr>
          <w:p>
            <w:pPr>
              <w:pStyle w:val="Compact"/>
              <w:spacing w:before="0" w:after="60" w:line="240" w:lineRule="auto"/>
              <w:jc w:val="left"/>
            </w:pPr>
            <w:r>
              <w:rPr>
                <w:b/>
                <w:sz w:val="18"/>
              </w:rPr>
              <w:t xml:space="preserve">Task</w:t>
            </w:r>
          </w:p>
        </w:tc>
        <w:tc>
          <w:tcPr>
            <w:tcW w:w="1106"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106"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077"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049" w:type="dxa"/>
            <w:tcBorders>
              <w:bottom w:val="single" w:sz="5" w:space="0" w:color="000000"/>
            </w:tcBorders>
            <w:vAlign w:val="center"/>
          </w:tcPr>
          <w:p>
            <w:pPr>
              <w:pStyle w:val="Compact"/>
              <w:spacing w:before="0" w:after="60" w:line="240" w:lineRule="auto"/>
              <w:jc w:val="center"/>
            </w:pPr>
            <w:r>
              <w:rPr>
                <w:b/>
                <w:sz w:val="18"/>
              </w:rPr>
              <w:t xml:space="preserve">F1</w:t>
            </w:r>
          </w:p>
        </w:tc>
        <w:tc>
          <w:tcPr>
            <w:tcW w:w="1106" w:type="dxa"/>
            <w:tcBorders>
              <w:bottom w:val="single" w:sz="5" w:space="0" w:color="000000"/>
            </w:tcBorders>
            <w:vAlign w:val="center"/>
          </w:tcPr>
          <w:p>
            <w:pPr>
              <w:pStyle w:val="Compact"/>
              <w:spacing w:before="0" w:after="60" w:line="240" w:lineRule="auto"/>
              <w:jc w:val="center"/>
            </w:pPr>
            <w:r>
              <w:rPr>
                <w:b/>
                <w:sz w:val="18"/>
              </w:rPr>
              <w:t xml:space="preserve">Precision (%)</w:t>
            </w:r>
          </w:p>
        </w:tc>
        <w:tc>
          <w:tcPr>
            <w:tcW w:w="1106" w:type="dxa"/>
            <w:tcBorders>
              <w:bottom w:val="single" w:sz="5" w:space="0" w:color="000000"/>
            </w:tcBorders>
            <w:vAlign w:val="center"/>
          </w:tcPr>
          <w:p>
            <w:pPr>
              <w:pStyle w:val="Compact"/>
              <w:spacing w:before="0" w:after="60" w:line="240" w:lineRule="auto"/>
              <w:jc w:val="center"/>
            </w:pPr>
            <w:r>
              <w:rPr>
                <w:b/>
                <w:sz w:val="18"/>
              </w:rPr>
              <w:t xml:space="preserve">Sensitivity (%)</w:t>
            </w:r>
          </w:p>
        </w:tc>
        <w:tc>
          <w:tcPr>
            <w:tcW w:w="1106" w:type="dxa"/>
            <w:tcBorders>
              <w:bottom w:val="single" w:sz="5" w:space="0" w:color="000000"/>
            </w:tcBorders>
            <w:vAlign w:val="center"/>
          </w:tcPr>
          <w:p>
            <w:pPr>
              <w:pStyle w:val="Compact"/>
              <w:spacing w:before="0" w:after="60" w:line="240" w:lineRule="auto"/>
              <w:jc w:val="center"/>
            </w:pPr>
            <w:r>
              <w:rPr>
                <w:b/>
                <w:sz w:val="18"/>
              </w:rPr>
              <w:t xml:space="preserve">Specificity (%)</w:t>
            </w:r>
          </w:p>
        </w:tc>
      </w:tr>
      <w:tr>
        <w:trPr>
          <w:cantSplit/>
        </w:trPr>
        <w:tc>
          <w:tcPr>
            <w:tcW w:w="1418" w:type="dxa"/>
          </w:tcPr>
          <w:p>
            <w:pPr>
              <w:pStyle w:val="Compact"/>
              <w:spacing w:before="0" w:after="60" w:line="240" w:lineRule="auto"/>
              <w:jc w:val="left"/>
            </w:pPr>
            <w:r>
              <w:rPr>
                <w:sz w:val="18"/>
              </w:rPr>
              <w:t xml:space="preserve">2 dpi</w:t>
            </w:r>
          </w:p>
        </w:tc>
        <w:tc>
          <w:tcPr>
            <w:tcW w:w="1106" w:type="dxa"/>
          </w:tcPr>
          <w:p>
            <w:pPr>
              <w:pStyle w:val="Compact"/>
              <w:spacing w:before="0" w:after="60" w:line="240" w:lineRule="auto"/>
              <w:jc w:val="center"/>
            </w:pPr>
            <w:r>
              <w:rPr>
                <w:sz w:val="18"/>
              </w:rPr>
              <w:t xml:space="preserve">69.89 ± 4.69</w:t>
            </w:r>
          </w:p>
        </w:tc>
        <w:tc>
          <w:tcPr>
            <w:tcW w:w="1106" w:type="dxa"/>
          </w:tcPr>
          <w:p>
            <w:pPr>
              <w:pStyle w:val="Compact"/>
              <w:spacing w:before="0" w:after="60" w:line="240" w:lineRule="auto"/>
              <w:jc w:val="center"/>
            </w:pPr>
            <w:r>
              <w:rPr>
                <w:sz w:val="18"/>
              </w:rPr>
              <w:t xml:space="preserve">56.16 ± 4.09</w:t>
            </w:r>
          </w:p>
        </w:tc>
        <w:tc>
          <w:tcPr>
            <w:tcW w:w="1077" w:type="dxa"/>
          </w:tcPr>
          <w:p>
            <w:pPr>
              <w:pStyle w:val="Compact"/>
              <w:spacing w:before="0" w:after="60" w:line="240" w:lineRule="auto"/>
              <w:jc w:val="center"/>
            </w:pPr>
            <w:r>
              <w:rPr>
                <w:sz w:val="18"/>
              </w:rPr>
              <w:t xml:space="preserve">0.605 ± 0.049</w:t>
            </w:r>
          </w:p>
        </w:tc>
        <w:tc>
          <w:tcPr>
            <w:tcW w:w="1049" w:type="dxa"/>
          </w:tcPr>
          <w:p>
            <w:pPr>
              <w:pStyle w:val="Compact"/>
              <w:spacing w:before="0" w:after="60" w:line="240" w:lineRule="auto"/>
              <w:jc w:val="center"/>
            </w:pPr>
            <w:r>
              <w:rPr>
                <w:sz w:val="18"/>
              </w:rPr>
              <w:t xml:space="preserve">0.805 ± 0.038</w:t>
            </w:r>
          </w:p>
        </w:tc>
        <w:tc>
          <w:tcPr>
            <w:tcW w:w="1106" w:type="dxa"/>
          </w:tcPr>
          <w:p>
            <w:pPr>
              <w:pStyle w:val="Compact"/>
              <w:spacing w:before="0" w:after="60" w:line="240" w:lineRule="auto"/>
              <w:jc w:val="center"/>
            </w:pPr>
            <w:r>
              <w:rPr>
                <w:sz w:val="18"/>
              </w:rPr>
              <w:t xml:space="preserve">77.12 ± 2.03</w:t>
            </w:r>
          </w:p>
        </w:tc>
        <w:tc>
          <w:tcPr>
            <w:tcW w:w="1106" w:type="dxa"/>
          </w:tcPr>
          <w:p>
            <w:pPr>
              <w:pStyle w:val="Compact"/>
              <w:spacing w:before="0" w:after="60" w:line="240" w:lineRule="auto"/>
              <w:jc w:val="center"/>
            </w:pPr>
            <w:r>
              <w:rPr>
                <w:sz w:val="18"/>
              </w:rPr>
              <w:t xml:space="preserve">84.54 ± 7.98</w:t>
            </w:r>
          </w:p>
        </w:tc>
        <w:tc>
          <w:tcPr>
            <w:tcW w:w="1106" w:type="dxa"/>
          </w:tcPr>
          <w:p>
            <w:pPr>
              <w:pStyle w:val="Compact"/>
              <w:spacing w:before="0" w:after="60" w:line="240" w:lineRule="auto"/>
              <w:jc w:val="center"/>
            </w:pPr>
            <w:r>
              <w:rPr>
                <w:sz w:val="18"/>
              </w:rPr>
              <w:t xml:space="preserve">27.78 ± 10.49</w:t>
            </w:r>
          </w:p>
        </w:tc>
      </w:tr>
      <w:tr>
        <w:trPr>
          <w:cantSplit/>
        </w:trPr>
        <w:tc>
          <w:tcPr>
            <w:tcW w:w="1418" w:type="dxa"/>
          </w:tcPr>
          <w:p>
            <w:pPr>
              <w:pStyle w:val="Compact"/>
              <w:spacing w:before="0" w:after="60" w:line="240" w:lineRule="auto"/>
              <w:jc w:val="left"/>
            </w:pPr>
            <w:r>
              <w:rPr>
                <w:sz w:val="18"/>
              </w:rPr>
              <w:t xml:space="preserve">4 dpi</w:t>
            </w:r>
          </w:p>
        </w:tc>
        <w:tc>
          <w:tcPr>
            <w:tcW w:w="1106" w:type="dxa"/>
          </w:tcPr>
          <w:p>
            <w:pPr>
              <w:pStyle w:val="Compact"/>
              <w:spacing w:before="0" w:after="60" w:line="240" w:lineRule="auto"/>
              <w:jc w:val="center"/>
            </w:pPr>
            <w:r>
              <w:rPr>
                <w:sz w:val="18"/>
              </w:rPr>
              <w:t xml:space="preserve">88.54 ± 2.08</w:t>
            </w:r>
          </w:p>
        </w:tc>
        <w:tc>
          <w:tcPr>
            <w:tcW w:w="1106" w:type="dxa"/>
          </w:tcPr>
          <w:p>
            <w:pPr>
              <w:pStyle w:val="Compact"/>
              <w:spacing w:before="0" w:after="60" w:line="240" w:lineRule="auto"/>
              <w:jc w:val="center"/>
            </w:pPr>
            <w:r>
              <w:rPr>
                <w:sz w:val="18"/>
              </w:rPr>
              <w:t xml:space="preserve">83.56 ± 4.24</w:t>
            </w:r>
          </w:p>
        </w:tc>
        <w:tc>
          <w:tcPr>
            <w:tcW w:w="1077" w:type="dxa"/>
          </w:tcPr>
          <w:p>
            <w:pPr>
              <w:pStyle w:val="Compact"/>
              <w:spacing w:before="0" w:after="60" w:line="240" w:lineRule="auto"/>
              <w:jc w:val="center"/>
            </w:pPr>
            <w:r>
              <w:rPr>
                <w:sz w:val="18"/>
              </w:rPr>
              <w:t xml:space="preserve">0.939 ± 0.026</w:t>
            </w:r>
          </w:p>
        </w:tc>
        <w:tc>
          <w:tcPr>
            <w:tcW w:w="1049" w:type="dxa"/>
          </w:tcPr>
          <w:p>
            <w:pPr>
              <w:pStyle w:val="Compact"/>
              <w:spacing w:before="0" w:after="60" w:line="240" w:lineRule="auto"/>
              <w:jc w:val="center"/>
            </w:pPr>
            <w:r>
              <w:rPr>
                <w:sz w:val="18"/>
              </w:rPr>
              <w:t xml:space="preserve">0.925 ± 0.013</w:t>
            </w:r>
          </w:p>
        </w:tc>
        <w:tc>
          <w:tcPr>
            <w:tcW w:w="1106" w:type="dxa"/>
          </w:tcPr>
          <w:p>
            <w:pPr>
              <w:pStyle w:val="Compact"/>
              <w:spacing w:before="0" w:after="60" w:line="240" w:lineRule="auto"/>
              <w:jc w:val="center"/>
            </w:pPr>
            <w:r>
              <w:rPr>
                <w:sz w:val="18"/>
              </w:rPr>
              <w:t xml:space="preserve">91.46 ± 2.61</w:t>
            </w:r>
          </w:p>
        </w:tc>
        <w:tc>
          <w:tcPr>
            <w:tcW w:w="1106" w:type="dxa"/>
          </w:tcPr>
          <w:p>
            <w:pPr>
              <w:pStyle w:val="Compact"/>
              <w:spacing w:before="0" w:after="60" w:line="240" w:lineRule="auto"/>
              <w:jc w:val="center"/>
            </w:pPr>
            <w:r>
              <w:rPr>
                <w:sz w:val="18"/>
              </w:rPr>
              <w:t xml:space="preserve">93.52 ± 0.80</w:t>
            </w:r>
          </w:p>
        </w:tc>
        <w:tc>
          <w:tcPr>
            <w:tcW w:w="1106" w:type="dxa"/>
          </w:tcPr>
          <w:p>
            <w:pPr>
              <w:pStyle w:val="Compact"/>
              <w:spacing w:before="0" w:after="60" w:line="240" w:lineRule="auto"/>
              <w:jc w:val="center"/>
            </w:pPr>
            <w:r>
              <w:rPr>
                <w:sz w:val="18"/>
              </w:rPr>
              <w:t xml:space="preserve">73.61 ± 8.67</w:t>
            </w:r>
          </w:p>
        </w:tc>
      </w:tr>
      <w:tr>
        <w:trPr>
          <w:cantSplit/>
        </w:trPr>
        <w:tc>
          <w:tcPr>
            <w:tcW w:w="1418" w:type="dxa"/>
          </w:tcPr>
          <w:p>
            <w:pPr>
              <w:pStyle w:val="Compact"/>
              <w:spacing w:before="0" w:after="60" w:line="240" w:lineRule="auto"/>
              <w:jc w:val="left"/>
            </w:pPr>
            <w:r>
              <w:rPr>
                <w:sz w:val="18"/>
              </w:rPr>
              <w:t xml:space="preserve">6 dpi</w:t>
            </w:r>
          </w:p>
        </w:tc>
        <w:tc>
          <w:tcPr>
            <w:tcW w:w="1106" w:type="dxa"/>
          </w:tcPr>
          <w:p>
            <w:pPr>
              <w:pStyle w:val="Compact"/>
              <w:spacing w:before="0" w:after="60" w:line="240" w:lineRule="auto"/>
              <w:jc w:val="center"/>
            </w:pPr>
            <w:r>
              <w:rPr>
                <w:sz w:val="18"/>
              </w:rPr>
              <w:t xml:space="preserve">95.14 ± 1.20</w:t>
            </w:r>
          </w:p>
        </w:tc>
        <w:tc>
          <w:tcPr>
            <w:tcW w:w="1106" w:type="dxa"/>
          </w:tcPr>
          <w:p>
            <w:pPr>
              <w:pStyle w:val="Compact"/>
              <w:spacing w:before="0" w:after="60" w:line="240" w:lineRule="auto"/>
              <w:jc w:val="center"/>
            </w:pPr>
            <w:r>
              <w:rPr>
                <w:sz w:val="18"/>
              </w:rPr>
              <w:t xml:space="preserve">95.37 ± 0.80</w:t>
            </w:r>
          </w:p>
        </w:tc>
        <w:tc>
          <w:tcPr>
            <w:tcW w:w="1077" w:type="dxa"/>
          </w:tcPr>
          <w:p>
            <w:pPr>
              <w:pStyle w:val="Compact"/>
              <w:spacing w:before="0" w:after="60" w:line="240" w:lineRule="auto"/>
              <w:jc w:val="center"/>
            </w:pPr>
            <w:r>
              <w:rPr>
                <w:sz w:val="18"/>
              </w:rPr>
              <w:t xml:space="preserve">0.990 ± 0.006</w:t>
            </w:r>
          </w:p>
        </w:tc>
        <w:tc>
          <w:tcPr>
            <w:tcW w:w="1049" w:type="dxa"/>
          </w:tcPr>
          <w:p>
            <w:pPr>
              <w:pStyle w:val="Compact"/>
              <w:spacing w:before="0" w:after="60" w:line="240" w:lineRule="auto"/>
              <w:jc w:val="center"/>
            </w:pPr>
            <w:r>
              <w:rPr>
                <w:sz w:val="18"/>
              </w:rPr>
              <w:t xml:space="preserve">0.967 ± 0.009</w:t>
            </w:r>
          </w:p>
        </w:tc>
        <w:tc>
          <w:tcPr>
            <w:tcW w:w="1106" w:type="dxa"/>
          </w:tcPr>
          <w:p>
            <w:pPr>
              <w:pStyle w:val="Compact"/>
              <w:spacing w:before="0" w:after="60" w:line="240" w:lineRule="auto"/>
              <w:jc w:val="center"/>
            </w:pPr>
            <w:r>
              <w:rPr>
                <w:sz w:val="18"/>
              </w:rPr>
              <w:t xml:space="preserve">98.60 ± 1.39</w:t>
            </w:r>
          </w:p>
        </w:tc>
        <w:tc>
          <w:tcPr>
            <w:tcW w:w="1106" w:type="dxa"/>
          </w:tcPr>
          <w:p>
            <w:pPr>
              <w:pStyle w:val="Compact"/>
              <w:spacing w:before="0" w:after="60" w:line="240" w:lineRule="auto"/>
              <w:jc w:val="center"/>
            </w:pPr>
            <w:r>
              <w:rPr>
                <w:sz w:val="18"/>
              </w:rPr>
              <w:t xml:space="preserve">94.91 ± 2.89</w:t>
            </w:r>
          </w:p>
        </w:tc>
        <w:tc>
          <w:tcPr>
            <w:tcW w:w="1106" w:type="dxa"/>
          </w:tcPr>
          <w:p>
            <w:pPr>
              <w:pStyle w:val="Compact"/>
              <w:spacing w:before="0" w:after="60" w:line="240" w:lineRule="auto"/>
              <w:jc w:val="center"/>
            </w:pPr>
            <w:r>
              <w:rPr>
                <w:sz w:val="18"/>
              </w:rPr>
              <w:t xml:space="preserve">95.83 ± 4.17</w:t>
            </w:r>
          </w:p>
        </w:tc>
      </w:tr>
      <w:tr>
        <w:trPr>
          <w:cantSplit/>
        </w:trPr>
        <w:tc>
          <w:tcPr>
            <w:tcW w:w="1418" w:type="dxa"/>
          </w:tcPr>
          <w:p>
            <w:pPr>
              <w:pStyle w:val="Compact"/>
              <w:spacing w:before="0" w:after="60" w:line="240" w:lineRule="auto"/>
              <w:jc w:val="left"/>
            </w:pPr>
            <w:r>
              <w:rPr>
                <w:sz w:val="18"/>
              </w:rPr>
              <w:t xml:space="preserve">Joint 2+4 dpi</w:t>
            </w:r>
          </w:p>
        </w:tc>
        <w:tc>
          <w:tcPr>
            <w:tcW w:w="1106" w:type="dxa"/>
          </w:tcPr>
          <w:p>
            <w:pPr>
              <w:pStyle w:val="Compact"/>
              <w:spacing w:before="0" w:after="60" w:line="240" w:lineRule="auto"/>
              <w:jc w:val="center"/>
            </w:pPr>
            <w:r>
              <w:rPr>
                <w:sz w:val="18"/>
              </w:rPr>
              <w:t xml:space="preserve">78.47 ± 5.92</w:t>
            </w:r>
          </w:p>
        </w:tc>
        <w:tc>
          <w:tcPr>
            <w:tcW w:w="1106" w:type="dxa"/>
          </w:tcPr>
          <w:p>
            <w:pPr>
              <w:pStyle w:val="Compact"/>
              <w:spacing w:before="0" w:after="60" w:line="240" w:lineRule="auto"/>
              <w:jc w:val="center"/>
            </w:pPr>
            <w:r>
              <w:rPr>
                <w:sz w:val="18"/>
              </w:rPr>
              <w:t xml:space="preserve">74.07 ± 5.21</w:t>
            </w:r>
          </w:p>
        </w:tc>
        <w:tc>
          <w:tcPr>
            <w:tcW w:w="1077" w:type="dxa"/>
          </w:tcPr>
          <w:p>
            <w:pPr>
              <w:pStyle w:val="Compact"/>
              <w:spacing w:before="0" w:after="60" w:line="240" w:lineRule="auto"/>
              <w:jc w:val="center"/>
            </w:pPr>
            <w:r>
              <w:rPr>
                <w:sz w:val="18"/>
              </w:rPr>
              <w:t xml:space="preserve">0.821 ± 0.064</w:t>
            </w:r>
          </w:p>
        </w:tc>
        <w:tc>
          <w:tcPr>
            <w:tcW w:w="1049" w:type="dxa"/>
          </w:tcPr>
          <w:p>
            <w:pPr>
              <w:pStyle w:val="Compact"/>
              <w:spacing w:before="0" w:after="60" w:line="240" w:lineRule="auto"/>
              <w:jc w:val="center"/>
            </w:pPr>
            <w:r>
              <w:rPr>
                <w:sz w:val="18"/>
              </w:rPr>
              <w:t xml:space="preserve">0.851 ± 0.046</w:t>
            </w:r>
          </w:p>
        </w:tc>
        <w:tc>
          <w:tcPr>
            <w:tcW w:w="1106" w:type="dxa"/>
          </w:tcPr>
          <w:p>
            <w:pPr>
              <w:pStyle w:val="Compact"/>
              <w:spacing w:before="0" w:after="60" w:line="240" w:lineRule="auto"/>
              <w:jc w:val="center"/>
            </w:pPr>
            <w:r>
              <w:rPr>
                <w:sz w:val="18"/>
              </w:rPr>
              <w:t xml:space="preserve">87.68 ± 2.16</w:t>
            </w:r>
          </w:p>
        </w:tc>
        <w:tc>
          <w:tcPr>
            <w:tcW w:w="1106" w:type="dxa"/>
          </w:tcPr>
          <w:p>
            <w:pPr>
              <w:pStyle w:val="Compact"/>
              <w:spacing w:before="0" w:after="60" w:line="240" w:lineRule="auto"/>
              <w:jc w:val="center"/>
            </w:pPr>
            <w:r>
              <w:rPr>
                <w:sz w:val="18"/>
              </w:rPr>
              <w:t xml:space="preserve">82.87 ± 6.85</w:t>
            </w:r>
          </w:p>
        </w:tc>
        <w:tc>
          <w:tcPr>
            <w:tcW w:w="1106" w:type="dxa"/>
          </w:tcPr>
          <w:p>
            <w:pPr>
              <w:pStyle w:val="Compact"/>
              <w:spacing w:before="0" w:after="60" w:line="240" w:lineRule="auto"/>
              <w:jc w:val="center"/>
            </w:pPr>
            <w:r>
              <w:rPr>
                <w:sz w:val="18"/>
              </w:rPr>
              <w:t xml:space="preserve">65.28 ± 4.81</w:t>
            </w:r>
          </w:p>
        </w:tc>
      </w:tr>
    </w:tbl>
    <w:bookmarkEnd w:id="54"/>
    <w:bookmarkStart w:id="58" w:name="X1a6d1f85ec0bcc1700beb831b385d1f414b14e8"/>
    <w:p>
      <w:pPr>
        <w:pStyle w:val="Heading2"/>
      </w:pPr>
      <w:r>
        <w:rPr>
          <w:rStyle w:val="SectionNumber"/>
        </w:rPr>
        <w:t xml:space="preserve">3.4</w:t>
      </w:r>
      <w:r>
        <w:rPr/>
        <w:tab/>
      </w:r>
      <w:r>
        <w:rPr/>
        <w:t xml:space="preserve">Comparison with RGB-only, HSI-only and multimodal baselines</w:t>
      </w:r>
    </w:p>
    <w:p>
      <w:pPr>
        <w:pStyle w:val="FirstParagraph"/>
      </w:pPr>
      <w:r>
        <w:rPr/>
        <w:t>Model rankings changed markedly with time after inoculation (Table 7, Fig. 6; full metrics in Tables S1–S3). Four observations stand out. First, no model that received RGB input exceeded a balanced accuracy of 63.4% at 2 dpi (range 50.7–63.4%; AUROC 0.509–0.711). Second, at 4 dpi every model with an RGB stream, including RGB-only ResNets, reached balanced accuracies of 83.6–92.4% (AUROC 0.930–0.974); PSNet had the lowest balanced accuracy in this group (83.56%), and the plain multimodal model the highest (92.36%), with an RGB-only ResNet18 close behind (90.28%). Third, at 6 dpi the same models reached 91.2–97.5% balanced accuracy, and again the RGB-only models were within the range of the multimodal models. Fourth, the HSI-only models behaved differently from all others. The HSI Transformer and the compact 3D CNN were the only models to discriminate well at 2 dpi (balanced accuracy 76.15% and 86.05%; AUROC 0.850 and 0.916), yet at 4 dpi their balanced accuracy fell to 58.80% and 58.56%, and at 6 dpi to 54.17% and 50.00%. At 6 dpi the compact 3D CNN labelled every plant as inoculated in all three seeds. The one-dimensional spectral CNN was at or near chance at every time point (balanced accuracy 54.80%, 50.00% and 50.23% at 2, 4 and 6 dpi).</w:t>
      </w:r>
    </w:p>
    <w:p>
      <w:pPr>
        <w:pStyle w:val="BodyText"/>
      </w:pPr>
      <w:r>
        <w:rPr/>
        <w:t>Model rankings are descriptive. Between-seed variability and the conditional plant-bootstrap intervals in Table 11 indicate uncertainty, but neither constitutes a paired hypothesis test between models. Formal superiority or equivalence is not claimed. The HSI-only scores were highest at 2 dpi and close to chance later, including when abaxial sporulation was visible; this temporal pattern motivates the spectral and acquisition-confound analyses below.</w:t>
      </w:r>
    </w:p>
    <w:p>
      <w:pPr>
        <w:pStyle w:val="CaptionedFigure"/>
        <w:keepNext/>
      </w:pPr>
      <w:r>
        <w:rPr/>
        <w:drawing>
          <wp:inline>
            <wp:extent cx="5334000" cy="4613189"/>
            <wp:effectExtent b="0" l="0" r="0" t="0"/>
            <wp:docPr descr="Figure 6. Classification performance of all models at each time point. (a) Balanced accuracy and (b) AUROC for infected versus mock-inoculated classification at 2, 4 and 6 days post inoculation (dpi). Dots show the three training seeds (157, 257, 357), bars show the three-seed mean, and the dashed line marks chance level. Metrics were computed from pooled out-of-fold, plant-level predictions." title="" id="56" name="Picture"/>
            <a:graphic>
              <a:graphicData uri="http://schemas.openxmlformats.org/drawingml/2006/picture">
                <pic:pic>
                  <pic:nvPicPr>
                    <pic:cNvPr descr="figs/fig_results.png" id="57" name="Picture"/>
                    <pic:cNvPicPr>
                      <a:picLocks noChangeArrowheads="1" noChangeAspect="1"/>
                    </pic:cNvPicPr>
                  </pic:nvPicPr>
                  <pic:blipFill>
                    <a:blip r:embed="rId55"/>
                    <a:stretch>
                      <a:fillRect/>
                    </a:stretch>
                  </pic:blipFill>
                  <pic:spPr bwMode="auto">
                    <a:xfrm>
                      <a:off x="0" y="0"/>
                      <a:ext cx="5334000" cy="4613189"/>
                    </a:xfrm>
                    <a:prstGeom prst="rect">
                      <a:avLst/>
                    </a:prstGeom>
                    <a:noFill/>
                    <a:ln w="9525">
                      <a:noFill/>
                      <a:headEnd/>
                      <a:tailEnd/>
                    </a:ln>
                  </pic:spPr>
                </pic:pic>
              </a:graphicData>
            </a:graphic>
          </wp:inline>
        </w:drawing>
      </w:r>
    </w:p>
    <w:p>
      <w:pPr>
        <w:pStyle w:val="ImageCaption"/>
      </w:pPr>
      <w:r>
        <w:rPr>
          <w:bCs/>
          <w:b/>
        </w:rPr>
        <w:t xml:space="preserve">Figure 6.</w:t>
      </w:r>
      <w:r>
        <w:rPr/>
        <w:t xml:space="preserve"> </w:t>
      </w:r>
      <w:r>
        <w:rPr/>
        <w:t>Classification performance of all models at each time point. (a) Balanced accuracy and (b) AUROC for inoculated versus mock-inoculated classification at 2, 4 and 6 days post inoculation (dpi). Dots show the three training seeds (157, 257, 357), bars show the three-seed mean, and the dashed line marks chance level. Metrics were computed from pooled out-of-fold, plant-level predictions.</w:t>
      </w:r>
    </w:p>
    <w:p>
      <w:pPr>
        <w:pStyle w:val="TableCaption"/>
      </w:pPr>
      <w:r>
        <w:rPr>
          <w:bCs/>
          <w:b/>
        </w:rPr>
        <w:t xml:space="preserve">Table 7.</w:t>
      </w:r>
      <w:r>
        <w:rPr/>
        <w:t xml:space="preserve"> </w:t>
      </w:r>
      <w:r>
        <w:rPr/>
        <w:t xml:space="preserve">Balanced accuracy (BA) and AUROC of all models at 2, 4 and 6 dpi. Mean ± SD across three seeds, each with five plant-disjoint folds. Rankings are descriptive; differences between means alone do not establish statistical significance. All metrics are in Tables S1–S3.</w:t>
      </w:r>
    </w:p>
    <w:tbl>
      <w:tblPr>
        <w:tblCaption w:val="Table 7. Balanced accuracy (BA) and AUROC of all models at 2, 4 and 6 dpi. Mean ± SD across three seeds, each with five plant-disjoint folds. Rankings are descriptive; differences between means alone do not establish statistical significance. All metrics are in Tables S1–S3."/>
        <w:tblW w:w="9071"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2268"/>
        <w:gridCol w:w="1162"/>
        <w:gridCol w:w="1134"/>
        <w:gridCol w:w="1162"/>
        <w:gridCol w:w="1134"/>
        <w:gridCol w:w="1134"/>
        <w:gridCol w:w="1077"/>
      </w:tblGrid>
      <w:tr>
        <w:trPr>
          <w:tblHeader w:val="true"/>
          <w:cantSplit/>
          <w:tblHeader/>
        </w:trPr>
        <w:tc>
          <w:tcPr>
            <w:tcW w:w="2268" w:type="dxa"/>
            <w:tcBorders>
              <w:bottom w:val="single" w:sz="5" w:space="0" w:color="000000"/>
            </w:tcBorders>
            <w:vAlign w:val="center"/>
          </w:tcPr>
          <w:p>
            <w:pPr>
              <w:pStyle w:val="Compact"/>
              <w:spacing w:before="0" w:after="60" w:line="240" w:lineRule="auto"/>
              <w:jc w:val="left"/>
            </w:pPr>
            <w:r>
              <w:rPr>
                <w:b/>
                <w:sz w:val="18"/>
              </w:rPr>
              <w:t xml:space="preserve">Model</w:t>
            </w:r>
          </w:p>
        </w:tc>
        <w:tc>
          <w:tcPr>
            <w:tcW w:w="1162" w:type="dxa"/>
            <w:tcBorders>
              <w:bottom w:val="single" w:sz="5" w:space="0" w:color="000000"/>
            </w:tcBorders>
            <w:vAlign w:val="center"/>
          </w:tcPr>
          <w:p>
            <w:pPr>
              <w:pStyle w:val="Compact"/>
              <w:spacing w:before="0" w:after="60" w:line="240" w:lineRule="auto"/>
              <w:jc w:val="center"/>
            </w:pPr>
            <w:r>
              <w:rPr>
                <w:b/>
                <w:sz w:val="18"/>
              </w:rPr>
              <w:t xml:space="preserve">2 dpi BA (%)</w:t>
            </w:r>
          </w:p>
        </w:tc>
        <w:tc>
          <w:tcPr>
            <w:tcW w:w="1134" w:type="dxa"/>
            <w:tcBorders>
              <w:bottom w:val="single" w:sz="5" w:space="0" w:color="000000"/>
            </w:tcBorders>
            <w:vAlign w:val="center"/>
          </w:tcPr>
          <w:p>
            <w:pPr>
              <w:pStyle w:val="Compact"/>
              <w:spacing w:before="0" w:after="60" w:line="240" w:lineRule="auto"/>
              <w:jc w:val="center"/>
            </w:pPr>
            <w:r>
              <w:rPr>
                <w:b/>
                <w:sz w:val="18"/>
              </w:rPr>
              <w:t xml:space="preserve">2 dpi AUROC</w:t>
            </w:r>
          </w:p>
        </w:tc>
        <w:tc>
          <w:tcPr>
            <w:tcW w:w="1162" w:type="dxa"/>
            <w:tcBorders>
              <w:bottom w:val="single" w:sz="5" w:space="0" w:color="000000"/>
            </w:tcBorders>
            <w:vAlign w:val="center"/>
          </w:tcPr>
          <w:p>
            <w:pPr>
              <w:pStyle w:val="Compact"/>
              <w:spacing w:before="0" w:after="60" w:line="240" w:lineRule="auto"/>
              <w:jc w:val="center"/>
            </w:pPr>
            <w:r>
              <w:rPr>
                <w:b/>
                <w:sz w:val="18"/>
              </w:rPr>
              <w:t xml:space="preserve">4 dpi BA (%)</w:t>
            </w:r>
          </w:p>
        </w:tc>
        <w:tc>
          <w:tcPr>
            <w:tcW w:w="1134" w:type="dxa"/>
            <w:tcBorders>
              <w:bottom w:val="single" w:sz="5" w:space="0" w:color="000000"/>
            </w:tcBorders>
            <w:vAlign w:val="center"/>
          </w:tcPr>
          <w:p>
            <w:pPr>
              <w:pStyle w:val="Compact"/>
              <w:spacing w:before="0" w:after="60" w:line="240" w:lineRule="auto"/>
              <w:jc w:val="center"/>
            </w:pPr>
            <w:r>
              <w:rPr>
                <w:b/>
                <w:sz w:val="18"/>
              </w:rPr>
              <w:t xml:space="preserve">4 dpi AUROC</w:t>
            </w:r>
          </w:p>
        </w:tc>
        <w:tc>
          <w:tcPr>
            <w:tcW w:w="1134" w:type="dxa"/>
            <w:tcBorders>
              <w:bottom w:val="single" w:sz="5" w:space="0" w:color="000000"/>
            </w:tcBorders>
            <w:vAlign w:val="center"/>
          </w:tcPr>
          <w:p>
            <w:pPr>
              <w:pStyle w:val="Compact"/>
              <w:spacing w:before="0" w:after="60" w:line="240" w:lineRule="auto"/>
              <w:jc w:val="center"/>
            </w:pPr>
            <w:r>
              <w:rPr>
                <w:b/>
                <w:sz w:val="18"/>
              </w:rPr>
              <w:t xml:space="preserve">6 dpi BA (%)</w:t>
            </w:r>
          </w:p>
        </w:tc>
        <w:tc>
          <w:tcPr>
            <w:tcW w:w="1077" w:type="dxa"/>
            <w:tcBorders>
              <w:bottom w:val="single" w:sz="5" w:space="0" w:color="000000"/>
            </w:tcBorders>
            <w:vAlign w:val="center"/>
          </w:tcPr>
          <w:p>
            <w:pPr>
              <w:pStyle w:val="Compact"/>
              <w:spacing w:before="0" w:after="60" w:line="240" w:lineRule="auto"/>
              <w:jc w:val="center"/>
            </w:pPr>
            <w:r>
              <w:rPr>
                <w:b/>
                <w:sz w:val="18"/>
              </w:rPr>
              <w:t xml:space="preserve">6 dpi AUROC</w:t>
            </w:r>
          </w:p>
        </w:tc>
      </w:tr>
      <w:tr>
        <w:trPr>
          <w:cantSplit/>
        </w:trPr>
        <w:tc>
          <w:tcPr>
            <w:tcW w:w="2268" w:type="dxa"/>
          </w:tcPr>
          <w:p>
            <w:pPr>
              <w:pStyle w:val="Compact"/>
              <w:spacing w:before="0" w:after="60" w:line="240" w:lineRule="auto"/>
              <w:jc w:val="left"/>
            </w:pPr>
            <w:r>
              <w:rPr>
                <w:sz w:val="18"/>
              </w:rPr>
              <w:t xml:space="preserve">PSNet</w:t>
            </w:r>
          </w:p>
        </w:tc>
        <w:tc>
          <w:tcPr>
            <w:tcW w:w="1162" w:type="dxa"/>
          </w:tcPr>
          <w:p>
            <w:pPr>
              <w:pStyle w:val="Compact"/>
              <w:spacing w:before="0" w:after="60" w:line="240" w:lineRule="auto"/>
              <w:jc w:val="center"/>
            </w:pPr>
            <w:r>
              <w:rPr>
                <w:sz w:val="18"/>
              </w:rPr>
              <w:t xml:space="preserve">56.16 ± 4.09</w:t>
            </w:r>
          </w:p>
        </w:tc>
        <w:tc>
          <w:tcPr>
            <w:tcW w:w="1134" w:type="dxa"/>
          </w:tcPr>
          <w:p>
            <w:pPr>
              <w:pStyle w:val="Compact"/>
              <w:spacing w:before="0" w:after="60" w:line="240" w:lineRule="auto"/>
              <w:jc w:val="center"/>
            </w:pPr>
            <w:r>
              <w:rPr>
                <w:sz w:val="18"/>
              </w:rPr>
              <w:t xml:space="preserve">0.605 ± 0.049</w:t>
            </w:r>
          </w:p>
        </w:tc>
        <w:tc>
          <w:tcPr>
            <w:tcW w:w="1162" w:type="dxa"/>
          </w:tcPr>
          <w:p>
            <w:pPr>
              <w:pStyle w:val="Compact"/>
              <w:spacing w:before="0" w:after="60" w:line="240" w:lineRule="auto"/>
              <w:jc w:val="center"/>
            </w:pPr>
            <w:r>
              <w:rPr>
                <w:sz w:val="18"/>
              </w:rPr>
              <w:t xml:space="preserve">83.56 ± 4.24</w:t>
            </w:r>
          </w:p>
        </w:tc>
        <w:tc>
          <w:tcPr>
            <w:tcW w:w="1134" w:type="dxa"/>
          </w:tcPr>
          <w:p>
            <w:pPr>
              <w:pStyle w:val="Compact"/>
              <w:spacing w:before="0" w:after="60" w:line="240" w:lineRule="auto"/>
              <w:jc w:val="center"/>
            </w:pPr>
            <w:r>
              <w:rPr>
                <w:sz w:val="18"/>
              </w:rPr>
              <w:t xml:space="preserve">0.939 ± 0.026</w:t>
            </w:r>
          </w:p>
        </w:tc>
        <w:tc>
          <w:tcPr>
            <w:tcW w:w="1134" w:type="dxa"/>
          </w:tcPr>
          <w:p>
            <w:pPr>
              <w:pStyle w:val="Compact"/>
              <w:spacing w:before="0" w:after="60" w:line="240" w:lineRule="auto"/>
              <w:jc w:val="center"/>
            </w:pPr>
            <w:r>
              <w:rPr>
                <w:sz w:val="18"/>
              </w:rPr>
              <w:t xml:space="preserve">95.37 ± 0.80</w:t>
            </w:r>
          </w:p>
        </w:tc>
        <w:tc>
          <w:tcPr>
            <w:tcW w:w="1077" w:type="dxa"/>
          </w:tcPr>
          <w:p>
            <w:pPr>
              <w:pStyle w:val="Compact"/>
              <w:spacing w:before="0" w:after="60" w:line="240" w:lineRule="auto"/>
              <w:jc w:val="center"/>
            </w:pPr>
            <w:r>
              <w:rPr>
                <w:sz w:val="18"/>
              </w:rPr>
              <w:t xml:space="preserve">0.990 ± 0.006</w:t>
            </w:r>
          </w:p>
        </w:tc>
      </w:tr>
      <w:tr>
        <w:trPr>
          <w:cantSplit/>
        </w:trPr>
        <w:tc>
          <w:tcPr>
            <w:tcW w:w="2268" w:type="dxa"/>
          </w:tcPr>
          <w:p>
            <w:pPr>
              <w:pStyle w:val="Compact"/>
              <w:spacing w:before="0" w:after="60" w:line="240" w:lineRule="auto"/>
              <w:jc w:val="left"/>
            </w:pPr>
            <w:r>
              <w:rPr>
                <w:sz w:val="18"/>
              </w:rPr>
              <w:t xml:space="preserve">CAF disabled</w:t>
            </w:r>
          </w:p>
        </w:tc>
        <w:tc>
          <w:tcPr>
            <w:tcW w:w="1162" w:type="dxa"/>
          </w:tcPr>
          <w:p>
            <w:pPr>
              <w:pStyle w:val="Compact"/>
              <w:spacing w:before="0" w:after="60" w:line="240" w:lineRule="auto"/>
              <w:jc w:val="center"/>
            </w:pPr>
            <w:r>
              <w:rPr>
                <w:sz w:val="18"/>
              </w:rPr>
              <w:t xml:space="preserve">63.35 ± 5.33</w:t>
            </w:r>
          </w:p>
        </w:tc>
        <w:tc>
          <w:tcPr>
            <w:tcW w:w="1134" w:type="dxa"/>
          </w:tcPr>
          <w:p>
            <w:pPr>
              <w:pStyle w:val="Compact"/>
              <w:spacing w:before="0" w:after="60" w:line="240" w:lineRule="auto"/>
              <w:jc w:val="center"/>
            </w:pPr>
            <w:r>
              <w:rPr>
                <w:sz w:val="18"/>
              </w:rPr>
              <w:t xml:space="preserve">0.696 ± 0.046</w:t>
            </w:r>
          </w:p>
        </w:tc>
        <w:tc>
          <w:tcPr>
            <w:tcW w:w="1162" w:type="dxa"/>
          </w:tcPr>
          <w:p>
            <w:pPr>
              <w:pStyle w:val="Compact"/>
              <w:spacing w:before="0" w:after="60" w:line="240" w:lineRule="auto"/>
              <w:jc w:val="center"/>
            </w:pPr>
            <w:r>
              <w:rPr>
                <w:sz w:val="18"/>
              </w:rPr>
              <w:t xml:space="preserve">85.65 ± 1.45</w:t>
            </w:r>
          </w:p>
        </w:tc>
        <w:tc>
          <w:tcPr>
            <w:tcW w:w="1134" w:type="dxa"/>
          </w:tcPr>
          <w:p>
            <w:pPr>
              <w:pStyle w:val="Compact"/>
              <w:spacing w:before="0" w:after="60" w:line="240" w:lineRule="auto"/>
              <w:jc w:val="center"/>
            </w:pPr>
            <w:r>
              <w:rPr>
                <w:sz w:val="18"/>
              </w:rPr>
              <w:t xml:space="preserve">0.930 ± 0.034</w:t>
            </w:r>
          </w:p>
        </w:tc>
        <w:tc>
          <w:tcPr>
            <w:tcW w:w="1134" w:type="dxa"/>
          </w:tcPr>
          <w:p>
            <w:pPr>
              <w:pStyle w:val="Compact"/>
              <w:spacing w:before="0" w:after="60" w:line="240" w:lineRule="auto"/>
              <w:jc w:val="center"/>
            </w:pPr>
            <w:r>
              <w:rPr>
                <w:sz w:val="18"/>
              </w:rPr>
              <w:t xml:space="preserve">93.29 ± 3.50</w:t>
            </w:r>
          </w:p>
        </w:tc>
        <w:tc>
          <w:tcPr>
            <w:tcW w:w="1077" w:type="dxa"/>
          </w:tcPr>
          <w:p>
            <w:pPr>
              <w:pStyle w:val="Compact"/>
              <w:spacing w:before="0" w:after="60" w:line="240" w:lineRule="auto"/>
              <w:jc w:val="center"/>
            </w:pPr>
            <w:r>
              <w:rPr>
                <w:sz w:val="18"/>
              </w:rPr>
              <w:t xml:space="preserve">0.985 ± 0.009</w:t>
            </w:r>
          </w:p>
        </w:tc>
      </w:tr>
      <w:tr>
        <w:trPr>
          <w:cantSplit/>
        </w:trPr>
        <w:tc>
          <w:tcPr>
            <w:tcW w:w="2268" w:type="dxa"/>
          </w:tcPr>
          <w:p>
            <w:pPr>
              <w:pStyle w:val="Compact"/>
              <w:spacing w:before="0" w:after="60" w:line="240" w:lineRule="auto"/>
              <w:jc w:val="left"/>
            </w:pPr>
            <w:r>
              <w:rPr>
                <w:sz w:val="18"/>
              </w:rPr>
              <w:t xml:space="preserve">Mean patch token (replaces wavelet token)</w:t>
            </w:r>
          </w:p>
        </w:tc>
        <w:tc>
          <w:tcPr>
            <w:tcW w:w="1162" w:type="dxa"/>
          </w:tcPr>
          <w:p>
            <w:pPr>
              <w:pStyle w:val="Compact"/>
              <w:spacing w:before="0" w:after="60" w:line="240" w:lineRule="auto"/>
              <w:jc w:val="center"/>
            </w:pPr>
            <w:r>
              <w:rPr>
                <w:sz w:val="18"/>
              </w:rPr>
              <w:t xml:space="preserve">57.82 ± 6.27</w:t>
            </w:r>
          </w:p>
        </w:tc>
        <w:tc>
          <w:tcPr>
            <w:tcW w:w="1134" w:type="dxa"/>
          </w:tcPr>
          <w:p>
            <w:pPr>
              <w:pStyle w:val="Compact"/>
              <w:spacing w:before="0" w:after="60" w:line="240" w:lineRule="auto"/>
              <w:jc w:val="center"/>
            </w:pPr>
            <w:r>
              <w:rPr>
                <w:sz w:val="18"/>
              </w:rPr>
              <w:t xml:space="preserve">0.627 ± 0.035</w:t>
            </w:r>
          </w:p>
        </w:tc>
        <w:tc>
          <w:tcPr>
            <w:tcW w:w="1162" w:type="dxa"/>
          </w:tcPr>
          <w:p>
            <w:pPr>
              <w:pStyle w:val="Compact"/>
              <w:spacing w:before="0" w:after="60" w:line="240" w:lineRule="auto"/>
              <w:jc w:val="center"/>
            </w:pPr>
            <w:r>
              <w:rPr>
                <w:sz w:val="18"/>
              </w:rPr>
              <w:t xml:space="preserve">88.66 ± 3.21</w:t>
            </w:r>
          </w:p>
        </w:tc>
        <w:tc>
          <w:tcPr>
            <w:tcW w:w="1134" w:type="dxa"/>
          </w:tcPr>
          <w:p>
            <w:pPr>
              <w:pStyle w:val="Compact"/>
              <w:spacing w:before="0" w:after="60" w:line="240" w:lineRule="auto"/>
              <w:jc w:val="center"/>
            </w:pPr>
            <w:r>
              <w:rPr>
                <w:sz w:val="18"/>
              </w:rPr>
              <w:t xml:space="preserve">0.957 ± 0.021</w:t>
            </w:r>
          </w:p>
        </w:tc>
        <w:tc>
          <w:tcPr>
            <w:tcW w:w="1134" w:type="dxa"/>
          </w:tcPr>
          <w:p>
            <w:pPr>
              <w:pStyle w:val="Compact"/>
              <w:spacing w:before="0" w:after="60" w:line="240" w:lineRule="auto"/>
              <w:jc w:val="center"/>
            </w:pPr>
            <w:r>
              <w:rPr>
                <w:sz w:val="18"/>
              </w:rPr>
              <w:t xml:space="preserve">96.06 ± 2.63</w:t>
            </w:r>
          </w:p>
        </w:tc>
        <w:tc>
          <w:tcPr>
            <w:tcW w:w="1077" w:type="dxa"/>
          </w:tcPr>
          <w:p>
            <w:pPr>
              <w:pStyle w:val="Compact"/>
              <w:spacing w:before="0" w:after="60" w:line="240" w:lineRule="auto"/>
              <w:jc w:val="center"/>
            </w:pPr>
            <w:r>
              <w:rPr>
                <w:sz w:val="18"/>
              </w:rPr>
              <w:t xml:space="preserve">0.987 ± 0.010</w:t>
            </w:r>
          </w:p>
        </w:tc>
      </w:tr>
      <w:tr>
        <w:trPr>
          <w:cantSplit/>
        </w:trPr>
        <w:tc>
          <w:tcPr>
            <w:tcW w:w="2268" w:type="dxa"/>
          </w:tcPr>
          <w:p>
            <w:pPr>
              <w:pStyle w:val="Compact"/>
              <w:spacing w:before="0" w:after="60" w:line="240" w:lineRule="auto"/>
              <w:jc w:val="left"/>
            </w:pPr>
            <w:r>
              <w:rPr>
                <w:sz w:val="18"/>
              </w:rPr>
              <w:t xml:space="preserve">Alternative 2D tokenisation</w:t>
            </w:r>
          </w:p>
        </w:tc>
        <w:tc>
          <w:tcPr>
            <w:tcW w:w="1162" w:type="dxa"/>
          </w:tcPr>
          <w:p>
            <w:pPr>
              <w:pStyle w:val="Compact"/>
              <w:spacing w:before="0" w:after="60" w:line="240" w:lineRule="auto"/>
              <w:jc w:val="center"/>
            </w:pPr>
            <w:r>
              <w:rPr>
                <w:sz w:val="18"/>
              </w:rPr>
              <w:t xml:space="preserve">58.70 ± 3.74</w:t>
            </w:r>
          </w:p>
        </w:tc>
        <w:tc>
          <w:tcPr>
            <w:tcW w:w="1134" w:type="dxa"/>
          </w:tcPr>
          <w:p>
            <w:pPr>
              <w:pStyle w:val="Compact"/>
              <w:spacing w:before="0" w:after="60" w:line="240" w:lineRule="auto"/>
              <w:jc w:val="center"/>
            </w:pPr>
            <w:r>
              <w:rPr>
                <w:sz w:val="18"/>
              </w:rPr>
              <w:t xml:space="preserve">0.711 ± 0.024</w:t>
            </w:r>
          </w:p>
        </w:tc>
        <w:tc>
          <w:tcPr>
            <w:tcW w:w="1162" w:type="dxa"/>
          </w:tcPr>
          <w:p>
            <w:pPr>
              <w:pStyle w:val="Compact"/>
              <w:spacing w:before="0" w:after="60" w:line="240" w:lineRule="auto"/>
              <w:jc w:val="center"/>
            </w:pPr>
            <w:r>
              <w:rPr>
                <w:sz w:val="18"/>
              </w:rPr>
              <w:t xml:space="preserve">90.05 ± 3.56</w:t>
            </w:r>
          </w:p>
        </w:tc>
        <w:tc>
          <w:tcPr>
            <w:tcW w:w="1134" w:type="dxa"/>
          </w:tcPr>
          <w:p>
            <w:pPr>
              <w:pStyle w:val="Compact"/>
              <w:spacing w:before="0" w:after="60" w:line="240" w:lineRule="auto"/>
              <w:jc w:val="center"/>
            </w:pPr>
            <w:r>
              <w:rPr>
                <w:sz w:val="18"/>
              </w:rPr>
              <w:t xml:space="preserve">0.974 ± 0.012</w:t>
            </w:r>
          </w:p>
        </w:tc>
        <w:tc>
          <w:tcPr>
            <w:tcW w:w="1134" w:type="dxa"/>
          </w:tcPr>
          <w:p>
            <w:pPr>
              <w:pStyle w:val="Compact"/>
              <w:spacing w:before="0" w:after="60" w:line="240" w:lineRule="auto"/>
              <w:jc w:val="center"/>
            </w:pPr>
            <w:r>
              <w:rPr>
                <w:sz w:val="18"/>
              </w:rPr>
              <w:t xml:space="preserve">95.14 ± 1.84</w:t>
            </w:r>
          </w:p>
        </w:tc>
        <w:tc>
          <w:tcPr>
            <w:tcW w:w="1077" w:type="dxa"/>
          </w:tcPr>
          <w:p>
            <w:pPr>
              <w:pStyle w:val="Compact"/>
              <w:spacing w:before="0" w:after="60" w:line="240" w:lineRule="auto"/>
              <w:jc w:val="center"/>
            </w:pPr>
            <w:r>
              <w:rPr>
                <w:sz w:val="18"/>
              </w:rPr>
              <w:t xml:space="preserve">0.986 ± 0.017</w:t>
            </w:r>
          </w:p>
        </w:tc>
      </w:tr>
      <w:tr>
        <w:trPr>
          <w:cantSplit/>
        </w:trPr>
        <w:tc>
          <w:tcPr>
            <w:tcW w:w="2268" w:type="dxa"/>
          </w:tcPr>
          <w:p>
            <w:pPr>
              <w:pStyle w:val="Compact"/>
              <w:spacing w:before="0" w:after="60" w:line="240" w:lineRule="auto"/>
              <w:jc w:val="left"/>
            </w:pPr>
            <w:r>
              <w:rPr>
                <w:sz w:val="18"/>
              </w:rPr>
              <w:t xml:space="preserve">Learnable CLS token</w:t>
            </w:r>
          </w:p>
        </w:tc>
        <w:tc>
          <w:tcPr>
            <w:tcW w:w="1162" w:type="dxa"/>
          </w:tcPr>
          <w:p>
            <w:pPr>
              <w:pStyle w:val="Compact"/>
              <w:spacing w:before="0" w:after="60" w:line="240" w:lineRule="auto"/>
              <w:jc w:val="center"/>
            </w:pPr>
            <w:r>
              <w:rPr>
                <w:sz w:val="18"/>
              </w:rPr>
              <w:t xml:space="preserve">57.79 ± 3.94</w:t>
            </w:r>
          </w:p>
        </w:tc>
        <w:tc>
          <w:tcPr>
            <w:tcW w:w="1134" w:type="dxa"/>
          </w:tcPr>
          <w:p>
            <w:pPr>
              <w:pStyle w:val="Compact"/>
              <w:spacing w:before="0" w:after="60" w:line="240" w:lineRule="auto"/>
              <w:jc w:val="center"/>
            </w:pPr>
            <w:r>
              <w:rPr>
                <w:sz w:val="18"/>
              </w:rPr>
              <w:t xml:space="preserve">0.606 ± 0.066</w:t>
            </w:r>
          </w:p>
        </w:tc>
        <w:tc>
          <w:tcPr>
            <w:tcW w:w="1162" w:type="dxa"/>
          </w:tcPr>
          <w:p>
            <w:pPr>
              <w:pStyle w:val="Compact"/>
              <w:spacing w:before="0" w:after="60" w:line="240" w:lineRule="auto"/>
              <w:jc w:val="center"/>
            </w:pPr>
            <w:r>
              <w:rPr>
                <w:sz w:val="18"/>
              </w:rPr>
              <w:t xml:space="preserve">88.19 ± 6.36</w:t>
            </w:r>
          </w:p>
        </w:tc>
        <w:tc>
          <w:tcPr>
            <w:tcW w:w="1134" w:type="dxa"/>
          </w:tcPr>
          <w:p>
            <w:pPr>
              <w:pStyle w:val="Compact"/>
              <w:spacing w:before="0" w:after="60" w:line="240" w:lineRule="auto"/>
              <w:jc w:val="center"/>
            </w:pPr>
            <w:r>
              <w:rPr>
                <w:sz w:val="18"/>
              </w:rPr>
              <w:t xml:space="preserve">0.965 ± 0.022</w:t>
            </w:r>
          </w:p>
        </w:tc>
        <w:tc>
          <w:tcPr>
            <w:tcW w:w="1134" w:type="dxa"/>
          </w:tcPr>
          <w:p>
            <w:pPr>
              <w:pStyle w:val="Compact"/>
              <w:spacing w:before="0" w:after="60" w:line="240" w:lineRule="auto"/>
              <w:jc w:val="center"/>
            </w:pPr>
            <w:r>
              <w:rPr>
                <w:sz w:val="18"/>
              </w:rPr>
              <w:t xml:space="preserve">97.45 ± 1.06</w:t>
            </w:r>
          </w:p>
        </w:tc>
        <w:tc>
          <w:tcPr>
            <w:tcW w:w="1077" w:type="dxa"/>
          </w:tcPr>
          <w:p>
            <w:pPr>
              <w:pStyle w:val="Compact"/>
              <w:spacing w:before="0" w:after="60" w:line="240" w:lineRule="auto"/>
              <w:jc w:val="center"/>
            </w:pPr>
            <w:r>
              <w:rPr>
                <w:sz w:val="18"/>
              </w:rPr>
              <w:t xml:space="preserve">0.996 ± 0.003</w:t>
            </w:r>
          </w:p>
        </w:tc>
      </w:tr>
      <w:tr>
        <w:trPr>
          <w:cantSplit/>
        </w:trPr>
        <w:tc>
          <w:tcPr>
            <w:tcW w:w="2268" w:type="dxa"/>
          </w:tcPr>
          <w:p>
            <w:pPr>
              <w:pStyle w:val="Compact"/>
              <w:spacing w:before="0" w:after="60" w:line="240" w:lineRule="auto"/>
              <w:jc w:val="left"/>
            </w:pPr>
            <w:r>
              <w:rPr>
                <w:sz w:val="18"/>
              </w:rPr>
              <w:t xml:space="preserve">Plain multimodal</w:t>
            </w:r>
          </w:p>
        </w:tc>
        <w:tc>
          <w:tcPr>
            <w:tcW w:w="1162" w:type="dxa"/>
          </w:tcPr>
          <w:p>
            <w:pPr>
              <w:pStyle w:val="Compact"/>
              <w:spacing w:before="0" w:after="60" w:line="240" w:lineRule="auto"/>
              <w:jc w:val="center"/>
            </w:pPr>
            <w:r>
              <w:rPr>
                <w:sz w:val="18"/>
              </w:rPr>
              <w:t xml:space="preserve">53.74 ± 4.89</w:t>
            </w:r>
          </w:p>
        </w:tc>
        <w:tc>
          <w:tcPr>
            <w:tcW w:w="1134" w:type="dxa"/>
          </w:tcPr>
          <w:p>
            <w:pPr>
              <w:pStyle w:val="Compact"/>
              <w:spacing w:before="0" w:after="60" w:line="240" w:lineRule="auto"/>
              <w:jc w:val="center"/>
            </w:pPr>
            <w:r>
              <w:rPr>
                <w:sz w:val="18"/>
              </w:rPr>
              <w:t xml:space="preserve">0.541 ± 0.041</w:t>
            </w:r>
          </w:p>
        </w:tc>
        <w:tc>
          <w:tcPr>
            <w:tcW w:w="1162" w:type="dxa"/>
          </w:tcPr>
          <w:p>
            <w:pPr>
              <w:pStyle w:val="Compact"/>
              <w:spacing w:before="0" w:after="60" w:line="240" w:lineRule="auto"/>
              <w:jc w:val="center"/>
            </w:pPr>
            <w:r>
              <w:rPr>
                <w:sz w:val="18"/>
              </w:rPr>
              <w:t xml:space="preserve">92.36 ± 3.18</w:t>
            </w:r>
          </w:p>
        </w:tc>
        <w:tc>
          <w:tcPr>
            <w:tcW w:w="1134" w:type="dxa"/>
          </w:tcPr>
          <w:p>
            <w:pPr>
              <w:pStyle w:val="Compact"/>
              <w:spacing w:before="0" w:after="60" w:line="240" w:lineRule="auto"/>
              <w:jc w:val="center"/>
            </w:pPr>
            <w:r>
              <w:rPr>
                <w:sz w:val="18"/>
              </w:rPr>
              <w:t xml:space="preserve">0.971 ± 0.013</w:t>
            </w:r>
          </w:p>
        </w:tc>
        <w:tc>
          <w:tcPr>
            <w:tcW w:w="1134" w:type="dxa"/>
          </w:tcPr>
          <w:p>
            <w:pPr>
              <w:pStyle w:val="Compact"/>
              <w:spacing w:before="0" w:after="60" w:line="240" w:lineRule="auto"/>
              <w:jc w:val="center"/>
            </w:pPr>
            <w:r>
              <w:rPr>
                <w:sz w:val="18"/>
              </w:rPr>
              <w:t xml:space="preserve">93.75 ± 4.34</w:t>
            </w:r>
          </w:p>
        </w:tc>
        <w:tc>
          <w:tcPr>
            <w:tcW w:w="1077" w:type="dxa"/>
          </w:tcPr>
          <w:p>
            <w:pPr>
              <w:pStyle w:val="Compact"/>
              <w:spacing w:before="0" w:after="60" w:line="240" w:lineRule="auto"/>
              <w:jc w:val="center"/>
            </w:pPr>
            <w:r>
              <w:rPr>
                <w:sz w:val="18"/>
              </w:rPr>
              <w:t xml:space="preserve">0.984 ± 0.007</w:t>
            </w:r>
          </w:p>
        </w:tc>
      </w:tr>
      <w:tr>
        <w:trPr>
          <w:cantSplit/>
        </w:trPr>
        <w:tc>
          <w:tcPr>
            <w:tcW w:w="2268" w:type="dxa"/>
          </w:tcPr>
          <w:p>
            <w:pPr>
              <w:pStyle w:val="Compact"/>
              <w:spacing w:before="0" w:after="60" w:line="240" w:lineRule="auto"/>
              <w:jc w:val="left"/>
            </w:pPr>
            <w:r>
              <w:rPr>
                <w:sz w:val="18"/>
              </w:rPr>
              <w:t xml:space="preserve">Simple multimodal</w:t>
            </w:r>
          </w:p>
        </w:tc>
        <w:tc>
          <w:tcPr>
            <w:tcW w:w="1162" w:type="dxa"/>
          </w:tcPr>
          <w:p>
            <w:pPr>
              <w:pStyle w:val="Compact"/>
              <w:spacing w:before="0" w:after="60" w:line="240" w:lineRule="auto"/>
              <w:jc w:val="center"/>
            </w:pPr>
            <w:r>
              <w:rPr>
                <w:sz w:val="18"/>
              </w:rPr>
              <w:t xml:space="preserve">56.70 ± 5.23</w:t>
            </w:r>
          </w:p>
        </w:tc>
        <w:tc>
          <w:tcPr>
            <w:tcW w:w="1134" w:type="dxa"/>
          </w:tcPr>
          <w:p>
            <w:pPr>
              <w:pStyle w:val="Compact"/>
              <w:spacing w:before="0" w:after="60" w:line="240" w:lineRule="auto"/>
              <w:jc w:val="center"/>
            </w:pPr>
            <w:r>
              <w:rPr>
                <w:sz w:val="18"/>
              </w:rPr>
              <w:t xml:space="preserve">0.554 ± 0.038</w:t>
            </w:r>
          </w:p>
        </w:tc>
        <w:tc>
          <w:tcPr>
            <w:tcW w:w="1162" w:type="dxa"/>
          </w:tcPr>
          <w:p>
            <w:pPr>
              <w:pStyle w:val="Compact"/>
              <w:spacing w:before="0" w:after="60" w:line="240" w:lineRule="auto"/>
              <w:jc w:val="center"/>
            </w:pPr>
            <w:r>
              <w:rPr>
                <w:sz w:val="18"/>
              </w:rPr>
              <w:t xml:space="preserve">88.66 ± 3.82</w:t>
            </w:r>
          </w:p>
        </w:tc>
        <w:tc>
          <w:tcPr>
            <w:tcW w:w="1134" w:type="dxa"/>
          </w:tcPr>
          <w:p>
            <w:pPr>
              <w:pStyle w:val="Compact"/>
              <w:spacing w:before="0" w:after="60" w:line="240" w:lineRule="auto"/>
              <w:jc w:val="center"/>
            </w:pPr>
            <w:r>
              <w:rPr>
                <w:sz w:val="18"/>
              </w:rPr>
              <w:t xml:space="preserve">0.966 ± 0.013</w:t>
            </w:r>
          </w:p>
        </w:tc>
        <w:tc>
          <w:tcPr>
            <w:tcW w:w="1134" w:type="dxa"/>
          </w:tcPr>
          <w:p>
            <w:pPr>
              <w:pStyle w:val="Compact"/>
              <w:spacing w:before="0" w:after="60" w:line="240" w:lineRule="auto"/>
              <w:jc w:val="center"/>
            </w:pPr>
            <w:r>
              <w:rPr>
                <w:sz w:val="18"/>
              </w:rPr>
              <w:t xml:space="preserve">96.30 ± 2.81</w:t>
            </w:r>
          </w:p>
        </w:tc>
        <w:tc>
          <w:tcPr>
            <w:tcW w:w="1077" w:type="dxa"/>
          </w:tcPr>
          <w:p>
            <w:pPr>
              <w:pStyle w:val="Compact"/>
              <w:spacing w:before="0" w:after="60" w:line="240" w:lineRule="auto"/>
              <w:jc w:val="center"/>
            </w:pPr>
            <w:r>
              <w:rPr>
                <w:sz w:val="18"/>
              </w:rPr>
              <w:t xml:space="preserve">0.996 ± 0.004</w:t>
            </w:r>
          </w:p>
        </w:tc>
      </w:tr>
      <w:tr>
        <w:trPr>
          <w:cantSplit/>
        </w:trPr>
        <w:tc>
          <w:tcPr>
            <w:tcW w:w="2268" w:type="dxa"/>
          </w:tcPr>
          <w:p>
            <w:pPr>
              <w:pStyle w:val="Compact"/>
              <w:spacing w:before="0" w:after="60" w:line="240" w:lineRule="auto"/>
              <w:jc w:val="left"/>
            </w:pPr>
            <w:r>
              <w:rPr>
                <w:sz w:val="18"/>
              </w:rPr>
              <w:t xml:space="preserve">RGB ResNet18</w:t>
            </w:r>
          </w:p>
        </w:tc>
        <w:tc>
          <w:tcPr>
            <w:tcW w:w="1162" w:type="dxa"/>
          </w:tcPr>
          <w:p>
            <w:pPr>
              <w:pStyle w:val="Compact"/>
              <w:spacing w:before="0" w:after="60" w:line="240" w:lineRule="auto"/>
              <w:jc w:val="center"/>
            </w:pPr>
            <w:r>
              <w:rPr>
                <w:sz w:val="18"/>
              </w:rPr>
              <w:t xml:space="preserve">50.69 ± 3.61</w:t>
            </w:r>
          </w:p>
        </w:tc>
        <w:tc>
          <w:tcPr>
            <w:tcW w:w="1134" w:type="dxa"/>
          </w:tcPr>
          <w:p>
            <w:pPr>
              <w:pStyle w:val="Compact"/>
              <w:spacing w:before="0" w:after="60" w:line="240" w:lineRule="auto"/>
              <w:jc w:val="center"/>
            </w:pPr>
            <w:r>
              <w:rPr>
                <w:sz w:val="18"/>
              </w:rPr>
              <w:t xml:space="preserve">0.531 ± 0.047</w:t>
            </w:r>
          </w:p>
        </w:tc>
        <w:tc>
          <w:tcPr>
            <w:tcW w:w="1162" w:type="dxa"/>
          </w:tcPr>
          <w:p>
            <w:pPr>
              <w:pStyle w:val="Compact"/>
              <w:spacing w:before="0" w:after="60" w:line="240" w:lineRule="auto"/>
              <w:jc w:val="center"/>
            </w:pPr>
            <w:r>
              <w:rPr>
                <w:sz w:val="18"/>
              </w:rPr>
              <w:t xml:space="preserve">90.28 ± 5.42</w:t>
            </w:r>
          </w:p>
        </w:tc>
        <w:tc>
          <w:tcPr>
            <w:tcW w:w="1134" w:type="dxa"/>
          </w:tcPr>
          <w:p>
            <w:pPr>
              <w:pStyle w:val="Compact"/>
              <w:spacing w:before="0" w:after="60" w:line="240" w:lineRule="auto"/>
              <w:jc w:val="center"/>
            </w:pPr>
            <w:r>
              <w:rPr>
                <w:sz w:val="18"/>
              </w:rPr>
              <w:t xml:space="preserve">0.972 ± 0.022</w:t>
            </w:r>
          </w:p>
        </w:tc>
        <w:tc>
          <w:tcPr>
            <w:tcW w:w="1134" w:type="dxa"/>
          </w:tcPr>
          <w:p>
            <w:pPr>
              <w:pStyle w:val="Compact"/>
              <w:spacing w:before="0" w:after="60" w:line="240" w:lineRule="auto"/>
              <w:jc w:val="center"/>
            </w:pPr>
            <w:r>
              <w:rPr>
                <w:sz w:val="18"/>
              </w:rPr>
              <w:t xml:space="preserve">95.14 ± 1.84</w:t>
            </w:r>
          </w:p>
        </w:tc>
        <w:tc>
          <w:tcPr>
            <w:tcW w:w="1077" w:type="dxa"/>
          </w:tcPr>
          <w:p>
            <w:pPr>
              <w:pStyle w:val="Compact"/>
              <w:spacing w:before="0" w:after="60" w:line="240" w:lineRule="auto"/>
              <w:jc w:val="center"/>
            </w:pPr>
            <w:r>
              <w:rPr>
                <w:sz w:val="18"/>
              </w:rPr>
              <w:t xml:space="preserve">0.994 ± 0.003</w:t>
            </w:r>
          </w:p>
        </w:tc>
      </w:tr>
      <w:tr>
        <w:trPr>
          <w:cantSplit/>
        </w:trPr>
        <w:tc>
          <w:tcPr>
            <w:tcW w:w="2268" w:type="dxa"/>
          </w:tcPr>
          <w:p>
            <w:pPr>
              <w:pStyle w:val="Compact"/>
              <w:spacing w:before="0" w:after="60" w:line="240" w:lineRule="auto"/>
              <w:jc w:val="left"/>
            </w:pPr>
            <w:r>
              <w:rPr>
                <w:sz w:val="18"/>
              </w:rPr>
              <w:t xml:space="preserve">RGB ResNet34</w:t>
            </w:r>
          </w:p>
        </w:tc>
        <w:tc>
          <w:tcPr>
            <w:tcW w:w="1162" w:type="dxa"/>
          </w:tcPr>
          <w:p>
            <w:pPr>
              <w:pStyle w:val="Compact"/>
              <w:spacing w:before="0" w:after="60" w:line="240" w:lineRule="auto"/>
              <w:jc w:val="center"/>
            </w:pPr>
            <w:r>
              <w:rPr>
                <w:sz w:val="18"/>
              </w:rPr>
              <w:t xml:space="preserve">52.63 ± 3.96</w:t>
            </w:r>
          </w:p>
        </w:tc>
        <w:tc>
          <w:tcPr>
            <w:tcW w:w="1134" w:type="dxa"/>
          </w:tcPr>
          <w:p>
            <w:pPr>
              <w:pStyle w:val="Compact"/>
              <w:spacing w:before="0" w:after="60" w:line="240" w:lineRule="auto"/>
              <w:jc w:val="center"/>
            </w:pPr>
            <w:r>
              <w:rPr>
                <w:sz w:val="18"/>
              </w:rPr>
              <w:t xml:space="preserve">0.509 ± 0.057</w:t>
            </w:r>
          </w:p>
        </w:tc>
        <w:tc>
          <w:tcPr>
            <w:tcW w:w="1162" w:type="dxa"/>
          </w:tcPr>
          <w:p>
            <w:pPr>
              <w:pStyle w:val="Compact"/>
              <w:spacing w:before="0" w:after="60" w:line="240" w:lineRule="auto"/>
              <w:jc w:val="center"/>
            </w:pPr>
            <w:r>
              <w:rPr>
                <w:sz w:val="18"/>
              </w:rPr>
              <w:t xml:space="preserve">87.96 ± 3.43</w:t>
            </w:r>
          </w:p>
        </w:tc>
        <w:tc>
          <w:tcPr>
            <w:tcW w:w="1134" w:type="dxa"/>
          </w:tcPr>
          <w:p>
            <w:pPr>
              <w:pStyle w:val="Compact"/>
              <w:spacing w:before="0" w:after="60" w:line="240" w:lineRule="auto"/>
              <w:jc w:val="center"/>
            </w:pPr>
            <w:r>
              <w:rPr>
                <w:sz w:val="18"/>
              </w:rPr>
              <w:t xml:space="preserve">0.970 ± 0.011</w:t>
            </w:r>
          </w:p>
        </w:tc>
        <w:tc>
          <w:tcPr>
            <w:tcW w:w="1134" w:type="dxa"/>
          </w:tcPr>
          <w:p>
            <w:pPr>
              <w:pStyle w:val="Compact"/>
              <w:spacing w:before="0" w:after="60" w:line="240" w:lineRule="auto"/>
              <w:jc w:val="center"/>
            </w:pPr>
            <w:r>
              <w:rPr>
                <w:sz w:val="18"/>
              </w:rPr>
              <w:t xml:space="preserve">91.20 ± 1.45</w:t>
            </w:r>
          </w:p>
        </w:tc>
        <w:tc>
          <w:tcPr>
            <w:tcW w:w="1077" w:type="dxa"/>
          </w:tcPr>
          <w:p>
            <w:pPr>
              <w:pStyle w:val="Compact"/>
              <w:spacing w:before="0" w:after="60" w:line="240" w:lineRule="auto"/>
              <w:jc w:val="center"/>
            </w:pPr>
            <w:r>
              <w:rPr>
                <w:sz w:val="18"/>
              </w:rPr>
              <w:t xml:space="preserve">0.984 ± 0.004</w:t>
            </w:r>
          </w:p>
        </w:tc>
      </w:tr>
      <w:tr>
        <w:trPr>
          <w:cantSplit/>
        </w:trPr>
        <w:tc>
          <w:tcPr>
            <w:tcW w:w="2268" w:type="dxa"/>
          </w:tcPr>
          <w:p>
            <w:pPr>
              <w:pStyle w:val="Compact"/>
              <w:spacing w:before="0" w:after="60" w:line="240" w:lineRule="auto"/>
              <w:jc w:val="left"/>
            </w:pPr>
            <w:r>
              <w:rPr>
                <w:sz w:val="18"/>
              </w:rPr>
              <w:t xml:space="preserve">HSI Transformer</w:t>
            </w:r>
          </w:p>
        </w:tc>
        <w:tc>
          <w:tcPr>
            <w:tcW w:w="1162" w:type="dxa"/>
          </w:tcPr>
          <w:p>
            <w:pPr>
              <w:pStyle w:val="Compact"/>
              <w:spacing w:before="0" w:after="60" w:line="240" w:lineRule="auto"/>
              <w:jc w:val="center"/>
            </w:pPr>
            <w:r>
              <w:rPr>
                <w:sz w:val="18"/>
              </w:rPr>
              <w:t xml:space="preserve">76.15 ± 6.46</w:t>
            </w:r>
          </w:p>
        </w:tc>
        <w:tc>
          <w:tcPr>
            <w:tcW w:w="1134" w:type="dxa"/>
          </w:tcPr>
          <w:p>
            <w:pPr>
              <w:pStyle w:val="Compact"/>
              <w:spacing w:before="0" w:after="60" w:line="240" w:lineRule="auto"/>
              <w:jc w:val="center"/>
            </w:pPr>
            <w:r>
              <w:rPr>
                <w:sz w:val="18"/>
              </w:rPr>
              <w:t xml:space="preserve">0.850 ± 0.081</w:t>
            </w:r>
          </w:p>
        </w:tc>
        <w:tc>
          <w:tcPr>
            <w:tcW w:w="1162" w:type="dxa"/>
          </w:tcPr>
          <w:p>
            <w:pPr>
              <w:pStyle w:val="Compact"/>
              <w:spacing w:before="0" w:after="60" w:line="240" w:lineRule="auto"/>
              <w:jc w:val="center"/>
            </w:pPr>
            <w:r>
              <w:rPr>
                <w:sz w:val="18"/>
              </w:rPr>
              <w:t xml:space="preserve">58.80 ± 7.90</w:t>
            </w:r>
          </w:p>
        </w:tc>
        <w:tc>
          <w:tcPr>
            <w:tcW w:w="1134" w:type="dxa"/>
          </w:tcPr>
          <w:p>
            <w:pPr>
              <w:pStyle w:val="Compact"/>
              <w:spacing w:before="0" w:after="60" w:line="240" w:lineRule="auto"/>
              <w:jc w:val="center"/>
            </w:pPr>
            <w:r>
              <w:rPr>
                <w:sz w:val="18"/>
              </w:rPr>
              <w:t xml:space="preserve">0.637 ± 0.081</w:t>
            </w:r>
          </w:p>
        </w:tc>
        <w:tc>
          <w:tcPr>
            <w:tcW w:w="1134" w:type="dxa"/>
          </w:tcPr>
          <w:p>
            <w:pPr>
              <w:pStyle w:val="Compact"/>
              <w:spacing w:before="0" w:after="60" w:line="240" w:lineRule="auto"/>
              <w:jc w:val="center"/>
            </w:pPr>
            <w:r>
              <w:rPr>
                <w:sz w:val="18"/>
              </w:rPr>
              <w:t xml:space="preserve">54.17 ± 5.01</w:t>
            </w:r>
          </w:p>
        </w:tc>
        <w:tc>
          <w:tcPr>
            <w:tcW w:w="1077" w:type="dxa"/>
          </w:tcPr>
          <w:p>
            <w:pPr>
              <w:pStyle w:val="Compact"/>
              <w:spacing w:before="0" w:after="60" w:line="240" w:lineRule="auto"/>
              <w:jc w:val="center"/>
            </w:pPr>
            <w:r>
              <w:rPr>
                <w:sz w:val="18"/>
              </w:rPr>
              <w:t xml:space="preserve">0.582 ± 0.053</w:t>
            </w:r>
          </w:p>
        </w:tc>
      </w:tr>
      <w:tr>
        <w:trPr>
          <w:cantSplit/>
        </w:trPr>
        <w:tc>
          <w:tcPr>
            <w:tcW w:w="2268" w:type="dxa"/>
          </w:tcPr>
          <w:p>
            <w:pPr>
              <w:pStyle w:val="Compact"/>
              <w:spacing w:before="0" w:after="60" w:line="240" w:lineRule="auto"/>
              <w:jc w:val="left"/>
            </w:pPr>
            <w:r>
              <w:rPr>
                <w:sz w:val="18"/>
              </w:rPr>
              <w:t xml:space="preserve">Spectral 1D CNN</w:t>
            </w:r>
          </w:p>
        </w:tc>
        <w:tc>
          <w:tcPr>
            <w:tcW w:w="1162" w:type="dxa"/>
          </w:tcPr>
          <w:p>
            <w:pPr>
              <w:pStyle w:val="Compact"/>
              <w:spacing w:before="0" w:after="60" w:line="240" w:lineRule="auto"/>
              <w:jc w:val="center"/>
            </w:pPr>
            <w:r>
              <w:rPr>
                <w:sz w:val="18"/>
              </w:rPr>
              <w:t xml:space="preserve">54.80 ± 8.32</w:t>
            </w:r>
          </w:p>
        </w:tc>
        <w:tc>
          <w:tcPr>
            <w:tcW w:w="1134" w:type="dxa"/>
          </w:tcPr>
          <w:p>
            <w:pPr>
              <w:pStyle w:val="Compact"/>
              <w:spacing w:before="0" w:after="60" w:line="240" w:lineRule="auto"/>
              <w:jc w:val="center"/>
            </w:pPr>
            <w:r>
              <w:rPr>
                <w:sz w:val="18"/>
              </w:rPr>
              <w:t xml:space="preserve">0.654 ± 0.066</w:t>
            </w:r>
          </w:p>
        </w:tc>
        <w:tc>
          <w:tcPr>
            <w:tcW w:w="1162" w:type="dxa"/>
          </w:tcPr>
          <w:p>
            <w:pPr>
              <w:pStyle w:val="Compact"/>
              <w:spacing w:before="0" w:after="60" w:line="240" w:lineRule="auto"/>
              <w:jc w:val="center"/>
            </w:pPr>
            <w:r>
              <w:rPr>
                <w:sz w:val="18"/>
              </w:rPr>
              <w:t xml:space="preserve">50.00 ± 1.39</w:t>
            </w:r>
          </w:p>
        </w:tc>
        <w:tc>
          <w:tcPr>
            <w:tcW w:w="1134" w:type="dxa"/>
          </w:tcPr>
          <w:p>
            <w:pPr>
              <w:pStyle w:val="Compact"/>
              <w:spacing w:before="0" w:after="60" w:line="240" w:lineRule="auto"/>
              <w:jc w:val="center"/>
            </w:pPr>
            <w:r>
              <w:rPr>
                <w:sz w:val="18"/>
              </w:rPr>
              <w:t xml:space="preserve">0.585 ± 0.017</w:t>
            </w:r>
          </w:p>
        </w:tc>
        <w:tc>
          <w:tcPr>
            <w:tcW w:w="1134" w:type="dxa"/>
          </w:tcPr>
          <w:p>
            <w:pPr>
              <w:pStyle w:val="Compact"/>
              <w:spacing w:before="0" w:after="60" w:line="240" w:lineRule="auto"/>
              <w:jc w:val="center"/>
            </w:pPr>
            <w:r>
              <w:rPr>
                <w:sz w:val="18"/>
              </w:rPr>
              <w:t xml:space="preserve">50.23 ± 0.40</w:t>
            </w:r>
          </w:p>
        </w:tc>
        <w:tc>
          <w:tcPr>
            <w:tcW w:w="1077" w:type="dxa"/>
          </w:tcPr>
          <w:p>
            <w:pPr>
              <w:pStyle w:val="Compact"/>
              <w:spacing w:before="0" w:after="60" w:line="240" w:lineRule="auto"/>
              <w:jc w:val="center"/>
            </w:pPr>
            <w:r>
              <w:rPr>
                <w:sz w:val="18"/>
              </w:rPr>
              <w:t xml:space="preserve">0.496 ± 0.009</w:t>
            </w:r>
          </w:p>
        </w:tc>
      </w:tr>
      <w:tr>
        <w:trPr>
          <w:cantSplit/>
        </w:trPr>
        <w:tc>
          <w:tcPr>
            <w:tcW w:w="2268" w:type="dxa"/>
          </w:tcPr>
          <w:p>
            <w:pPr>
              <w:pStyle w:val="Compact"/>
              <w:spacing w:before="0" w:after="60" w:line="240" w:lineRule="auto"/>
              <w:jc w:val="left"/>
            </w:pPr>
            <w:r>
              <w:rPr>
                <w:sz w:val="18"/>
              </w:rPr>
              <w:t xml:space="preserve">Compact 3D CNN</w:t>
            </w:r>
          </w:p>
        </w:tc>
        <w:tc>
          <w:tcPr>
            <w:tcW w:w="1162" w:type="dxa"/>
          </w:tcPr>
          <w:p>
            <w:pPr>
              <w:pStyle w:val="Compact"/>
              <w:spacing w:before="0" w:after="60" w:line="240" w:lineRule="auto"/>
              <w:jc w:val="center"/>
            </w:pPr>
            <w:r>
              <w:rPr>
                <w:sz w:val="18"/>
              </w:rPr>
              <w:t xml:space="preserve">86.05 ± 3.68</w:t>
            </w:r>
          </w:p>
        </w:tc>
        <w:tc>
          <w:tcPr>
            <w:tcW w:w="1134" w:type="dxa"/>
          </w:tcPr>
          <w:p>
            <w:pPr>
              <w:pStyle w:val="Compact"/>
              <w:spacing w:before="0" w:after="60" w:line="240" w:lineRule="auto"/>
              <w:jc w:val="center"/>
            </w:pPr>
            <w:r>
              <w:rPr>
                <w:sz w:val="18"/>
              </w:rPr>
              <w:t xml:space="preserve">0.916 ± 0.012</w:t>
            </w:r>
          </w:p>
        </w:tc>
        <w:tc>
          <w:tcPr>
            <w:tcW w:w="1162" w:type="dxa"/>
          </w:tcPr>
          <w:p>
            <w:pPr>
              <w:pStyle w:val="Compact"/>
              <w:spacing w:before="0" w:after="60" w:line="240" w:lineRule="auto"/>
              <w:jc w:val="center"/>
            </w:pPr>
            <w:r>
              <w:rPr>
                <w:sz w:val="18"/>
              </w:rPr>
              <w:t xml:space="preserve">58.56 ± 1.06</w:t>
            </w:r>
          </w:p>
        </w:tc>
        <w:tc>
          <w:tcPr>
            <w:tcW w:w="1134" w:type="dxa"/>
          </w:tcPr>
          <w:p>
            <w:pPr>
              <w:pStyle w:val="Compact"/>
              <w:spacing w:before="0" w:after="60" w:line="240" w:lineRule="auto"/>
              <w:jc w:val="center"/>
            </w:pPr>
            <w:r>
              <w:rPr>
                <w:sz w:val="18"/>
              </w:rPr>
              <w:t xml:space="preserve">0.656 ± 0.014</w:t>
            </w:r>
          </w:p>
        </w:tc>
        <w:tc>
          <w:tcPr>
            <w:tcW w:w="1134" w:type="dxa"/>
          </w:tcPr>
          <w:p>
            <w:pPr>
              <w:pStyle w:val="Compact"/>
              <w:spacing w:before="0" w:after="60" w:line="240" w:lineRule="auto"/>
              <w:jc w:val="center"/>
            </w:pPr>
            <w:r>
              <w:rPr>
                <w:sz w:val="18"/>
              </w:rPr>
              <w:t xml:space="preserve">50.00 ± 0.00</w:t>
            </w:r>
          </w:p>
        </w:tc>
        <w:tc>
          <w:tcPr>
            <w:tcW w:w="1077" w:type="dxa"/>
          </w:tcPr>
          <w:p>
            <w:pPr>
              <w:pStyle w:val="Compact"/>
              <w:spacing w:before="0" w:after="60" w:line="240" w:lineRule="auto"/>
              <w:jc w:val="center"/>
            </w:pPr>
            <w:r>
              <w:rPr>
                <w:sz w:val="18"/>
              </w:rPr>
              <w:t xml:space="preserve">0.594 ± 0.004</w:t>
            </w:r>
          </w:p>
        </w:tc>
      </w:tr>
    </w:tbl>
    <w:bookmarkEnd w:id="58"/>
    <w:bookmarkStart w:id="59" w:name="effect-of-including-the-6-dpi-time-point"/>
    <w:p>
      <w:pPr>
        <w:pStyle w:val="Heading2"/>
      </w:pPr>
      <w:r>
        <w:rPr>
          <w:rStyle w:val="SectionNumber"/>
        </w:rPr>
        <w:t xml:space="preserve">3.5</w:t>
      </w:r>
      <w:r>
        <w:rPr/>
        <w:tab/>
      </w:r>
      <w:r>
        <w:rPr/>
        <w:t xml:space="preserve">Effect of including the 6 dpi time point</w:t>
      </w:r>
    </w:p>
    <w:p>
      <w:pPr>
        <w:pStyle w:val="FirstParagraph"/>
      </w:pPr>
      <w:r>
        <w:rPr/>
        <w:t xml:space="preserve">Pooling all dates, and thereby including 6 dpi observations from a later infection stage, produced much higher scores than the presymptomatic-only tasks (Table 8). For seed 157, PSNet reached 93.75% accuracy and an AUROC of 0.980 with all dates pooled, but 71.88% accuracy and an AUROC of 0.753 when 6 dpi was excluded. Across the three seeds, the joint 2+4 dpi task gave 78.47 ± 5.92% accuracy, only a few points above the 75.00% majority-class rate. Accuracy on a pooled task that includes 6 dpi samples is therefore not a measure of presymptomatic detection. The pooled result is available for one seed only, so no between-seed SD can be given.</w:t>
      </w:r>
    </w:p>
    <w:p>
      <w:pPr>
        <w:pStyle w:val="TableCaption"/>
      </w:pPr>
      <w:r>
        <w:rPr>
          <w:bCs/>
          <w:b/>
        </w:rPr>
        <w:t xml:space="preserve">Table 8.</w:t>
      </w:r>
      <w:r>
        <w:rPr/>
        <w:t xml:space="preserve"> </w:t>
      </w:r>
      <w:r>
        <w:rPr/>
        <w:t xml:space="preserve">Effect of including the 6 dpi time point (later infection stage) on PSNet performance. Seed 157 values are from one complete five-fold run; between-seed SD is unavailable for the pooled task.</w:t>
      </w:r>
    </w:p>
    <w:tbl>
      <w:tblPr>
        <w:tblCaption w:val="Table 8. Effect of including the 6 dpi time point (later infection stage) on PSNet performance. Seed 157 values are from one complete five-fold run; between-seed SD is unavailable for the pooled task."/>
        <w:tblW w:w="907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3742"/>
        <w:gridCol w:w="1361"/>
        <w:gridCol w:w="1361"/>
        <w:gridCol w:w="1304"/>
        <w:gridCol w:w="1304"/>
      </w:tblGrid>
      <w:tr>
        <w:trPr>
          <w:tblHeader w:val="true"/>
          <w:cantSplit/>
          <w:tblHeader/>
        </w:trPr>
        <w:tc>
          <w:tcPr>
            <w:tcW w:w="3742" w:type="dxa"/>
            <w:tcBorders>
              <w:bottom w:val="single" w:sz="5" w:space="0" w:color="000000"/>
            </w:tcBorders>
            <w:vAlign w:val="center"/>
          </w:tcPr>
          <w:p>
            <w:pPr>
              <w:pStyle w:val="Compact"/>
              <w:spacing w:before="0" w:after="60" w:line="240" w:lineRule="auto"/>
              <w:jc w:val="left"/>
            </w:pPr>
            <w:r>
              <w:rPr>
                <w:b/>
                <w:sz w:val="18"/>
              </w:rPr>
              <w:t xml:space="preserve">Task</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304"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304" w:type="dxa"/>
            <w:tcBorders>
              <w:bottom w:val="single" w:sz="5" w:space="0" w:color="000000"/>
            </w:tcBorders>
            <w:vAlign w:val="center"/>
          </w:tcPr>
          <w:p>
            <w:pPr>
              <w:pStyle w:val="Compact"/>
              <w:spacing w:before="0" w:after="60" w:line="240" w:lineRule="auto"/>
              <w:jc w:val="center"/>
            </w:pPr>
            <w:r>
              <w:rPr>
                <w:b/>
                <w:sz w:val="18"/>
              </w:rPr>
              <w:t xml:space="preserve">F1</w:t>
            </w:r>
          </w:p>
        </w:tc>
      </w:tr>
      <w:tr>
        <w:trPr>
          <w:cantSplit/>
        </w:trPr>
        <w:tc>
          <w:tcPr>
            <w:tcW w:w="3742" w:type="dxa"/>
          </w:tcPr>
          <w:p>
            <w:pPr>
              <w:pStyle w:val="Compact"/>
              <w:spacing w:before="0" w:after="60" w:line="240" w:lineRule="auto"/>
              <w:jc w:val="left"/>
            </w:pPr>
            <w:r>
              <w:rPr>
                <w:sz w:val="18"/>
              </w:rPr>
              <w:t xml:space="preserve">All dates pooled, includes 6 dpi (seed 157)</w:t>
            </w:r>
          </w:p>
        </w:tc>
        <w:tc>
          <w:tcPr>
            <w:tcW w:w="1361" w:type="dxa"/>
          </w:tcPr>
          <w:p>
            <w:pPr>
              <w:pStyle w:val="Compact"/>
              <w:spacing w:before="0" w:after="60" w:line="240" w:lineRule="auto"/>
              <w:jc w:val="center"/>
            </w:pPr>
            <w:r>
              <w:rPr>
                <w:sz w:val="18"/>
              </w:rPr>
              <w:t xml:space="preserve">93.75</w:t>
            </w:r>
          </w:p>
        </w:tc>
        <w:tc>
          <w:tcPr>
            <w:tcW w:w="1361" w:type="dxa"/>
          </w:tcPr>
          <w:p>
            <w:pPr>
              <w:pStyle w:val="Compact"/>
              <w:spacing w:before="0" w:after="60" w:line="240" w:lineRule="auto"/>
              <w:jc w:val="center"/>
            </w:pPr>
            <w:r>
              <w:rPr>
                <w:sz w:val="18"/>
              </w:rPr>
              <w:t xml:space="preserve">93.06</w:t>
            </w:r>
          </w:p>
        </w:tc>
        <w:tc>
          <w:tcPr>
            <w:tcW w:w="1304" w:type="dxa"/>
          </w:tcPr>
          <w:p>
            <w:pPr>
              <w:pStyle w:val="Compact"/>
              <w:spacing w:before="0" w:after="60" w:line="240" w:lineRule="auto"/>
              <w:jc w:val="center"/>
            </w:pPr>
            <w:r>
              <w:rPr>
                <w:sz w:val="18"/>
              </w:rPr>
              <w:t xml:space="preserve">0.980</w:t>
            </w:r>
          </w:p>
        </w:tc>
        <w:tc>
          <w:tcPr>
            <w:tcW w:w="1304" w:type="dxa"/>
          </w:tcPr>
          <w:p>
            <w:pPr>
              <w:pStyle w:val="Compact"/>
              <w:spacing w:before="0" w:after="60" w:line="240" w:lineRule="auto"/>
              <w:jc w:val="center"/>
            </w:pPr>
            <w:r>
              <w:rPr>
                <w:sz w:val="18"/>
              </w:rPr>
              <w:t xml:space="preserve">0.958</w:t>
            </w:r>
          </w:p>
        </w:tc>
      </w:tr>
      <w:tr>
        <w:trPr>
          <w:cantSplit/>
        </w:trPr>
        <w:tc>
          <w:tcPr>
            <w:tcW w:w="3742" w:type="dxa"/>
          </w:tcPr>
          <w:p>
            <w:pPr>
              <w:pStyle w:val="Compact"/>
              <w:spacing w:before="0" w:after="60" w:line="240" w:lineRule="auto"/>
              <w:jc w:val="left"/>
            </w:pPr>
            <w:r>
              <w:rPr>
                <w:sz w:val="18"/>
              </w:rPr>
              <w:t xml:space="preserve">Joint 2+4 dpi, 6 dpi excluded (seed 157)</w:t>
            </w:r>
          </w:p>
        </w:tc>
        <w:tc>
          <w:tcPr>
            <w:tcW w:w="1361" w:type="dxa"/>
          </w:tcPr>
          <w:p>
            <w:pPr>
              <w:pStyle w:val="Compact"/>
              <w:spacing w:before="0" w:after="60" w:line="240" w:lineRule="auto"/>
              <w:jc w:val="center"/>
            </w:pPr>
            <w:r>
              <w:rPr>
                <w:sz w:val="18"/>
              </w:rPr>
              <w:t xml:space="preserve">71.88</w:t>
            </w:r>
          </w:p>
        </w:tc>
        <w:tc>
          <w:tcPr>
            <w:tcW w:w="1361" w:type="dxa"/>
          </w:tcPr>
          <w:p>
            <w:pPr>
              <w:pStyle w:val="Compact"/>
              <w:spacing w:before="0" w:after="60" w:line="240" w:lineRule="auto"/>
              <w:jc w:val="center"/>
            </w:pPr>
            <w:r>
              <w:rPr>
                <w:sz w:val="18"/>
              </w:rPr>
              <w:t xml:space="preserve">68.75</w:t>
            </w:r>
          </w:p>
        </w:tc>
        <w:tc>
          <w:tcPr>
            <w:tcW w:w="1304" w:type="dxa"/>
          </w:tcPr>
          <w:p>
            <w:pPr>
              <w:pStyle w:val="Compact"/>
              <w:spacing w:before="0" w:after="60" w:line="240" w:lineRule="auto"/>
              <w:jc w:val="center"/>
            </w:pPr>
            <w:r>
              <w:rPr>
                <w:sz w:val="18"/>
              </w:rPr>
              <w:t xml:space="preserve">0.753</w:t>
            </w:r>
          </w:p>
        </w:tc>
        <w:tc>
          <w:tcPr>
            <w:tcW w:w="1304" w:type="dxa"/>
          </w:tcPr>
          <w:p>
            <w:pPr>
              <w:pStyle w:val="Compact"/>
              <w:spacing w:before="0" w:after="60" w:line="240" w:lineRule="auto"/>
              <w:jc w:val="center"/>
            </w:pPr>
            <w:r>
              <w:rPr>
                <w:sz w:val="18"/>
              </w:rPr>
              <w:t xml:space="preserve">0.800</w:t>
            </w:r>
          </w:p>
        </w:tc>
      </w:tr>
      <w:tr>
        <w:trPr>
          <w:cantSplit/>
        </w:trPr>
        <w:tc>
          <w:tcPr>
            <w:tcW w:w="3742" w:type="dxa"/>
          </w:tcPr>
          <w:p>
            <w:pPr>
              <w:pStyle w:val="Compact"/>
              <w:spacing w:before="0" w:after="60" w:line="240" w:lineRule="auto"/>
              <w:jc w:val="left"/>
            </w:pPr>
            <w:r>
              <w:rPr>
                <w:sz w:val="18"/>
              </w:rPr>
              <w:t xml:space="preserve">Joint 2+4 dpi, 6 dpi excluded (three-seed mean ± SD)</w:t>
            </w:r>
          </w:p>
        </w:tc>
        <w:tc>
          <w:tcPr>
            <w:tcW w:w="1361" w:type="dxa"/>
          </w:tcPr>
          <w:p>
            <w:pPr>
              <w:pStyle w:val="Compact"/>
              <w:spacing w:before="0" w:after="60" w:line="240" w:lineRule="auto"/>
              <w:jc w:val="center"/>
            </w:pPr>
            <w:r>
              <w:rPr>
                <w:sz w:val="18"/>
              </w:rPr>
              <w:t xml:space="preserve">78.47 ± 5.92</w:t>
            </w:r>
          </w:p>
        </w:tc>
        <w:tc>
          <w:tcPr>
            <w:tcW w:w="1361" w:type="dxa"/>
          </w:tcPr>
          <w:p>
            <w:pPr>
              <w:pStyle w:val="Compact"/>
              <w:spacing w:before="0" w:after="60" w:line="240" w:lineRule="auto"/>
              <w:jc w:val="center"/>
            </w:pPr>
            <w:r>
              <w:rPr>
                <w:sz w:val="18"/>
              </w:rPr>
              <w:t xml:space="preserve">74.07 ± 5.21</w:t>
            </w:r>
          </w:p>
        </w:tc>
        <w:tc>
          <w:tcPr>
            <w:tcW w:w="1304" w:type="dxa"/>
          </w:tcPr>
          <w:p>
            <w:pPr>
              <w:pStyle w:val="Compact"/>
              <w:spacing w:before="0" w:after="60" w:line="240" w:lineRule="auto"/>
              <w:jc w:val="center"/>
            </w:pPr>
            <w:r>
              <w:rPr>
                <w:sz w:val="18"/>
              </w:rPr>
              <w:t xml:space="preserve">0.821 ± 0.064</w:t>
            </w:r>
          </w:p>
        </w:tc>
        <w:tc>
          <w:tcPr>
            <w:tcW w:w="1304" w:type="dxa"/>
          </w:tcPr>
          <w:p>
            <w:pPr>
              <w:pStyle w:val="Compact"/>
              <w:spacing w:before="0" w:after="60" w:line="240" w:lineRule="auto"/>
              <w:jc w:val="center"/>
            </w:pPr>
            <w:r>
              <w:rPr>
                <w:sz w:val="18"/>
              </w:rPr>
              <w:t xml:space="preserve">0.851 ± 0.046</w:t>
            </w:r>
          </w:p>
        </w:tc>
      </w:tr>
    </w:tbl>
    <w:bookmarkEnd w:id="59"/>
    <w:bookmarkStart w:id="60" w:name="Xee3a8dd37194a98362d2f325ea447e8d09a9312"/>
    <w:p>
      <w:pPr>
        <w:pStyle w:val="Heading2"/>
      </w:pPr>
      <w:r>
        <w:rPr>
          <w:rStyle w:val="SectionNumber"/>
        </w:rPr>
        <w:t xml:space="preserve">3.6</w:t>
      </w:r>
      <w:r>
        <w:rPr/>
        <w:tab/>
      </w:r>
      <w:r>
        <w:rPr/>
        <w:t xml:space="preserve">Contribution of individual PSNet components</w:t>
      </w:r>
    </w:p>
    <w:p>
      <w:pPr>
        <w:pStyle w:val="FirstParagraph"/>
      </w:pPr>
      <w:r>
        <w:rPr/>
        <w:t xml:space="preserve">Table 9 compares PSNet with four variants for which complete three-seed results are available. The full model did not exceed any of the variants in balanced accuracy at 2 dpi, at 4 dpi or on the joint task. At 6 dpi, disabling CAF (93.29%) or using the 2D tokenisation (95.14%) gave lower balanced accuracy than the full model (95.37%), whereas replacing the wavelet-initialised token by the mean patch token (96.06%) or a learnable CLS token (97.45%) gave higher values. All of these differences are of similar size to the between-seed SD (1–6 percentage points), and the ranking of variants changed from one task to another. The results therefore do not identify any component as beneficial, and they do not support attributing the performance of PSNet to its wavelet-initialised token or to CAF. Parameter counts (Table 4) were similar for all variants except the 2D tokenisation (26.8 million versus 22.0 million); however, the registered counts include bypassed and unused parameters, so they do not establish equal active capacity.</w:t>
      </w:r>
    </w:p>
    <w:p>
      <w:pPr>
        <w:pStyle w:val="TableCaption"/>
      </w:pPr>
      <w:r>
        <w:rPr>
          <w:bCs/>
          <w:b/>
        </w:rPr>
        <w:t xml:space="preserve">Table 9.</w:t>
      </w:r>
      <w:r>
        <w:rPr/>
        <w:t xml:space="preserve"> </w:t>
      </w:r>
      <w:r>
        <w:rPr/>
        <w:t xml:space="preserve">Balanced accuracy (%) of PSNet and variants with three complete seeds. Mean ± SD. The alternative 2D tokenisation changes the reduction stage, token number and capacity together and does not isolate the contribution of 3D patching. Full metrics for the joint task are in Table S4.</w:t>
      </w:r>
    </w:p>
    <w:tbl>
      <w:tblPr>
        <w:tblCaption w:val="Table 9. Balanced accuracy (%) of PSNet and variants with three complete seeds. Mean ± SD. The alternative 2D tokenisation changes the reduction stage, token number and capacity together and does not isolate the contribution of 3D patching. Full metrics for the joint task are in Table S4."/>
        <w:tblW w:w="9071"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2835"/>
        <w:gridCol w:w="1559"/>
        <w:gridCol w:w="1559"/>
        <w:gridCol w:w="1559"/>
        <w:gridCol w:w="1559"/>
      </w:tblGrid>
      <w:tr>
        <w:trPr>
          <w:tblHeader w:val="true"/>
          <w:cantSplit/>
          <w:tblHeader/>
        </w:trPr>
        <w:tc>
          <w:tcPr>
            <w:tcW w:w="2835" w:type="dxa"/>
            <w:tcBorders>
              <w:bottom w:val="single" w:sz="5" w:space="0" w:color="000000"/>
            </w:tcBorders>
            <w:vAlign w:val="center"/>
          </w:tcPr>
          <w:p>
            <w:pPr>
              <w:pStyle w:val="Compact"/>
              <w:spacing w:before="0" w:after="60" w:line="240" w:lineRule="auto"/>
              <w:jc w:val="left"/>
            </w:pPr>
            <w:r>
              <w:rPr>
                <w:b/>
                <w:sz w:val="18"/>
              </w:rPr>
              <w:t xml:space="preserve">Configuration</w:t>
            </w:r>
          </w:p>
        </w:tc>
        <w:tc>
          <w:tcPr>
            <w:tcW w:w="1559" w:type="dxa"/>
            <w:tcBorders>
              <w:bottom w:val="single" w:sz="5" w:space="0" w:color="000000"/>
            </w:tcBorders>
            <w:vAlign w:val="center"/>
          </w:tcPr>
          <w:p>
            <w:pPr>
              <w:pStyle w:val="Compact"/>
              <w:spacing w:before="0" w:after="60" w:line="240" w:lineRule="auto"/>
              <w:jc w:val="center"/>
            </w:pPr>
            <w:r>
              <w:rPr>
                <w:b/>
                <w:sz w:val="18"/>
              </w:rPr>
              <w:t xml:space="preserve">2 dpi</w:t>
            </w:r>
          </w:p>
        </w:tc>
        <w:tc>
          <w:tcPr>
            <w:tcW w:w="1559" w:type="dxa"/>
            <w:tcBorders>
              <w:bottom w:val="single" w:sz="5" w:space="0" w:color="000000"/>
            </w:tcBorders>
            <w:vAlign w:val="center"/>
          </w:tcPr>
          <w:p>
            <w:pPr>
              <w:pStyle w:val="Compact"/>
              <w:spacing w:before="0" w:after="60" w:line="240" w:lineRule="auto"/>
              <w:jc w:val="center"/>
            </w:pPr>
            <w:r>
              <w:rPr>
                <w:b/>
                <w:sz w:val="18"/>
              </w:rPr>
              <w:t xml:space="preserve">4 dpi</w:t>
            </w:r>
          </w:p>
        </w:tc>
        <w:tc>
          <w:tcPr>
            <w:tcW w:w="1559" w:type="dxa"/>
            <w:tcBorders>
              <w:bottom w:val="single" w:sz="5" w:space="0" w:color="000000"/>
            </w:tcBorders>
            <w:vAlign w:val="center"/>
          </w:tcPr>
          <w:p>
            <w:pPr>
              <w:pStyle w:val="Compact"/>
              <w:spacing w:before="0" w:after="60" w:line="240" w:lineRule="auto"/>
              <w:jc w:val="center"/>
            </w:pPr>
            <w:r>
              <w:rPr>
                <w:b/>
                <w:sz w:val="18"/>
              </w:rPr>
              <w:t xml:space="preserve">6 dpi</w:t>
            </w:r>
          </w:p>
        </w:tc>
        <w:tc>
          <w:tcPr>
            <w:tcW w:w="1559" w:type="dxa"/>
            <w:tcBorders>
              <w:bottom w:val="single" w:sz="5" w:space="0" w:color="000000"/>
            </w:tcBorders>
            <w:vAlign w:val="center"/>
          </w:tcPr>
          <w:p>
            <w:pPr>
              <w:pStyle w:val="Compact"/>
              <w:spacing w:before="0" w:after="60" w:line="240" w:lineRule="auto"/>
              <w:jc w:val="center"/>
            </w:pPr>
            <w:r>
              <w:rPr>
                <w:b/>
                <w:sz w:val="18"/>
              </w:rPr>
              <w:t xml:space="preserve">Joint 2+4 dpi</w:t>
            </w:r>
          </w:p>
        </w:tc>
      </w:tr>
      <w:tr>
        <w:trPr>
          <w:cantSplit/>
        </w:trPr>
        <w:tc>
          <w:tcPr>
            <w:tcW w:w="2835" w:type="dxa"/>
          </w:tcPr>
          <w:p>
            <w:pPr>
              <w:pStyle w:val="Compact"/>
              <w:spacing w:before="0" w:after="60" w:line="240" w:lineRule="auto"/>
              <w:jc w:val="left"/>
            </w:pPr>
            <w:r>
              <w:rPr>
                <w:sz w:val="18"/>
              </w:rPr>
              <w:t xml:space="preserve">PSNet</w:t>
            </w:r>
          </w:p>
        </w:tc>
        <w:tc>
          <w:tcPr>
            <w:tcW w:w="1559" w:type="dxa"/>
          </w:tcPr>
          <w:p>
            <w:pPr>
              <w:pStyle w:val="Compact"/>
              <w:spacing w:before="0" w:after="60" w:line="240" w:lineRule="auto"/>
              <w:jc w:val="center"/>
            </w:pPr>
            <w:r>
              <w:rPr>
                <w:sz w:val="18"/>
              </w:rPr>
              <w:t xml:space="preserve">56.16 ± 4.09</w:t>
            </w:r>
          </w:p>
        </w:tc>
        <w:tc>
          <w:tcPr>
            <w:tcW w:w="1559" w:type="dxa"/>
          </w:tcPr>
          <w:p>
            <w:pPr>
              <w:pStyle w:val="Compact"/>
              <w:spacing w:before="0" w:after="60" w:line="240" w:lineRule="auto"/>
              <w:jc w:val="center"/>
            </w:pPr>
            <w:r>
              <w:rPr>
                <w:sz w:val="18"/>
              </w:rPr>
              <w:t xml:space="preserve">83.56 ± 4.24</w:t>
            </w:r>
          </w:p>
        </w:tc>
        <w:tc>
          <w:tcPr>
            <w:tcW w:w="1559" w:type="dxa"/>
          </w:tcPr>
          <w:p>
            <w:pPr>
              <w:pStyle w:val="Compact"/>
              <w:spacing w:before="0" w:after="60" w:line="240" w:lineRule="auto"/>
              <w:jc w:val="center"/>
            </w:pPr>
            <w:r>
              <w:rPr>
                <w:sz w:val="18"/>
              </w:rPr>
              <w:t xml:space="preserve">95.37 ± 0.80</w:t>
            </w:r>
          </w:p>
        </w:tc>
        <w:tc>
          <w:tcPr>
            <w:tcW w:w="1559" w:type="dxa"/>
          </w:tcPr>
          <w:p>
            <w:pPr>
              <w:pStyle w:val="Compact"/>
              <w:spacing w:before="0" w:after="60" w:line="240" w:lineRule="auto"/>
              <w:jc w:val="center"/>
            </w:pPr>
            <w:r>
              <w:rPr>
                <w:sz w:val="18"/>
              </w:rPr>
              <w:t xml:space="preserve">74.07 ± 5.21</w:t>
            </w:r>
          </w:p>
        </w:tc>
      </w:tr>
      <w:tr>
        <w:trPr>
          <w:cantSplit/>
        </w:trPr>
        <w:tc>
          <w:tcPr>
            <w:tcW w:w="2835" w:type="dxa"/>
          </w:tcPr>
          <w:p>
            <w:pPr>
              <w:pStyle w:val="Compact"/>
              <w:spacing w:before="0" w:after="60" w:line="240" w:lineRule="auto"/>
              <w:jc w:val="left"/>
            </w:pPr>
            <w:r>
              <w:rPr>
                <w:sz w:val="18"/>
              </w:rPr>
              <w:t xml:space="preserve">CAF disabled</w:t>
            </w:r>
          </w:p>
        </w:tc>
        <w:tc>
          <w:tcPr>
            <w:tcW w:w="1559" w:type="dxa"/>
          </w:tcPr>
          <w:p>
            <w:pPr>
              <w:pStyle w:val="Compact"/>
              <w:spacing w:before="0" w:after="60" w:line="240" w:lineRule="auto"/>
              <w:jc w:val="center"/>
            </w:pPr>
            <w:r>
              <w:rPr>
                <w:sz w:val="18"/>
              </w:rPr>
              <w:t xml:space="preserve">63.35 ± 5.33</w:t>
            </w:r>
          </w:p>
        </w:tc>
        <w:tc>
          <w:tcPr>
            <w:tcW w:w="1559" w:type="dxa"/>
          </w:tcPr>
          <w:p>
            <w:pPr>
              <w:pStyle w:val="Compact"/>
              <w:spacing w:before="0" w:after="60" w:line="240" w:lineRule="auto"/>
              <w:jc w:val="center"/>
            </w:pPr>
            <w:r>
              <w:rPr>
                <w:sz w:val="18"/>
              </w:rPr>
              <w:t xml:space="preserve">85.65 ± 1.45</w:t>
            </w:r>
          </w:p>
        </w:tc>
        <w:tc>
          <w:tcPr>
            <w:tcW w:w="1559" w:type="dxa"/>
          </w:tcPr>
          <w:p>
            <w:pPr>
              <w:pStyle w:val="Compact"/>
              <w:spacing w:before="0" w:after="60" w:line="240" w:lineRule="auto"/>
              <w:jc w:val="center"/>
            </w:pPr>
            <w:r>
              <w:rPr>
                <w:sz w:val="18"/>
              </w:rPr>
              <w:t xml:space="preserve">93.29 ± 3.50</w:t>
            </w:r>
          </w:p>
        </w:tc>
        <w:tc>
          <w:tcPr>
            <w:tcW w:w="1559" w:type="dxa"/>
          </w:tcPr>
          <w:p>
            <w:pPr>
              <w:pStyle w:val="Compact"/>
              <w:spacing w:before="0" w:after="60" w:line="240" w:lineRule="auto"/>
              <w:jc w:val="center"/>
            </w:pPr>
            <w:r>
              <w:rPr>
                <w:sz w:val="18"/>
              </w:rPr>
              <w:t xml:space="preserve">79.17 ± 1.39</w:t>
            </w:r>
          </w:p>
        </w:tc>
      </w:tr>
      <w:tr>
        <w:trPr>
          <w:cantSplit/>
        </w:trPr>
        <w:tc>
          <w:tcPr>
            <w:tcW w:w="2835" w:type="dxa"/>
          </w:tcPr>
          <w:p>
            <w:pPr>
              <w:pStyle w:val="Compact"/>
              <w:spacing w:before="0" w:after="60" w:line="240" w:lineRule="auto"/>
              <w:jc w:val="left"/>
            </w:pPr>
            <w:r>
              <w:rPr>
                <w:sz w:val="18"/>
              </w:rPr>
              <w:t xml:space="preserve">Mean patch token (replaces wavelet token)</w:t>
            </w:r>
          </w:p>
        </w:tc>
        <w:tc>
          <w:tcPr>
            <w:tcW w:w="1559" w:type="dxa"/>
          </w:tcPr>
          <w:p>
            <w:pPr>
              <w:pStyle w:val="Compact"/>
              <w:spacing w:before="0" w:after="60" w:line="240" w:lineRule="auto"/>
              <w:jc w:val="center"/>
            </w:pPr>
            <w:r>
              <w:rPr>
                <w:sz w:val="18"/>
              </w:rPr>
              <w:t xml:space="preserve">57.82 ± 6.27</w:t>
            </w:r>
          </w:p>
        </w:tc>
        <w:tc>
          <w:tcPr>
            <w:tcW w:w="1559" w:type="dxa"/>
          </w:tcPr>
          <w:p>
            <w:pPr>
              <w:pStyle w:val="Compact"/>
              <w:spacing w:before="0" w:after="60" w:line="240" w:lineRule="auto"/>
              <w:jc w:val="center"/>
            </w:pPr>
            <w:r>
              <w:rPr>
                <w:sz w:val="18"/>
              </w:rPr>
              <w:t xml:space="preserve">88.66 ± 3.21</w:t>
            </w:r>
          </w:p>
        </w:tc>
        <w:tc>
          <w:tcPr>
            <w:tcW w:w="1559" w:type="dxa"/>
          </w:tcPr>
          <w:p>
            <w:pPr>
              <w:pStyle w:val="Compact"/>
              <w:spacing w:before="0" w:after="60" w:line="240" w:lineRule="auto"/>
              <w:jc w:val="center"/>
            </w:pPr>
            <w:r>
              <w:rPr>
                <w:sz w:val="18"/>
              </w:rPr>
              <w:t xml:space="preserve">96.06 ± 2.63</w:t>
            </w:r>
          </w:p>
        </w:tc>
        <w:tc>
          <w:tcPr>
            <w:tcW w:w="1559" w:type="dxa"/>
          </w:tcPr>
          <w:p>
            <w:pPr>
              <w:pStyle w:val="Compact"/>
              <w:spacing w:before="0" w:after="60" w:line="240" w:lineRule="auto"/>
              <w:jc w:val="center"/>
            </w:pPr>
            <w:r>
              <w:rPr>
                <w:sz w:val="18"/>
              </w:rPr>
              <w:t xml:space="preserve">75.46 ± 3.13</w:t>
            </w:r>
          </w:p>
        </w:tc>
      </w:tr>
      <w:tr>
        <w:trPr>
          <w:cantSplit/>
        </w:trPr>
        <w:tc>
          <w:tcPr>
            <w:tcW w:w="2835" w:type="dxa"/>
          </w:tcPr>
          <w:p>
            <w:pPr>
              <w:pStyle w:val="Compact"/>
              <w:spacing w:before="0" w:after="60" w:line="240" w:lineRule="auto"/>
              <w:jc w:val="left"/>
            </w:pPr>
            <w:r>
              <w:rPr>
                <w:sz w:val="18"/>
              </w:rPr>
              <w:t xml:space="preserve">Alternative 2D tokenisation</w:t>
            </w:r>
          </w:p>
        </w:tc>
        <w:tc>
          <w:tcPr>
            <w:tcW w:w="1559" w:type="dxa"/>
          </w:tcPr>
          <w:p>
            <w:pPr>
              <w:pStyle w:val="Compact"/>
              <w:spacing w:before="0" w:after="60" w:line="240" w:lineRule="auto"/>
              <w:jc w:val="center"/>
            </w:pPr>
            <w:r>
              <w:rPr>
                <w:sz w:val="18"/>
              </w:rPr>
              <w:t xml:space="preserve">58.70 ± 3.74</w:t>
            </w:r>
          </w:p>
        </w:tc>
        <w:tc>
          <w:tcPr>
            <w:tcW w:w="1559" w:type="dxa"/>
          </w:tcPr>
          <w:p>
            <w:pPr>
              <w:pStyle w:val="Compact"/>
              <w:spacing w:before="0" w:after="60" w:line="240" w:lineRule="auto"/>
              <w:jc w:val="center"/>
            </w:pPr>
            <w:r>
              <w:rPr>
                <w:sz w:val="18"/>
              </w:rPr>
              <w:t xml:space="preserve">90.05 ± 3.56</w:t>
            </w:r>
          </w:p>
        </w:tc>
        <w:tc>
          <w:tcPr>
            <w:tcW w:w="1559" w:type="dxa"/>
          </w:tcPr>
          <w:p>
            <w:pPr>
              <w:pStyle w:val="Compact"/>
              <w:spacing w:before="0" w:after="60" w:line="240" w:lineRule="auto"/>
              <w:jc w:val="center"/>
            </w:pPr>
            <w:r>
              <w:rPr>
                <w:sz w:val="18"/>
              </w:rPr>
              <w:t xml:space="preserve">95.14 ± 1.84</w:t>
            </w:r>
          </w:p>
        </w:tc>
        <w:tc>
          <w:tcPr>
            <w:tcW w:w="1559" w:type="dxa"/>
          </w:tcPr>
          <w:p>
            <w:pPr>
              <w:pStyle w:val="Compact"/>
              <w:spacing w:before="0" w:after="60" w:line="240" w:lineRule="auto"/>
              <w:jc w:val="center"/>
            </w:pPr>
            <w:r>
              <w:rPr>
                <w:sz w:val="18"/>
              </w:rPr>
              <w:t xml:space="preserve">79.17 ± 4.34</w:t>
            </w:r>
          </w:p>
        </w:tc>
      </w:tr>
      <w:tr>
        <w:trPr>
          <w:cantSplit/>
        </w:trPr>
        <w:tc>
          <w:tcPr>
            <w:tcW w:w="2835" w:type="dxa"/>
          </w:tcPr>
          <w:p>
            <w:pPr>
              <w:pStyle w:val="Compact"/>
              <w:spacing w:before="0" w:after="60" w:line="240" w:lineRule="auto"/>
              <w:jc w:val="left"/>
            </w:pPr>
            <w:r>
              <w:rPr>
                <w:sz w:val="18"/>
              </w:rPr>
              <w:t xml:space="preserve">Learnable CLS token</w:t>
            </w:r>
          </w:p>
        </w:tc>
        <w:tc>
          <w:tcPr>
            <w:tcW w:w="1559" w:type="dxa"/>
          </w:tcPr>
          <w:p>
            <w:pPr>
              <w:pStyle w:val="Compact"/>
              <w:spacing w:before="0" w:after="60" w:line="240" w:lineRule="auto"/>
              <w:jc w:val="center"/>
            </w:pPr>
            <w:r>
              <w:rPr>
                <w:sz w:val="18"/>
              </w:rPr>
              <w:t xml:space="preserve">57.79 ± 3.94</w:t>
            </w:r>
          </w:p>
        </w:tc>
        <w:tc>
          <w:tcPr>
            <w:tcW w:w="1559" w:type="dxa"/>
          </w:tcPr>
          <w:p>
            <w:pPr>
              <w:pStyle w:val="Compact"/>
              <w:spacing w:before="0" w:after="60" w:line="240" w:lineRule="auto"/>
              <w:jc w:val="center"/>
            </w:pPr>
            <w:r>
              <w:rPr>
                <w:sz w:val="18"/>
              </w:rPr>
              <w:t xml:space="preserve">88.19 ± 6.36</w:t>
            </w:r>
          </w:p>
        </w:tc>
        <w:tc>
          <w:tcPr>
            <w:tcW w:w="1559" w:type="dxa"/>
          </w:tcPr>
          <w:p>
            <w:pPr>
              <w:pStyle w:val="Compact"/>
              <w:spacing w:before="0" w:after="60" w:line="240" w:lineRule="auto"/>
              <w:jc w:val="center"/>
            </w:pPr>
            <w:r>
              <w:rPr>
                <w:sz w:val="18"/>
              </w:rPr>
              <w:t xml:space="preserve">97.45 ± 1.06</w:t>
            </w:r>
          </w:p>
        </w:tc>
        <w:tc>
          <w:tcPr>
            <w:tcW w:w="1559" w:type="dxa"/>
          </w:tcPr>
          <w:p>
            <w:pPr>
              <w:pStyle w:val="Compact"/>
              <w:spacing w:before="0" w:after="60" w:line="240" w:lineRule="auto"/>
              <w:jc w:val="center"/>
            </w:pPr>
            <w:r>
              <w:rPr>
                <w:sz w:val="18"/>
              </w:rPr>
              <w:t xml:space="preserve">74.31 ± 4.34</w:t>
            </w:r>
          </w:p>
        </w:tc>
      </w:tr>
    </w:tbl>
    <w:p>
      <w:pPr>
        <w:pStyle w:val="BodyText"/>
      </w:pPr>
      <w:r>
        <w:rPr/>
        <w:t>A separate, completed pooled-date band-selection experiment is summarised in Table 10. Its full-band control achieved 92.36% balanced accuracy; top-3, top-10 and top-30 inputs achieved 93.75%, 95.14% and 90.97%, respectively. Top-10 selection gave 96.88% accuracy but a lower AUROC than the full-band control (0.983 versus 0.991). The paired balanced-accuracy differences for top-3, top-10 and top-30 were +1.39, +2.78 and −1.39 percentage points, with 95% intervals of −6.25 to 9.03, −4.17 to 10.42 and −9.03 to 6.94. All include zero. These results show that reduced inputs can retain discrimination in this pooled task; they do not establish improved performance or a validated physiological band set. This full-band reference belongs to a separate experiment and must not be substituted for the earlier pooled result in Table 8.</w:t>
      </w:r>
    </w:p>
    <w:p>
      <w:pPr>
        <w:pStyle w:val="TableCaption"/>
      </w:pPr>
      <w:r>
        <w:rPr/>
        <w:t>Table 10. Separate pooled-date band-selection experiment, seed 157 and five plant-disjoint folds. Selection uses fitting plants only. All dates include 6 dpi; these scores are not a measure of detection at 2 dpi. Each reduced-input model is compared with the full-band control from this experiment.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pPr>
              <w:spacing w:after="60" w:line="240" w:lineRule="auto"/>
            </w:pPr>
            <w:r>
              <w:rPr>
                <w:b/>
                <w:sz w:val="18"/>
              </w:rPr>
              <w:t>Input</w:t>
            </w:r>
          </w:p>
        </w:tc>
        <w:tc>
          <w:tcPr>
            <w:tcW w:type="dxa" w:w="1440"/>
          </w:tcPr>
          <w:p>
            <w:pPr>
              <w:spacing w:after="60" w:line="240" w:lineRule="auto"/>
            </w:pPr>
            <w:r>
              <w:rPr>
                <w:b/>
                <w:sz w:val="18"/>
              </w:rPr>
              <w:t>Bands</w:t>
            </w:r>
          </w:p>
        </w:tc>
        <w:tc>
          <w:tcPr>
            <w:tcW w:type="dxa" w:w="1440"/>
          </w:tcPr>
          <w:p>
            <w:pPr>
              <w:spacing w:after="60" w:line="240" w:lineRule="auto"/>
            </w:pPr>
            <w:r>
              <w:rPr>
                <w:b/>
                <w:sz w:val="18"/>
              </w:rPr>
              <w:t>Accuracy (%)</w:t>
            </w:r>
          </w:p>
        </w:tc>
        <w:tc>
          <w:tcPr>
            <w:tcW w:type="dxa" w:w="1440"/>
          </w:tcPr>
          <w:p>
            <w:pPr>
              <w:spacing w:after="60" w:line="240" w:lineRule="auto"/>
            </w:pPr>
            <w:r>
              <w:rPr>
                <w:b/>
                <w:sz w:val="18"/>
              </w:rPr>
              <w:t>BA (%)</w:t>
            </w:r>
          </w:p>
        </w:tc>
        <w:tc>
          <w:tcPr>
            <w:tcW w:type="dxa" w:w="1440"/>
          </w:tcPr>
          <w:p>
            <w:pPr>
              <w:spacing w:after="60" w:line="240" w:lineRule="auto"/>
            </w:pPr>
            <w:r>
              <w:rPr>
                <w:b/>
                <w:sz w:val="18"/>
              </w:rPr>
              <w:t>AUROC</w:t>
            </w:r>
          </w:p>
        </w:tc>
        <w:tc>
          <w:tcPr>
            <w:tcW w:type="dxa" w:w="1440"/>
          </w:tcPr>
          <w:p>
            <w:pPr>
              <w:spacing w:after="60" w:line="240" w:lineRule="auto"/>
            </w:pPr>
            <w:r>
              <w:rPr>
                <w:b/>
                <w:sz w:val="18"/>
              </w:rPr>
              <w:t>F1</w:t>
            </w:r>
          </w:p>
        </w:tc>
      </w:tr>
      <w:tr>
        <w:tc>
          <w:tcPr>
            <w:tcW w:type="dxa" w:w="1440"/>
          </w:tcPr>
          <w:p>
            <w:pPr>
              <w:spacing w:after="60" w:line="240" w:lineRule="auto"/>
            </w:pPr>
            <w:r>
              <w:rPr>
                <w:b w:val="0"/>
                <w:sz w:val="18"/>
              </w:rPr>
              <w:t>full</w:t>
            </w:r>
          </w:p>
        </w:tc>
        <w:tc>
          <w:tcPr>
            <w:tcW w:type="dxa" w:w="1440"/>
          </w:tcPr>
          <w:p>
            <w:pPr>
              <w:spacing w:after="60" w:line="240" w:lineRule="auto"/>
            </w:pPr>
            <w:r>
              <w:rPr>
                <w:b w:val="0"/>
                <w:sz w:val="18"/>
              </w:rPr>
              <w:t>313</w:t>
            </w:r>
          </w:p>
        </w:tc>
        <w:tc>
          <w:tcPr>
            <w:tcW w:type="dxa" w:w="1440"/>
          </w:tcPr>
          <w:p>
            <w:pPr>
              <w:spacing w:after="60" w:line="240" w:lineRule="auto"/>
            </w:pPr>
            <w:r>
              <w:rPr>
                <w:b w:val="0"/>
                <w:sz w:val="18"/>
              </w:rPr>
              <w:t>94.79</w:t>
            </w:r>
          </w:p>
        </w:tc>
        <w:tc>
          <w:tcPr>
            <w:tcW w:type="dxa" w:w="1440"/>
          </w:tcPr>
          <w:p>
            <w:pPr>
              <w:spacing w:after="60" w:line="240" w:lineRule="auto"/>
            </w:pPr>
            <w:r>
              <w:rPr>
                <w:b w:val="0"/>
                <w:sz w:val="18"/>
              </w:rPr>
              <w:t>92.36</w:t>
            </w:r>
          </w:p>
        </w:tc>
        <w:tc>
          <w:tcPr>
            <w:tcW w:type="dxa" w:w="1440"/>
          </w:tcPr>
          <w:p>
            <w:pPr>
              <w:spacing w:after="60" w:line="240" w:lineRule="auto"/>
            </w:pPr>
            <w:r>
              <w:rPr>
                <w:b w:val="0"/>
                <w:sz w:val="18"/>
              </w:rPr>
              <w:t>0.991</w:t>
            </w:r>
          </w:p>
        </w:tc>
        <w:tc>
          <w:tcPr>
            <w:tcW w:type="dxa" w:w="1440"/>
          </w:tcPr>
          <w:p>
            <w:pPr>
              <w:spacing w:after="60" w:line="240" w:lineRule="auto"/>
            </w:pPr>
            <w:r>
              <w:rPr>
                <w:b w:val="0"/>
                <w:sz w:val="18"/>
              </w:rPr>
              <w:t>0.966</w:t>
            </w:r>
          </w:p>
        </w:tc>
      </w:tr>
      <w:tr>
        <w:tc>
          <w:tcPr>
            <w:tcW w:type="dxa" w:w="1440"/>
          </w:tcPr>
          <w:p>
            <w:pPr>
              <w:spacing w:after="60" w:line="240" w:lineRule="auto"/>
            </w:pPr>
            <w:r>
              <w:rPr>
                <w:b w:val="0"/>
                <w:sz w:val="18"/>
              </w:rPr>
              <w:t>top3</w:t>
            </w:r>
          </w:p>
        </w:tc>
        <w:tc>
          <w:tcPr>
            <w:tcW w:type="dxa" w:w="1440"/>
          </w:tcPr>
          <w:p>
            <w:pPr>
              <w:spacing w:after="60" w:line="240" w:lineRule="auto"/>
            </w:pPr>
            <w:r>
              <w:rPr>
                <w:b w:val="0"/>
                <w:sz w:val="18"/>
              </w:rPr>
              <w:t>3</w:t>
            </w:r>
          </w:p>
        </w:tc>
        <w:tc>
          <w:tcPr>
            <w:tcW w:type="dxa" w:w="1440"/>
          </w:tcPr>
          <w:p>
            <w:pPr>
              <w:spacing w:after="60" w:line="240" w:lineRule="auto"/>
            </w:pPr>
            <w:r>
              <w:rPr>
                <w:b w:val="0"/>
                <w:sz w:val="18"/>
              </w:rPr>
              <w:t>94.79</w:t>
            </w:r>
          </w:p>
        </w:tc>
        <w:tc>
          <w:tcPr>
            <w:tcW w:type="dxa" w:w="1440"/>
          </w:tcPr>
          <w:p>
            <w:pPr>
              <w:spacing w:after="60" w:line="240" w:lineRule="auto"/>
            </w:pPr>
            <w:r>
              <w:rPr>
                <w:b w:val="0"/>
                <w:sz w:val="18"/>
              </w:rPr>
              <w:t>93.75</w:t>
            </w:r>
          </w:p>
        </w:tc>
        <w:tc>
          <w:tcPr>
            <w:tcW w:type="dxa" w:w="1440"/>
          </w:tcPr>
          <w:p>
            <w:pPr>
              <w:spacing w:after="60" w:line="240" w:lineRule="auto"/>
            </w:pPr>
            <w:r>
              <w:rPr>
                <w:b w:val="0"/>
                <w:sz w:val="18"/>
              </w:rPr>
              <w:t>0.989</w:t>
            </w:r>
          </w:p>
        </w:tc>
        <w:tc>
          <w:tcPr>
            <w:tcW w:type="dxa" w:w="1440"/>
          </w:tcPr>
          <w:p>
            <w:pPr>
              <w:spacing w:after="60" w:line="240" w:lineRule="auto"/>
            </w:pPr>
            <w:r>
              <w:rPr>
                <w:b w:val="0"/>
                <w:sz w:val="18"/>
              </w:rPr>
              <w:t>0.965</w:t>
            </w:r>
          </w:p>
        </w:tc>
      </w:tr>
      <w:tr>
        <w:tc>
          <w:tcPr>
            <w:tcW w:type="dxa" w:w="1440"/>
          </w:tcPr>
          <w:p>
            <w:pPr>
              <w:spacing w:after="60" w:line="240" w:lineRule="auto"/>
            </w:pPr>
            <w:r>
              <w:rPr>
                <w:b w:val="0"/>
                <w:sz w:val="18"/>
              </w:rPr>
              <w:t>top10</w:t>
            </w:r>
          </w:p>
        </w:tc>
        <w:tc>
          <w:tcPr>
            <w:tcW w:type="dxa" w:w="1440"/>
          </w:tcPr>
          <w:p>
            <w:pPr>
              <w:spacing w:after="60" w:line="240" w:lineRule="auto"/>
            </w:pPr>
            <w:r>
              <w:rPr>
                <w:b w:val="0"/>
                <w:sz w:val="18"/>
              </w:rPr>
              <w:t>10</w:t>
            </w:r>
          </w:p>
        </w:tc>
        <w:tc>
          <w:tcPr>
            <w:tcW w:type="dxa" w:w="1440"/>
          </w:tcPr>
          <w:p>
            <w:pPr>
              <w:spacing w:after="60" w:line="240" w:lineRule="auto"/>
            </w:pPr>
            <w:r>
              <w:rPr>
                <w:b w:val="0"/>
                <w:sz w:val="18"/>
              </w:rPr>
              <w:t>96.88</w:t>
            </w:r>
          </w:p>
        </w:tc>
        <w:tc>
          <w:tcPr>
            <w:tcW w:type="dxa" w:w="1440"/>
          </w:tcPr>
          <w:p>
            <w:pPr>
              <w:spacing w:after="60" w:line="240" w:lineRule="auto"/>
            </w:pPr>
            <w:r>
              <w:rPr>
                <w:b w:val="0"/>
                <w:sz w:val="18"/>
              </w:rPr>
              <w:t>95.14</w:t>
            </w:r>
          </w:p>
        </w:tc>
        <w:tc>
          <w:tcPr>
            <w:tcW w:type="dxa" w:w="1440"/>
          </w:tcPr>
          <w:p>
            <w:pPr>
              <w:spacing w:after="60" w:line="240" w:lineRule="auto"/>
            </w:pPr>
            <w:r>
              <w:rPr>
                <w:b w:val="0"/>
                <w:sz w:val="18"/>
              </w:rPr>
              <w:t>0.983</w:t>
            </w:r>
          </w:p>
        </w:tc>
        <w:tc>
          <w:tcPr>
            <w:tcW w:type="dxa" w:w="1440"/>
          </w:tcPr>
          <w:p>
            <w:pPr>
              <w:spacing w:after="60" w:line="240" w:lineRule="auto"/>
            </w:pPr>
            <w:r>
              <w:rPr>
                <w:b w:val="0"/>
                <w:sz w:val="18"/>
              </w:rPr>
              <w:t>0.979</w:t>
            </w:r>
          </w:p>
        </w:tc>
      </w:tr>
      <w:tr>
        <w:tc>
          <w:tcPr>
            <w:tcW w:type="dxa" w:w="1440"/>
          </w:tcPr>
          <w:p>
            <w:pPr>
              <w:spacing w:after="60" w:line="240" w:lineRule="auto"/>
            </w:pPr>
            <w:r>
              <w:rPr>
                <w:b w:val="0"/>
                <w:sz w:val="18"/>
              </w:rPr>
              <w:t>top30</w:t>
            </w:r>
          </w:p>
        </w:tc>
        <w:tc>
          <w:tcPr>
            <w:tcW w:type="dxa" w:w="1440"/>
          </w:tcPr>
          <w:p>
            <w:pPr>
              <w:spacing w:after="60" w:line="240" w:lineRule="auto"/>
            </w:pPr>
            <w:r>
              <w:rPr>
                <w:b w:val="0"/>
                <w:sz w:val="18"/>
              </w:rPr>
              <w:t>30</w:t>
            </w:r>
          </w:p>
        </w:tc>
        <w:tc>
          <w:tcPr>
            <w:tcW w:type="dxa" w:w="1440"/>
          </w:tcPr>
          <w:p>
            <w:pPr>
              <w:spacing w:after="60" w:line="240" w:lineRule="auto"/>
            </w:pPr>
            <w:r>
              <w:rPr>
                <w:b w:val="0"/>
                <w:sz w:val="18"/>
              </w:rPr>
              <w:t>90.63</w:t>
            </w:r>
          </w:p>
        </w:tc>
        <w:tc>
          <w:tcPr>
            <w:tcW w:type="dxa" w:w="1440"/>
          </w:tcPr>
          <w:p>
            <w:pPr>
              <w:spacing w:after="60" w:line="240" w:lineRule="auto"/>
            </w:pPr>
            <w:r>
              <w:rPr>
                <w:b w:val="0"/>
                <w:sz w:val="18"/>
              </w:rPr>
              <w:t>90.97</w:t>
            </w:r>
          </w:p>
        </w:tc>
        <w:tc>
          <w:tcPr>
            <w:tcW w:type="dxa" w:w="1440"/>
          </w:tcPr>
          <w:p>
            <w:pPr>
              <w:spacing w:after="60" w:line="240" w:lineRule="auto"/>
            </w:pPr>
            <w:r>
              <w:rPr>
                <w:b w:val="0"/>
                <w:sz w:val="18"/>
              </w:rPr>
              <w:t>0.969</w:t>
            </w:r>
          </w:p>
        </w:tc>
        <w:tc>
          <w:tcPr>
            <w:tcW w:type="dxa" w:w="1440"/>
          </w:tcPr>
          <w:p>
            <w:pPr>
              <w:spacing w:after="60" w:line="240" w:lineRule="auto"/>
            </w:pPr>
            <w:r>
              <w:rPr>
                <w:b w:val="0"/>
                <w:sz w:val="18"/>
              </w:rPr>
              <w:t>0.935</w:t>
            </w:r>
          </w:p>
        </w:tc>
      </w:tr>
    </w:tbl>
    <w:bookmarkEnd w:id="60"/>
    <w:bookmarkStart w:id="61" w:name="uncertainty-of-the-estimates"/>
    <w:p>
      <w:pPr>
        <w:pStyle w:val="Heading2"/>
      </w:pPr>
      <w:r>
        <w:rPr>
          <w:rStyle w:val="SectionNumber"/>
        </w:rPr>
        <w:t xml:space="preserve">3.7</w:t>
      </w:r>
      <w:r>
        <w:rPr/>
        <w:tab/>
      </w:r>
      <w:r>
        <w:rPr/>
        <w:t xml:space="preserve">Uncertainty of the estimates</w:t>
      </w:r>
    </w:p>
    <w:p>
      <w:pPr>
        <w:pStyle w:val="FirstParagraph"/>
      </w:pPr>
      <w:r>
        <w:rPr/>
        <w:t xml:space="preserve">Plant-bootstrap intervals for PSNet (seed 157) were wide because only 24 plants are mock-inoculated (Table 11). At 2 dpi the intervals for balanced accuracy (42.6–63.5%) and AUROC (0.423–0.687) include chance level. At 4 dpi they were 72.9–91.7% for balanced accuracy and 0.913–0.986 for AUROC. Even at 6 dpi the lower bound of balanced accuracy was 90.3%. The interval for the joint 2+4 dpi task (balanced accuracy 57.6–79.2%) is also wide. These intervals describe sampling variability of plants within this run and do not include variability between experimental runs. Raw plant-level confusion counts for each seed are given in Table S5.</w:t>
      </w:r>
    </w:p>
    <w:p>
      <w:pPr>
        <w:pStyle w:val="TableCaption"/>
      </w:pPr>
      <w:r>
        <w:rPr>
          <w:bCs/>
          <w:b/>
        </w:rPr>
        <w:t xml:space="preserve">Table 11.</w:t>
      </w:r>
      <w:r>
        <w:rPr/>
        <w:t xml:space="preserve"> </w:t>
      </w:r>
      <w:r>
        <w:rPr/>
        <w:t xml:space="preserve">PSNet, seed 157: 95% plant-bootstrap intervals. Intervals come from 5,000 treatment-stratified resamples of fixed out-of-fold plant predictions without retraining. They do not quantify variability between independent experimental runs and are not confidence intervals for the three-seed mean.</w:t>
      </w:r>
    </w:p>
    <w:tbl>
      <w:tblPr>
        <w:tblCaption w:val="Table 11. PSNet, seed 157: 95% plant-bootstrap intervals. Intervals come from 5,000 treatment-stratified resamples of fixed out-of-fold plant predictions without retraining. They do not quantify variability between independent experimental runs and are not confidence intervals for the three-seed mean."/>
        <w:tblW w:w="9070"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1814"/>
        <w:gridCol w:w="1814"/>
        <w:gridCol w:w="1814"/>
        <w:gridCol w:w="1814"/>
        <w:gridCol w:w="1814"/>
      </w:tblGrid>
      <w:tr>
        <w:trPr>
          <w:tblHeader w:val="true"/>
          <w:cantSplit/>
          <w:tblHeader/>
        </w:trPr>
        <w:tc>
          <w:tcPr>
            <w:tcW w:w="1814" w:type="dxa"/>
            <w:tcBorders>
              <w:bottom w:val="single" w:sz="5" w:space="0" w:color="000000"/>
            </w:tcBorders>
            <w:vAlign w:val="center"/>
          </w:tcPr>
          <w:p>
            <w:pPr>
              <w:pStyle w:val="Compact"/>
              <w:spacing w:before="0" w:after="60" w:line="240" w:lineRule="auto"/>
              <w:jc w:val="left"/>
            </w:pPr>
            <w:r>
              <w:rPr>
                <w:b/>
                <w:sz w:val="18"/>
              </w:rPr>
              <w:t xml:space="preserve">Task</w:t>
            </w:r>
          </w:p>
        </w:tc>
        <w:tc>
          <w:tcPr>
            <w:tcW w:w="1814"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814"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814"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814" w:type="dxa"/>
            <w:tcBorders>
              <w:bottom w:val="single" w:sz="5" w:space="0" w:color="000000"/>
            </w:tcBorders>
            <w:vAlign w:val="center"/>
          </w:tcPr>
          <w:p>
            <w:pPr>
              <w:pStyle w:val="Compact"/>
              <w:spacing w:before="0" w:after="60" w:line="240" w:lineRule="auto"/>
              <w:jc w:val="center"/>
            </w:pPr>
            <w:r>
              <w:rPr>
                <w:b/>
                <w:sz w:val="18"/>
              </w:rPr>
              <w:t xml:space="preserve">F1</w:t>
            </w:r>
          </w:p>
        </w:tc>
      </w:tr>
      <w:tr>
        <w:trPr>
          <w:cantSplit/>
        </w:trPr>
        <w:tc>
          <w:tcPr>
            <w:tcW w:w="1814" w:type="dxa"/>
          </w:tcPr>
          <w:p>
            <w:pPr>
              <w:pStyle w:val="Compact"/>
              <w:spacing w:before="0" w:after="60" w:line="240" w:lineRule="auto"/>
              <w:jc w:val="left"/>
            </w:pPr>
            <w:r>
              <w:rPr>
                <w:sz w:val="18"/>
              </w:rPr>
              <w:t xml:space="preserve">2 dpi</w:t>
            </w:r>
          </w:p>
        </w:tc>
        <w:tc>
          <w:tcPr>
            <w:tcW w:w="1814" w:type="dxa"/>
          </w:tcPr>
          <w:p>
            <w:pPr>
              <w:pStyle w:val="Compact"/>
              <w:spacing w:before="0" w:after="60" w:line="240" w:lineRule="auto"/>
              <w:jc w:val="center"/>
            </w:pPr>
            <w:r>
              <w:rPr>
                <w:sz w:val="18"/>
              </w:rPr>
              <w:t xml:space="preserve">55.91–73.12</w:t>
            </w:r>
          </w:p>
        </w:tc>
        <w:tc>
          <w:tcPr>
            <w:tcW w:w="1814" w:type="dxa"/>
          </w:tcPr>
          <w:p>
            <w:pPr>
              <w:pStyle w:val="Compact"/>
              <w:spacing w:before="0" w:after="60" w:line="240" w:lineRule="auto"/>
              <w:jc w:val="center"/>
            </w:pPr>
            <w:r>
              <w:rPr>
                <w:sz w:val="18"/>
              </w:rPr>
              <w:t xml:space="preserve">42.57–63.50</w:t>
            </w:r>
          </w:p>
        </w:tc>
        <w:tc>
          <w:tcPr>
            <w:tcW w:w="1814" w:type="dxa"/>
          </w:tcPr>
          <w:p>
            <w:pPr>
              <w:pStyle w:val="Compact"/>
              <w:spacing w:before="0" w:after="60" w:line="240" w:lineRule="auto"/>
              <w:jc w:val="center"/>
            </w:pPr>
            <w:r>
              <w:rPr>
                <w:sz w:val="18"/>
              </w:rPr>
              <w:t xml:space="preserve">0.423–0.687</w:t>
            </w:r>
          </w:p>
        </w:tc>
        <w:tc>
          <w:tcPr>
            <w:tcW w:w="1814" w:type="dxa"/>
          </w:tcPr>
          <w:p>
            <w:pPr>
              <w:pStyle w:val="Compact"/>
              <w:spacing w:before="0" w:after="60" w:line="240" w:lineRule="auto"/>
              <w:jc w:val="center"/>
            </w:pPr>
            <w:r>
              <w:rPr>
                <w:sz w:val="18"/>
              </w:rPr>
              <w:t xml:space="preserve">0.692–0.823</w:t>
            </w:r>
          </w:p>
        </w:tc>
      </w:tr>
      <w:tr>
        <w:trPr>
          <w:cantSplit/>
        </w:trPr>
        <w:tc>
          <w:tcPr>
            <w:tcW w:w="1814" w:type="dxa"/>
          </w:tcPr>
          <w:p>
            <w:pPr>
              <w:pStyle w:val="Compact"/>
              <w:spacing w:before="0" w:after="60" w:line="240" w:lineRule="auto"/>
              <w:jc w:val="left"/>
            </w:pPr>
            <w:r>
              <w:rPr>
                <w:sz w:val="18"/>
              </w:rPr>
              <w:t xml:space="preserve">4 dpi</w:t>
            </w:r>
          </w:p>
        </w:tc>
        <w:tc>
          <w:tcPr>
            <w:tcW w:w="1814" w:type="dxa"/>
          </w:tcPr>
          <w:p>
            <w:pPr>
              <w:pStyle w:val="Compact"/>
              <w:spacing w:before="0" w:after="60" w:line="240" w:lineRule="auto"/>
              <w:jc w:val="center"/>
            </w:pPr>
            <w:r>
              <w:rPr>
                <w:sz w:val="18"/>
              </w:rPr>
              <w:t xml:space="preserve">82.29–93.75</w:t>
            </w:r>
          </w:p>
        </w:tc>
        <w:tc>
          <w:tcPr>
            <w:tcW w:w="1814" w:type="dxa"/>
          </w:tcPr>
          <w:p>
            <w:pPr>
              <w:pStyle w:val="Compact"/>
              <w:spacing w:before="0" w:after="60" w:line="240" w:lineRule="auto"/>
              <w:jc w:val="center"/>
            </w:pPr>
            <w:r>
              <w:rPr>
                <w:sz w:val="18"/>
              </w:rPr>
              <w:t xml:space="preserve">72.92–91.67</w:t>
            </w:r>
          </w:p>
        </w:tc>
        <w:tc>
          <w:tcPr>
            <w:tcW w:w="1814" w:type="dxa"/>
          </w:tcPr>
          <w:p>
            <w:pPr>
              <w:pStyle w:val="Compact"/>
              <w:spacing w:before="0" w:after="60" w:line="240" w:lineRule="auto"/>
              <w:jc w:val="center"/>
            </w:pPr>
            <w:r>
              <w:rPr>
                <w:sz w:val="18"/>
              </w:rPr>
              <w:t xml:space="preserve">0.913–0.986</w:t>
            </w:r>
          </w:p>
        </w:tc>
        <w:tc>
          <w:tcPr>
            <w:tcW w:w="1814" w:type="dxa"/>
          </w:tcPr>
          <w:p>
            <w:pPr>
              <w:pStyle w:val="Compact"/>
              <w:spacing w:before="0" w:after="60" w:line="240" w:lineRule="auto"/>
              <w:jc w:val="center"/>
            </w:pPr>
            <w:r>
              <w:rPr>
                <w:sz w:val="18"/>
              </w:rPr>
              <w:t xml:space="preserve">0.884–0.959</w:t>
            </w:r>
          </w:p>
        </w:tc>
      </w:tr>
      <w:tr>
        <w:trPr>
          <w:cantSplit/>
        </w:trPr>
        <w:tc>
          <w:tcPr>
            <w:tcW w:w="1814" w:type="dxa"/>
          </w:tcPr>
          <w:p>
            <w:pPr>
              <w:pStyle w:val="Compact"/>
              <w:spacing w:before="0" w:after="60" w:line="240" w:lineRule="auto"/>
              <w:jc w:val="left"/>
            </w:pPr>
            <w:r>
              <w:rPr>
                <w:sz w:val="18"/>
              </w:rPr>
              <w:t xml:space="preserve">6 dpi</w:t>
            </w:r>
          </w:p>
        </w:tc>
        <w:tc>
          <w:tcPr>
            <w:tcW w:w="1814" w:type="dxa"/>
          </w:tcPr>
          <w:p>
            <w:pPr>
              <w:pStyle w:val="Compact"/>
              <w:spacing w:before="0" w:after="60" w:line="240" w:lineRule="auto"/>
              <w:jc w:val="center"/>
            </w:pPr>
            <w:r>
              <w:rPr>
                <w:sz w:val="18"/>
              </w:rPr>
              <w:t xml:space="preserve">91.67–98.96</w:t>
            </w:r>
          </w:p>
        </w:tc>
        <w:tc>
          <w:tcPr>
            <w:tcW w:w="1814" w:type="dxa"/>
          </w:tcPr>
          <w:p>
            <w:pPr>
              <w:pStyle w:val="Compact"/>
              <w:spacing w:before="0" w:after="60" w:line="240" w:lineRule="auto"/>
              <w:jc w:val="center"/>
            </w:pPr>
            <w:r>
              <w:rPr>
                <w:sz w:val="18"/>
              </w:rPr>
              <w:t xml:space="preserve">90.28–99.31</w:t>
            </w:r>
          </w:p>
        </w:tc>
        <w:tc>
          <w:tcPr>
            <w:tcW w:w="1814" w:type="dxa"/>
          </w:tcPr>
          <w:p>
            <w:pPr>
              <w:pStyle w:val="Compact"/>
              <w:spacing w:before="0" w:after="60" w:line="240" w:lineRule="auto"/>
              <w:jc w:val="center"/>
            </w:pPr>
            <w:r>
              <w:rPr>
                <w:sz w:val="18"/>
              </w:rPr>
              <w:t xml:space="preserve">0.973–1.000</w:t>
            </w:r>
          </w:p>
        </w:tc>
        <w:tc>
          <w:tcPr>
            <w:tcW w:w="1814" w:type="dxa"/>
          </w:tcPr>
          <w:p>
            <w:pPr>
              <w:pStyle w:val="Compact"/>
              <w:spacing w:before="0" w:after="60" w:line="240" w:lineRule="auto"/>
              <w:jc w:val="center"/>
            </w:pPr>
            <w:r>
              <w:rPr>
                <w:sz w:val="18"/>
              </w:rPr>
              <w:t xml:space="preserve">0.942–0.993</w:t>
            </w:r>
          </w:p>
        </w:tc>
      </w:tr>
      <w:tr>
        <w:trPr>
          <w:cantSplit/>
        </w:trPr>
        <w:tc>
          <w:tcPr>
            <w:tcW w:w="1814" w:type="dxa"/>
          </w:tcPr>
          <w:p>
            <w:pPr>
              <w:pStyle w:val="Compact"/>
              <w:spacing w:before="0" w:after="60" w:line="240" w:lineRule="auto"/>
              <w:jc w:val="left"/>
            </w:pPr>
            <w:r>
              <w:rPr>
                <w:sz w:val="18"/>
              </w:rPr>
              <w:t xml:space="preserve">Joint 2+4 dpi</w:t>
            </w:r>
          </w:p>
        </w:tc>
        <w:tc>
          <w:tcPr>
            <w:tcW w:w="1814" w:type="dxa"/>
          </w:tcPr>
          <w:p>
            <w:pPr>
              <w:pStyle w:val="Compact"/>
              <w:spacing w:before="0" w:after="60" w:line="240" w:lineRule="auto"/>
              <w:jc w:val="center"/>
            </w:pPr>
            <w:r>
              <w:rPr>
                <w:sz w:val="18"/>
              </w:rPr>
              <w:t xml:space="preserve">62.50–80.21</w:t>
            </w:r>
          </w:p>
        </w:tc>
        <w:tc>
          <w:tcPr>
            <w:tcW w:w="1814" w:type="dxa"/>
          </w:tcPr>
          <w:p>
            <w:pPr>
              <w:pStyle w:val="Compact"/>
              <w:spacing w:before="0" w:after="60" w:line="240" w:lineRule="auto"/>
              <w:jc w:val="center"/>
            </w:pPr>
            <w:r>
              <w:rPr>
                <w:sz w:val="18"/>
              </w:rPr>
              <w:t xml:space="preserve">57.64–79.17</w:t>
            </w:r>
          </w:p>
        </w:tc>
        <w:tc>
          <w:tcPr>
            <w:tcW w:w="1814" w:type="dxa"/>
          </w:tcPr>
          <w:p>
            <w:pPr>
              <w:pStyle w:val="Compact"/>
              <w:spacing w:before="0" w:after="60" w:line="240" w:lineRule="auto"/>
              <w:jc w:val="center"/>
            </w:pPr>
            <w:r>
              <w:rPr>
                <w:sz w:val="18"/>
              </w:rPr>
              <w:t xml:space="preserve">0.625–0.863</w:t>
            </w:r>
          </w:p>
        </w:tc>
        <w:tc>
          <w:tcPr>
            <w:tcW w:w="1814" w:type="dxa"/>
          </w:tcPr>
          <w:p>
            <w:pPr>
              <w:pStyle w:val="Compact"/>
              <w:spacing w:before="0" w:after="60" w:line="240" w:lineRule="auto"/>
              <w:jc w:val="center"/>
            </w:pPr>
            <w:r>
              <w:rPr>
                <w:sz w:val="18"/>
              </w:rPr>
              <w:t xml:space="preserve">0.727–0.865</w:t>
            </w:r>
          </w:p>
        </w:tc>
      </w:tr>
      <w:tr>
        <w:trPr>
          <w:cantSplit/>
        </w:trPr>
        <w:tc>
          <w:tcPr>
            <w:tcW w:w="1814" w:type="dxa"/>
          </w:tcPr>
          <w:p>
            <w:pPr>
              <w:pStyle w:val="Compact"/>
              <w:spacing w:before="0" w:after="60" w:line="240" w:lineRule="auto"/>
              <w:jc w:val="left"/>
            </w:pPr>
            <w:r>
              <w:rPr>
                <w:sz w:val="18"/>
              </w:rPr>
              <w:t xml:space="preserve">All dates pooled</w:t>
            </w:r>
          </w:p>
        </w:tc>
        <w:tc>
          <w:tcPr>
            <w:tcW w:w="1814" w:type="dxa"/>
          </w:tcPr>
          <w:p>
            <w:pPr>
              <w:pStyle w:val="Compact"/>
              <w:spacing w:before="0" w:after="60" w:line="240" w:lineRule="auto"/>
              <w:jc w:val="center"/>
            </w:pPr>
            <w:r>
              <w:rPr>
                <w:sz w:val="18"/>
              </w:rPr>
              <w:t xml:space="preserve">88.54–97.92</w:t>
            </w:r>
          </w:p>
        </w:tc>
        <w:tc>
          <w:tcPr>
            <w:tcW w:w="1814" w:type="dxa"/>
          </w:tcPr>
          <w:p>
            <w:pPr>
              <w:pStyle w:val="Compact"/>
              <w:spacing w:before="0" w:after="60" w:line="240" w:lineRule="auto"/>
              <w:jc w:val="center"/>
            </w:pPr>
            <w:r>
              <w:rPr>
                <w:sz w:val="18"/>
              </w:rPr>
              <w:t xml:space="preserve">86.11–98.61</w:t>
            </w:r>
          </w:p>
        </w:tc>
        <w:tc>
          <w:tcPr>
            <w:tcW w:w="1814" w:type="dxa"/>
          </w:tcPr>
          <w:p>
            <w:pPr>
              <w:pStyle w:val="Compact"/>
              <w:spacing w:before="0" w:after="60" w:line="240" w:lineRule="auto"/>
              <w:jc w:val="center"/>
            </w:pPr>
            <w:r>
              <w:rPr>
                <w:sz w:val="18"/>
              </w:rPr>
              <w:t xml:space="preserve">0.950–1.000</w:t>
            </w:r>
          </w:p>
        </w:tc>
        <w:tc>
          <w:tcPr>
            <w:tcW w:w="1814" w:type="dxa"/>
          </w:tcPr>
          <w:p>
            <w:pPr>
              <w:pStyle w:val="Compact"/>
              <w:spacing w:before="0" w:after="60" w:line="240" w:lineRule="auto"/>
              <w:jc w:val="center"/>
            </w:pPr>
            <w:r>
              <w:rPr>
                <w:sz w:val="18"/>
              </w:rPr>
              <w:t xml:space="preserve">0.921–0.986</w:t>
            </w:r>
          </w:p>
        </w:tc>
      </w:tr>
    </w:tbl>
    <w:bookmarkEnd w:id="61"/>
    <w:bookmarkStart w:id="62" w:name="within-time-point-spectral-differences"/>
    <w:p>
      <w:pPr>
        <w:pStyle w:val="Heading2"/>
      </w:pPr>
      <w:r>
        <w:rPr>
          <w:rStyle w:val="SectionNumber"/>
        </w:rPr>
        <w:t xml:space="preserve">3.8</w:t>
      </w:r>
      <w:r>
        <w:rPr/>
        <w:tab/>
      </w:r>
      <w:r>
        <w:rPr/>
        <w:t xml:space="preserve">Within-time-point spectral differences</w:t>
      </w:r>
    </w:p>
    <w:p>
      <w:pPr>
        <w:pStyle w:val="FirstParagraph"/>
      </w:pPr>
      <w:r>
        <w:rPr/>
        <w:t>At 2 dpi, 302 of 313 computational bands differed between groups at within-date BH q &lt; 0.05; the minimum q was 0.000317 and the median absolute Hedges’ g was 0.786. At 4 and 6 dpi, no bands met this threshold; minimum q values were 0.0892 and 0.170, and median absolute effect sizes were 0.444 and 0.158, respectively (Table 12; Fig. 7). These are whole-cube intensity differences and can include background, illumination and acquisition effects. The absence of significant bands at later dates does not demonstrate absence of biological change. The particularly strong 2 dpi differences, together with the HSI-only classification pattern, warrant caution about an acquisition-specific signal.</w:t>
      </w:r>
    </w:p>
    <w:p>
      <w:pPr>
        <w:pStyle w:val="TableCaption"/>
      </w:pPr>
      <w:r>
        <w:rPr/>
        <w:t>Table 12. Exploratory whole-cube spectral statistics. Welch tests and BH correction were performed separately for 313 computational bands within each dpi. Counts refer to available paired-data plants. Effect sizes are descriptive; bands are correlated and do not constitute independent biological replicates.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pPr>
              <w:spacing w:after="60" w:line="240" w:lineRule="auto"/>
            </w:pPr>
            <w:r>
              <w:rPr>
                <w:b/>
                <w:sz w:val="18"/>
              </w:rPr>
              <w:t>dpi</w:t>
            </w:r>
          </w:p>
        </w:tc>
        <w:tc>
          <w:tcPr>
            <w:tcW w:type="dxa" w:w="1440"/>
          </w:tcPr>
          <w:p>
            <w:pPr>
              <w:spacing w:after="60" w:line="240" w:lineRule="auto"/>
            </w:pPr>
            <w:r>
              <w:rPr>
                <w:b/>
                <w:sz w:val="18"/>
              </w:rPr>
              <w:t>Inoculated / mock</w:t>
            </w:r>
          </w:p>
        </w:tc>
        <w:tc>
          <w:tcPr>
            <w:tcW w:type="dxa" w:w="1440"/>
          </w:tcPr>
          <w:p>
            <w:pPr>
              <w:spacing w:after="60" w:line="240" w:lineRule="auto"/>
            </w:pPr>
            <w:r>
              <w:rPr>
                <w:b/>
                <w:sz w:val="18"/>
              </w:rPr>
              <w:t>Bands</w:t>
            </w:r>
          </w:p>
        </w:tc>
        <w:tc>
          <w:tcPr>
            <w:tcW w:type="dxa" w:w="1440"/>
          </w:tcPr>
          <w:p>
            <w:pPr>
              <w:spacing w:after="60" w:line="240" w:lineRule="auto"/>
            </w:pPr>
            <w:r>
              <w:rPr>
                <w:b/>
                <w:sz w:val="18"/>
              </w:rPr>
              <w:t>BH q &lt; 0.05</w:t>
            </w:r>
          </w:p>
        </w:tc>
        <w:tc>
          <w:tcPr>
            <w:tcW w:type="dxa" w:w="1440"/>
          </w:tcPr>
          <w:p>
            <w:pPr>
              <w:spacing w:after="60" w:line="240" w:lineRule="auto"/>
            </w:pPr>
            <w:r>
              <w:rPr>
                <w:b/>
                <w:sz w:val="18"/>
              </w:rPr>
              <w:t>Minimum q</w:t>
            </w:r>
          </w:p>
        </w:tc>
        <w:tc>
          <w:tcPr>
            <w:tcW w:type="dxa" w:w="1440"/>
          </w:tcPr>
          <w:p>
            <w:pPr>
              <w:spacing w:after="60" w:line="240" w:lineRule="auto"/>
            </w:pPr>
            <w:r>
              <w:rPr>
                <w:b/>
                <w:sz w:val="18"/>
              </w:rPr>
              <w:t>Median |g|</w:t>
            </w:r>
          </w:p>
        </w:tc>
      </w:tr>
      <w:tr>
        <w:tc>
          <w:tcPr>
            <w:tcW w:type="dxa" w:w="1440"/>
          </w:tcPr>
          <w:p>
            <w:pPr>
              <w:spacing w:after="60" w:line="240" w:lineRule="auto"/>
            </w:pPr>
            <w:r>
              <w:rPr>
                <w:b w:val="0"/>
                <w:sz w:val="18"/>
              </w:rPr>
              <w:t>2</w:t>
            </w:r>
          </w:p>
        </w:tc>
        <w:tc>
          <w:tcPr>
            <w:tcW w:type="dxa" w:w="1440"/>
          </w:tcPr>
          <w:p>
            <w:pPr>
              <w:spacing w:after="60" w:line="240" w:lineRule="auto"/>
            </w:pPr>
            <w:r>
              <w:rPr>
                <w:b w:val="0"/>
                <w:sz w:val="18"/>
              </w:rPr>
              <w:t>69 / 24</w:t>
            </w:r>
          </w:p>
        </w:tc>
        <w:tc>
          <w:tcPr>
            <w:tcW w:type="dxa" w:w="1440"/>
          </w:tcPr>
          <w:p>
            <w:pPr>
              <w:spacing w:after="60" w:line="240" w:lineRule="auto"/>
            </w:pPr>
            <w:r>
              <w:rPr>
                <w:b w:val="0"/>
                <w:sz w:val="18"/>
              </w:rPr>
              <w:t>313</w:t>
            </w:r>
          </w:p>
        </w:tc>
        <w:tc>
          <w:tcPr>
            <w:tcW w:type="dxa" w:w="1440"/>
          </w:tcPr>
          <w:p>
            <w:pPr>
              <w:spacing w:after="60" w:line="240" w:lineRule="auto"/>
            </w:pPr>
            <w:r>
              <w:rPr>
                <w:b w:val="0"/>
                <w:sz w:val="18"/>
              </w:rPr>
              <w:t>302</w:t>
            </w:r>
          </w:p>
        </w:tc>
        <w:tc>
          <w:tcPr>
            <w:tcW w:type="dxa" w:w="1440"/>
          </w:tcPr>
          <w:p>
            <w:pPr>
              <w:spacing w:after="60" w:line="240" w:lineRule="auto"/>
            </w:pPr>
            <w:r>
              <w:rPr>
                <w:b w:val="0"/>
                <w:sz w:val="18"/>
              </w:rPr>
              <w:t>0.000317</w:t>
            </w:r>
          </w:p>
        </w:tc>
        <w:tc>
          <w:tcPr>
            <w:tcW w:type="dxa" w:w="1440"/>
          </w:tcPr>
          <w:p>
            <w:pPr>
              <w:spacing w:after="60" w:line="240" w:lineRule="auto"/>
            </w:pPr>
            <w:r>
              <w:rPr>
                <w:b w:val="0"/>
                <w:sz w:val="18"/>
              </w:rPr>
              <w:t>0.786</w:t>
            </w:r>
          </w:p>
        </w:tc>
      </w:tr>
      <w:tr>
        <w:tc>
          <w:tcPr>
            <w:tcW w:type="dxa" w:w="1440"/>
          </w:tcPr>
          <w:p>
            <w:pPr>
              <w:spacing w:after="60" w:line="240" w:lineRule="auto"/>
            </w:pPr>
            <w:r>
              <w:rPr>
                <w:b w:val="0"/>
                <w:sz w:val="18"/>
              </w:rPr>
              <w:t>4</w:t>
            </w:r>
          </w:p>
        </w:tc>
        <w:tc>
          <w:tcPr>
            <w:tcW w:type="dxa" w:w="1440"/>
          </w:tcPr>
          <w:p>
            <w:pPr>
              <w:spacing w:after="60" w:line="240" w:lineRule="auto"/>
            </w:pPr>
            <w:r>
              <w:rPr>
                <w:b w:val="0"/>
                <w:sz w:val="18"/>
              </w:rPr>
              <w:t>72 / 24</w:t>
            </w:r>
          </w:p>
        </w:tc>
        <w:tc>
          <w:tcPr>
            <w:tcW w:type="dxa" w:w="1440"/>
          </w:tcPr>
          <w:p>
            <w:pPr>
              <w:spacing w:after="60" w:line="240" w:lineRule="auto"/>
            </w:pPr>
            <w:r>
              <w:rPr>
                <w:b w:val="0"/>
                <w:sz w:val="18"/>
              </w:rPr>
              <w:t>313</w:t>
            </w:r>
          </w:p>
        </w:tc>
        <w:tc>
          <w:tcPr>
            <w:tcW w:type="dxa" w:w="1440"/>
          </w:tcPr>
          <w:p>
            <w:pPr>
              <w:spacing w:after="60" w:line="240" w:lineRule="auto"/>
            </w:pPr>
            <w:r>
              <w:rPr>
                <w:b w:val="0"/>
                <w:sz w:val="18"/>
              </w:rPr>
              <w:t>0</w:t>
            </w:r>
          </w:p>
        </w:tc>
        <w:tc>
          <w:tcPr>
            <w:tcW w:type="dxa" w:w="1440"/>
          </w:tcPr>
          <w:p>
            <w:pPr>
              <w:spacing w:after="60" w:line="240" w:lineRule="auto"/>
            </w:pPr>
            <w:r>
              <w:rPr>
                <w:b w:val="0"/>
                <w:sz w:val="18"/>
              </w:rPr>
              <w:t>0.089157</w:t>
            </w:r>
          </w:p>
        </w:tc>
        <w:tc>
          <w:tcPr>
            <w:tcW w:type="dxa" w:w="1440"/>
          </w:tcPr>
          <w:p>
            <w:pPr>
              <w:spacing w:after="60" w:line="240" w:lineRule="auto"/>
            </w:pPr>
            <w:r>
              <w:rPr>
                <w:b w:val="0"/>
                <w:sz w:val="18"/>
              </w:rPr>
              <w:t>0.444</w:t>
            </w:r>
          </w:p>
        </w:tc>
      </w:tr>
      <w:tr>
        <w:tc>
          <w:tcPr>
            <w:tcW w:type="dxa" w:w="1440"/>
          </w:tcPr>
          <w:p>
            <w:pPr>
              <w:spacing w:after="60" w:line="240" w:lineRule="auto"/>
            </w:pPr>
            <w:r>
              <w:rPr>
                <w:b w:val="0"/>
                <w:sz w:val="18"/>
              </w:rPr>
              <w:t>6</w:t>
            </w:r>
          </w:p>
        </w:tc>
        <w:tc>
          <w:tcPr>
            <w:tcW w:type="dxa" w:w="1440"/>
          </w:tcPr>
          <w:p>
            <w:pPr>
              <w:spacing w:after="60" w:line="240" w:lineRule="auto"/>
            </w:pPr>
            <w:r>
              <w:rPr>
                <w:b w:val="0"/>
                <w:sz w:val="18"/>
              </w:rPr>
              <w:t>72 / 24</w:t>
            </w:r>
          </w:p>
        </w:tc>
        <w:tc>
          <w:tcPr>
            <w:tcW w:type="dxa" w:w="1440"/>
          </w:tcPr>
          <w:p>
            <w:pPr>
              <w:spacing w:after="60" w:line="240" w:lineRule="auto"/>
            </w:pPr>
            <w:r>
              <w:rPr>
                <w:b w:val="0"/>
                <w:sz w:val="18"/>
              </w:rPr>
              <w:t>313</w:t>
            </w:r>
          </w:p>
        </w:tc>
        <w:tc>
          <w:tcPr>
            <w:tcW w:type="dxa" w:w="1440"/>
          </w:tcPr>
          <w:p>
            <w:pPr>
              <w:spacing w:after="60" w:line="240" w:lineRule="auto"/>
            </w:pPr>
            <w:r>
              <w:rPr>
                <w:b w:val="0"/>
                <w:sz w:val="18"/>
              </w:rPr>
              <w:t>0</w:t>
            </w:r>
          </w:p>
        </w:tc>
        <w:tc>
          <w:tcPr>
            <w:tcW w:type="dxa" w:w="1440"/>
          </w:tcPr>
          <w:p>
            <w:pPr>
              <w:spacing w:after="60" w:line="240" w:lineRule="auto"/>
            </w:pPr>
            <w:r>
              <w:rPr>
                <w:b w:val="0"/>
                <w:sz w:val="18"/>
              </w:rPr>
              <w:t>0.170346</w:t>
            </w:r>
          </w:p>
        </w:tc>
        <w:tc>
          <w:tcPr>
            <w:tcW w:type="dxa" w:w="1440"/>
          </w:tcPr>
          <w:p>
            <w:pPr>
              <w:spacing w:after="60" w:line="240" w:lineRule="auto"/>
            </w:pPr>
            <w:r>
              <w:rPr>
                <w:b w:val="0"/>
                <w:sz w:val="18"/>
              </w:rPr>
              <w:t>0.158</w:t>
            </w:r>
          </w:p>
        </w:tc>
      </w:tr>
    </w:tbl>
    <w:p>
      <w:pPr>
        <w:keepNext/>
        <w:jc w:val="center"/>
      </w:pPr>
      <w:r>
        <w:rPr/>
        <w:drawing>
          <wp:inline>
            <wp:extent cx="5120640" cy="3237267"/>
            <wp:docPr id="61" name="Picture 61"/>
            <wp:cNvGraphicFramePr>
              <a:graphicFrameLocks noChangeAspect="1"/>
            </wp:cNvGraphicFramePr>
            <a:graphic>
              <a:graphicData uri="http://schemas.openxmlformats.org/drawingml/2006/picture">
                <pic:pic>
                  <pic:nvPicPr>
                    <pic:cNvPr id="0" name="Figure_7_spectral_statistics.png"/>
                    <pic:cNvPicPr/>
                  </pic:nvPicPr>
                  <pic:blipFill>
                    <a:blip r:embed="rId13"/>
                    <a:stretch>
                      <a:fillRect/>
                    </a:stretch>
                  </pic:blipFill>
                  <pic:spPr>
                    <a:xfrm>
                      <a:off x="0" y="0"/>
                      <a:ext cx="5120640" cy="3237267"/>
                    </a:xfrm>
                    <a:prstGeom prst="rect"/>
                  </pic:spPr>
                </pic:pic>
              </a:graphicData>
            </a:graphic>
          </wp:inline>
        </w:drawing>
      </w:r>
    </w:p>
    <w:p>
      <w:pPr>
        <w:pStyle w:val="PlaceholderBlock"/>
        <w:keepLines/>
      </w:pPr>
      <w:r>
        <w:rPr/>
        <w:t>Figure 7. Whole-cube spectral summaries at 2, 4 and 6 dpi. (a–c) Group mean intensity with pointwise 95% t-based confidence intervals over plant means. (d–f) Hedges’ g for inoculated minus mock plants; orange marks identify within-date BH q &lt; 0.05. The x-axis denotes computational band index, not validated wavelength. Counts are 69 inoculated and 24 mock plants at 2 dpi, and 72 inoculated and 24 mock plants at 4 and 6 dpi.</w:t>
      </w:r>
    </w:p>
    <w:bookmarkEnd w:id="62"/>
    <w:bookmarkStart w:id="63" w:name="model-attribution"/>
    <w:p>
      <w:pPr>
        <w:pStyle w:val="Heading2"/>
      </w:pPr>
      <w:r>
        <w:rPr/>
        <w:t>3.9</w:t>
        <w:tab/>
        <w:t>Limits of model attribution</w:t>
      </w:r>
    </w:p>
    <w:p>
      <w:pPr>
        <w:pStyle w:val="FirstParagraph"/>
      </w:pPr>
      <w:r>
        <w:rPr/>
        <w:t>Archived band-group occlusion summaries reported no change in balanced accuracy or AUROC, but the corresponding masked probabilities were not retained and whole-modality interventions were not validated. We therefore do not use these summaries to infer that HSI is unused or to assign physiological meaning to particular bands. The band-selection experiment in Table 10 tests predictive sufficiency after retraining, which is distinct from attribution in an already trained model. No validated attribution result is presented.</w:t>
      </w:r>
    </w:p>
    <w:bookmarkEnd w:id="63"/>
    <w:bookmarkStart w:id="64" w:name="computational-cost"/>
    <w:p>
      <w:pPr>
        <w:pStyle w:val="Heading2"/>
      </w:pPr>
      <w:r>
        <w:rPr>
          <w:rStyle w:val="SectionNumber"/>
        </w:rPr>
        <w:t xml:space="preserve">3.10</w:t>
      </w:r>
      <w:r>
        <w:rPr/>
        <w:tab/>
      </w:r>
      <w:r>
        <w:rPr/>
        <w:t xml:space="preserve">Computational cost</w:t>
      </w:r>
    </w:p>
    <w:p>
      <w:pPr>
        <w:pStyle w:val="FirstParagraph"/>
      </w:pPr>
      <w:r>
        <w:rPr/>
        <w:t>The full PSNet has 22,006,402 registered parameters (Table 4). Archived model-only inference on an NVIDIA A100-SXM4-80GB GPU with batch size 1 and synthetic input took 4.70 ms with peak GPU memory of 142.8 MiB. Acquisition and preprocessing are excluded. Comparable baseline timings, end-to-end latency and edge-device performance were not established, so these measurements cannot support a Raspberry Pi deployment claim.</w:t>
      </w:r>
    </w:p>
    <w:bookmarkEnd w:id="64"/>
    <w:bookmarkEnd w:id="65"/>
    <w:bookmarkStart w:id="74" w:name="discussion"/>
    <w:p>
      <w:pPr>
        <w:pStyle w:val="Heading1"/>
      </w:pPr>
      <w:r>
        <w:rPr>
          <w:rStyle w:val="SectionNumber"/>
        </w:rPr>
        <w:t xml:space="preserve">4</w:t>
      </w:r>
      <w:r>
        <w:rPr/>
        <w:tab/>
      </w:r>
      <w:r>
        <w:rPr/>
        <w:t xml:space="preserve">Discussion</w:t>
      </w:r>
    </w:p>
    <w:bookmarkStart w:id="66" w:name="principal-findings"/>
    <w:p>
      <w:pPr>
        <w:pStyle w:val="Heading2"/>
      </w:pPr>
      <w:r>
        <w:rPr>
          <w:rStyle w:val="SectionNumber"/>
        </w:rPr>
        <w:t xml:space="preserve">4.1</w:t>
      </w:r>
      <w:r>
        <w:rPr/>
        <w:tab/>
      </w:r>
      <w:r>
        <w:rPr/>
        <w:t xml:space="preserve">Principal findings</w:t>
      </w:r>
    </w:p>
    <w:p>
      <w:pPr>
        <w:pStyle w:val="FirstParagraph"/>
      </w:pPr>
      <w:r>
        <w:rPr/>
        <w:t>RGB-containing models distinguished the inoculated and mock groups at 4 dpi, before visible symptoms, and at 6 dpi, when sporulation was present on the lower surface but not on the imaged upper surface. PSNet was close to chance at 2 dpi. RGB-only models performed within the range of multimodal models, and the reported comparisons do not demonstrate an incremental benefit from HSI. The results establish within-run treatment-group discrimination, not confirmed infection-specific detection: tray, imaging order and unrecorded gain could also contribute.</w:t>
      </w:r>
    </w:p>
    <w:bookmarkEnd w:id="66"/>
    <w:bookmarkStart w:id="67" w:name="X7c733d165af761b3f19ab9e7e08724e19f9ca6c"/>
    <w:p>
      <w:pPr>
        <w:pStyle w:val="Heading2"/>
      </w:pPr>
      <w:r>
        <w:rPr>
          <w:rStyle w:val="SectionNumber"/>
        </w:rPr>
        <w:t xml:space="preserve">4.2</w:t>
      </w:r>
      <w:r>
        <w:rPr/>
        <w:tab/>
      </w:r>
      <w:r>
        <w:rPr/>
        <w:t xml:space="preserve">The 2 dpi result and the reversed time course of the HSI-only models</w:t>
      </w:r>
    </w:p>
    <w:p>
      <w:pPr>
        <w:pStyle w:val="FirstParagraph"/>
      </w:pPr>
      <w:r>
        <w:rPr/>
        <w:t>The HSI Transformer and compact 3D CNN achieved AUROCs of 0.850 and 0.916 at 2 dpi and then performed much less well at later dates. Whole-cube spectral differences were also strongest at 2 dpi. A transient biological response is one possible explanation, but acquisition-specific variation, background, automatic gain and overfitting remain alternatives. Mock plants were always imaged first, so treatment and acquisition order were inseparable. Neither the spectral summaries nor the classification scores identify the cause. The incomplete 2 dpi paired-data coverage and unverified upstream preprocessing further limit interpretation. We therefore do not treat the 2 dpi HSI-only scores as evidence of an infection-specific early signal.</w:t>
      </w:r>
    </w:p>
    <w:bookmarkEnd w:id="67"/>
    <w:bookmarkStart w:id="68" w:name="X9847abbf99d406ce97d995df613ae73a15f22cd"/>
    <w:p>
      <w:pPr>
        <w:pStyle w:val="Heading2"/>
      </w:pPr>
      <w:r>
        <w:rPr>
          <w:rStyle w:val="SectionNumber"/>
        </w:rPr>
        <w:t xml:space="preserve">4.3</w:t>
      </w:r>
      <w:r>
        <w:rPr/>
        <w:tab/>
      </w:r>
      <w:r>
        <w:rPr/>
        <w:t xml:space="preserve">Role of the hyperspectral and RGB streams</w:t>
      </w:r>
    </w:p>
    <w:p>
      <w:pPr>
        <w:pStyle w:val="FirstParagraph"/>
      </w:pPr>
      <w:r>
        <w:rPr/>
        <w:t>The dominance of RGB models is consistent with the practical difficulty of learning from a high-dimensional spectral cube in fewer than 100 plants, whereas pretrained ResNets bring spatial priors learned from natural images. It is also consistent with limitations of the hyperspectral data themselves: the cubes are uncalibrated intensities without a white reference, the band–wavelength mapping must be restored, and radiometric performance has not been characterised (Table 2). Because no visible symptoms were seen on the imaged upper surface at any time point, the RGB discrimination at 4 and 6 dpi cannot be attributed to visible lesions or pustules. It may reflect subtle differences in leaf colour, texture or posture caused by infection. It may equally reflect non-biological structure that a within-run split cannot exclude: inoculated and mock-inoculated plants were on separate trays, and the mock tray was always imaged first, so tray position, local growth conditions and any drift during a session all correlate with treatment. We therefore treat the 4 and 6 dpi RGB results as evidence that the two groups were separable in this dataset, and not as evidence of a spectral or biochemical signature. In this study the multimodal design offered no measurable benefit over RGB alone at 4 or 6 dpi, which contrasts with the commonly held expectation that fusion improves on single modalities. A definitive test of the value of HSI needs reflectance-calibrated acquisition and independent runs.</w:t>
      </w:r>
    </w:p>
    <w:bookmarkEnd w:id="68"/>
    <w:bookmarkStart w:id="69" w:name="architectural-components"/>
    <w:p>
      <w:pPr>
        <w:pStyle w:val="Heading2"/>
      </w:pPr>
      <w:r>
        <w:rPr>
          <w:rStyle w:val="SectionNumber"/>
        </w:rPr>
        <w:t xml:space="preserve">4.4</w:t>
      </w:r>
      <w:r>
        <w:rPr/>
        <w:tab/>
      </w:r>
      <w:r>
        <w:rPr/>
        <w:t xml:space="preserve">Architectural components</w:t>
      </w:r>
    </w:p>
    <w:p>
      <w:pPr>
        <w:pStyle w:val="FirstParagraph"/>
      </w:pPr>
      <w:r>
        <w:rPr/>
        <w:t>The historical ablations do not establish a consistent benefit of individual PSNet components. Rankings change across tasks, and the alternative 2D path changes token count and parameterisation together. The controlled raw-spectrum token, current-layer CAF and fixed depth-averaging substitutions in the released code would address some of these ambiguities, but they have not produced completed results for this revision. The separate top-k experiment addresses input dimensionality rather than these architectural mechanisms. Its paired intervals include zero, its band sets vary by fold, and it uses only one training seed and pooled dates.</w:t>
      </w:r>
    </w:p>
    <w:bookmarkEnd w:id="69"/>
    <w:bookmarkStart w:id="70" w:name="effect-of-time-point-pooling"/>
    <w:p>
      <w:pPr>
        <w:pStyle w:val="Heading2"/>
      </w:pPr>
      <w:r>
        <w:rPr>
          <w:rStyle w:val="SectionNumber"/>
        </w:rPr>
        <w:t xml:space="preserve">4.5</w:t>
      </w:r>
      <w:r>
        <w:rPr/>
        <w:tab/>
      </w:r>
      <w:r>
        <w:rPr/>
        <w:t xml:space="preserve">Effect of time-point pooling</w:t>
      </w:r>
    </w:p>
    <w:p>
      <w:pPr>
        <w:pStyle w:val="FirstParagraph"/>
      </w:pPr>
      <w:r>
        <w:rPr/>
        <w:t xml:space="preserve">Pooling all dates raised PSNet’s accuracy from 71.88% (2+4 dpi) to 93.75% (all dates) for the same seed. The difference shows how strongly a headline accuracy depends on the inclusion of 6 dpi samples, and why the pooled figure cannot be presented as presymptomatic detection. The presymptomatic-only tasks are the relevant benchmark for this application. For these tasks, PSNet’s accuracy on the joint 2+4 dpi task (78.47%) was only modestly above the majority-class rate of 75%.</w:t>
      </w:r>
    </w:p>
    <w:bookmarkEnd w:id="70"/>
    <w:bookmarkStart w:id="71" w:name="implications-for-smart-agriculture"/>
    <w:p>
      <w:pPr>
        <w:pStyle w:val="Heading2"/>
      </w:pPr>
      <w:r>
        <w:rPr>
          <w:rStyle w:val="SectionNumber"/>
        </w:rPr>
        <w:t xml:space="preserve">4.6</w:t>
      </w:r>
      <w:r>
        <w:rPr/>
        <w:tab/>
      </w:r>
      <w:r>
        <w:rPr/>
        <w:t xml:space="preserve">Implications for smart agriculture</w:t>
      </w:r>
    </w:p>
    <w:p>
      <w:pPr>
        <w:pStyle w:val="FirstParagraph"/>
      </w:pPr>
      <w:r>
        <w:rPr/>
        <w:t>The imaging unit is inexpensive, repairable, compact and powered by USB-C, and it derives from an open design. These features make it attractive as a platform for controlled-environment phenotyping and for testing spectral sensing in greenhouse research, and the open, plant-level evaluation protocol used here can be reused for other sensors. The £489.20 documented component subtotal excludes printing, illumination and supporting equipment. Acquisition here required a dark room, fixed geometry, a 15 min warm-up and a 150 W halogen source (Table 13). The present work is therefore a low-cost imaging unit for controlled conditions and not a field-deployable system. Extension to greenhouse or field settings would require illumination that is either low-cost and stable or compensated for ambient light, reflectance standards in every session, logging of exposure and gain, tolerance to variable leaf orientation, and demonstration of performance across crops, genotypes, growth stages and confounding stresses [17,26,27]. Because the RGB stream alone provided most of the discrimination in this dataset, a practical consequence for system design is that inexpensive RGB sensing should be evaluated in parallel with hyperspectral sensing, but with the same caution about confounds.</w:t>
      </w:r>
    </w:p>
    <w:p>
      <w:pPr>
        <w:pStyle w:val="TableCaption"/>
      </w:pPr>
      <w:r>
        <w:rPr>
          <w:bCs/>
          <w:b/>
        </w:rPr>
        <w:t xml:space="preserve">Table 13.</w:t>
      </w:r>
      <w:r>
        <w:rPr/>
        <w:t xml:space="preserve"> </w:t>
      </w:r>
      <w:r>
        <w:rPr/>
        <w:t xml:space="preserve">Conditions of the present study compared with what greenhouse or field use would require.</w:t>
      </w:r>
    </w:p>
    <w:tbl>
      <w:tblPr>
        <w:tblCaption w:val="Table 13. Conditions of the present study compared with what greenhouse or field use would require."/>
        <w:tblW w:w="907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1814"/>
        <w:gridCol w:w="3629"/>
        <w:gridCol w:w="3629"/>
      </w:tblGrid>
      <w:tr>
        <w:trPr>
          <w:tblHeader w:val="true"/>
          <w:cantSplit/>
          <w:tblHeader/>
        </w:trPr>
        <w:tc>
          <w:tcPr>
            <w:tcW w:w="1814" w:type="dxa"/>
            <w:tcBorders>
              <w:bottom w:val="single" w:sz="5" w:space="0" w:color="000000"/>
            </w:tcBorders>
            <w:vAlign w:val="center"/>
          </w:tcPr>
          <w:p>
            <w:pPr>
              <w:pStyle w:val="Compact"/>
              <w:spacing w:before="0" w:after="60" w:line="240" w:lineRule="auto"/>
              <w:jc w:val="left"/>
            </w:pPr>
            <w:r>
              <w:rPr>
                <w:b/>
                <w:sz w:val="18"/>
              </w:rPr>
              <w:t xml:space="preserve">Aspect</w:t>
            </w:r>
          </w:p>
        </w:tc>
        <w:tc>
          <w:tcPr>
            <w:tcW w:w="3629" w:type="dxa"/>
            <w:tcBorders>
              <w:bottom w:val="single" w:sz="5" w:space="0" w:color="000000"/>
            </w:tcBorders>
            <w:vAlign w:val="center"/>
          </w:tcPr>
          <w:p>
            <w:pPr>
              <w:pStyle w:val="Compact"/>
              <w:spacing w:before="0" w:after="60" w:line="240" w:lineRule="auto"/>
              <w:jc w:val="left"/>
            </w:pPr>
            <w:r>
              <w:rPr>
                <w:b/>
                <w:sz w:val="18"/>
              </w:rPr>
              <w:t xml:space="preserve">This study</w:t>
            </w:r>
          </w:p>
        </w:tc>
        <w:tc>
          <w:tcPr>
            <w:tcW w:w="3629" w:type="dxa"/>
            <w:tcBorders>
              <w:bottom w:val="single" w:sz="5" w:space="0" w:color="000000"/>
            </w:tcBorders>
            <w:vAlign w:val="center"/>
          </w:tcPr>
          <w:p>
            <w:pPr>
              <w:pStyle w:val="Compact"/>
              <w:spacing w:before="0" w:after="60" w:line="240" w:lineRule="auto"/>
              <w:jc w:val="left"/>
            </w:pPr>
            <w:r>
              <w:rPr>
                <w:b/>
                <w:sz w:val="18"/>
              </w:rPr>
              <w:t xml:space="preserve">Needed for greenhouse or field use</w:t>
            </w:r>
          </w:p>
        </w:tc>
      </w:tr>
      <w:tr>
        <w:trPr>
          <w:cantSplit/>
        </w:trPr>
        <w:tc>
          <w:tcPr>
            <w:tcW w:w="1814" w:type="dxa"/>
          </w:tcPr>
          <w:p>
            <w:pPr>
              <w:pStyle w:val="Compact"/>
              <w:spacing w:before="0" w:after="60" w:line="240" w:lineRule="auto"/>
              <w:jc w:val="left"/>
            </w:pPr>
            <w:r>
              <w:rPr>
                <w:sz w:val="18"/>
              </w:rPr>
              <w:t xml:space="preserve">Illumination</w:t>
            </w:r>
          </w:p>
        </w:tc>
        <w:tc>
          <w:tcPr>
            <w:tcW w:w="3629" w:type="dxa"/>
          </w:tcPr>
          <w:p>
            <w:pPr>
              <w:spacing w:after="60" w:line="240" w:lineRule="auto"/>
            </w:pPr>
            <w:r>
              <w:rPr>
                <w:sz w:val="18"/>
              </w:rPr>
              <w:t>Laboratory halogen source (150 W, 3400 K) with fibre-optic arms; excluded from the £489.20 component subtotal</w:t>
            </w:r>
          </w:p>
        </w:tc>
        <w:tc>
          <w:tcPr>
            <w:tcW w:w="3629" w:type="dxa"/>
          </w:tcPr>
          <w:p>
            <w:pPr>
              <w:pStyle w:val="Compact"/>
              <w:spacing w:before="0" w:after="60" w:line="240" w:lineRule="auto"/>
              <w:jc w:val="left"/>
            </w:pPr>
            <w:r>
              <w:rPr>
                <w:sz w:val="18"/>
              </w:rPr>
              <w:t xml:space="preserve">Low-cost stable illumination, or compensation for ambient light</w:t>
            </w:r>
          </w:p>
        </w:tc>
      </w:tr>
      <w:tr>
        <w:trPr>
          <w:cantSplit/>
        </w:trPr>
        <w:tc>
          <w:tcPr>
            <w:tcW w:w="1814" w:type="dxa"/>
          </w:tcPr>
          <w:p>
            <w:pPr>
              <w:pStyle w:val="Compact"/>
              <w:spacing w:before="0" w:after="60" w:line="240" w:lineRule="auto"/>
              <w:jc w:val="left"/>
            </w:pPr>
            <w:r>
              <w:rPr>
                <w:sz w:val="18"/>
              </w:rPr>
              <w:t xml:space="preserve">Environment and geometry</w:t>
            </w:r>
          </w:p>
        </w:tc>
        <w:tc>
          <w:tcPr>
            <w:tcW w:w="3629" w:type="dxa"/>
          </w:tcPr>
          <w:p>
            <w:pPr>
              <w:pStyle w:val="Compact"/>
              <w:spacing w:before="0" w:after="60" w:line="240" w:lineRule="auto"/>
              <w:jc w:val="left"/>
            </w:pPr>
            <w:r>
              <w:rPr>
                <w:sz w:val="18"/>
              </w:rPr>
              <w:t xml:space="preserve">Dark room; camera ~10 cm above sample; fixed geometry; 15 min warm-up</w:t>
            </w:r>
          </w:p>
        </w:tc>
        <w:tc>
          <w:tcPr>
            <w:tcW w:w="3629" w:type="dxa"/>
          </w:tcPr>
          <w:p>
            <w:pPr>
              <w:pStyle w:val="Compact"/>
              <w:spacing w:before="0" w:after="60" w:line="240" w:lineRule="auto"/>
              <w:jc w:val="left"/>
            </w:pPr>
            <w:r>
              <w:rPr>
                <w:sz w:val="18"/>
              </w:rPr>
              <w:t xml:space="preserve">Operation under variable ambient light, leaf orientation and distance</w:t>
            </w:r>
          </w:p>
        </w:tc>
      </w:tr>
      <w:tr>
        <w:trPr>
          <w:cantSplit/>
        </w:trPr>
        <w:tc>
          <w:tcPr>
            <w:tcW w:w="1814" w:type="dxa"/>
          </w:tcPr>
          <w:p>
            <w:pPr>
              <w:pStyle w:val="Compact"/>
              <w:spacing w:before="0" w:after="60" w:line="240" w:lineRule="auto"/>
              <w:jc w:val="left"/>
            </w:pPr>
            <w:r>
              <w:rPr>
                <w:sz w:val="18"/>
              </w:rPr>
              <w:t xml:space="preserve">Radiometric calibration</w:t>
            </w:r>
          </w:p>
        </w:tc>
        <w:tc>
          <w:tcPr>
            <w:tcW w:w="3629" w:type="dxa"/>
          </w:tcPr>
          <w:p>
            <w:pPr>
              <w:pStyle w:val="Compact"/>
              <w:spacing w:before="0" w:after="60" w:line="240" w:lineRule="auto"/>
              <w:jc w:val="left"/>
            </w:pPr>
            <w:r>
              <w:rPr>
                <w:sz w:val="18"/>
              </w:rPr>
              <w:t xml:space="preserve">Dark-corrected intensity; no white reference; exposure fixed at 2 s, gain automatic and not logged</w:t>
            </w:r>
          </w:p>
        </w:tc>
        <w:tc>
          <w:tcPr>
            <w:tcW w:w="3629" w:type="dxa"/>
          </w:tcPr>
          <w:p>
            <w:pPr>
              <w:pStyle w:val="Compact"/>
              <w:spacing w:before="0" w:after="60" w:line="240" w:lineRule="auto"/>
              <w:jc w:val="left"/>
            </w:pPr>
            <w:r>
              <w:rPr>
                <w:sz w:val="18"/>
              </w:rPr>
              <w:t xml:space="preserve">Reflectance standard in every session; complete acquisition log</w:t>
            </w:r>
          </w:p>
        </w:tc>
      </w:tr>
      <w:tr>
        <w:trPr>
          <w:cantSplit/>
        </w:trPr>
        <w:tc>
          <w:tcPr>
            <w:tcW w:w="1814" w:type="dxa"/>
          </w:tcPr>
          <w:p>
            <w:pPr>
              <w:pStyle w:val="Compact"/>
              <w:spacing w:before="0" w:after="60" w:line="240" w:lineRule="auto"/>
              <w:jc w:val="left"/>
            </w:pPr>
            <w:r>
              <w:rPr>
                <w:sz w:val="18"/>
              </w:rPr>
              <w:t xml:space="preserve">Biological scope</w:t>
            </w:r>
          </w:p>
        </w:tc>
        <w:tc>
          <w:tcPr>
            <w:tcW w:w="3629" w:type="dxa"/>
          </w:tcPr>
          <w:p>
            <w:pPr>
              <w:pStyle w:val="Compact"/>
              <w:spacing w:before="0" w:after="60" w:line="240" w:lineRule="auto"/>
              <w:jc w:val="left"/>
            </w:pPr>
            <w:r>
              <w:rPr>
                <w:sz w:val="18"/>
              </w:rPr>
              <w:t xml:space="preserve">One susceptible</w:t>
            </w:r>
            <w:r>
              <w:rPr>
                <w:sz w:val="18"/>
              </w:rPr>
              <w:t xml:space="preserve"> </w:t>
            </w:r>
            <w:r>
              <w:rPr>
                <w:iCs/>
                <w:i/>
                <w:sz w:val="18"/>
              </w:rPr>
              <w:t xml:space="preserve">Arabidopsis</w:t>
            </w:r>
            <w:r>
              <w:rPr>
                <w:sz w:val="18"/>
              </w:rPr>
              <w:t xml:space="preserve"> </w:t>
            </w:r>
            <w:r>
              <w:rPr>
                <w:sz w:val="18"/>
              </w:rPr>
              <w:t xml:space="preserve">line; one pathogen isolate; no abiotic stress controls</w:t>
            </w:r>
          </w:p>
        </w:tc>
        <w:tc>
          <w:tcPr>
            <w:tcW w:w="3629" w:type="dxa"/>
          </w:tcPr>
          <w:p>
            <w:pPr>
              <w:pStyle w:val="Compact"/>
              <w:spacing w:before="0" w:after="60" w:line="240" w:lineRule="auto"/>
              <w:jc w:val="left"/>
            </w:pPr>
            <w:r>
              <w:rPr>
                <w:sz w:val="18"/>
              </w:rPr>
              <w:t xml:space="preserve">Crops, genotypes, growth stages, co-occurring stresses</w:t>
            </w:r>
          </w:p>
        </w:tc>
      </w:tr>
      <w:tr>
        <w:trPr>
          <w:cantSplit/>
        </w:trPr>
        <w:tc>
          <w:tcPr>
            <w:tcW w:w="1814" w:type="dxa"/>
          </w:tcPr>
          <w:p>
            <w:pPr>
              <w:pStyle w:val="Compact"/>
              <w:spacing w:before="0" w:after="60" w:line="240" w:lineRule="auto"/>
              <w:jc w:val="left"/>
            </w:pPr>
            <w:r>
              <w:rPr>
                <w:sz w:val="18"/>
              </w:rPr>
              <w:t xml:space="preserve">Validation</w:t>
            </w:r>
          </w:p>
        </w:tc>
        <w:tc>
          <w:tcPr>
            <w:tcW w:w="3629" w:type="dxa"/>
          </w:tcPr>
          <w:p>
            <w:pPr>
              <w:pStyle w:val="Compact"/>
              <w:spacing w:before="0" w:after="60" w:line="240" w:lineRule="auto"/>
              <w:jc w:val="left"/>
            </w:pPr>
            <w:r>
              <w:rPr>
                <w:sz w:val="18"/>
              </w:rPr>
              <w:t xml:space="preserve">One run of 96 plants; plant-disjoint folds within the run</w:t>
            </w:r>
          </w:p>
        </w:tc>
        <w:tc>
          <w:tcPr>
            <w:tcW w:w="3629" w:type="dxa"/>
          </w:tcPr>
          <w:p>
            <w:pPr>
              <w:pStyle w:val="Compact"/>
              <w:spacing w:before="0" w:after="60" w:line="240" w:lineRule="auto"/>
              <w:jc w:val="left"/>
            </w:pPr>
            <w:r>
              <w:rPr>
                <w:sz w:val="18"/>
              </w:rPr>
              <w:t xml:space="preserve">Independent runs, sessions and sites</w:t>
            </w:r>
          </w:p>
        </w:tc>
      </w:tr>
      <w:tr>
        <w:trPr>
          <w:cantSplit/>
        </w:trPr>
        <w:tc>
          <w:tcPr>
            <w:tcW w:w="1814" w:type="dxa"/>
          </w:tcPr>
          <w:p>
            <w:pPr>
              <w:pStyle w:val="Compact"/>
              <w:spacing w:before="0" w:after="60" w:line="240" w:lineRule="auto"/>
              <w:jc w:val="left"/>
            </w:pPr>
            <w:r>
              <w:rPr>
                <w:sz w:val="18"/>
              </w:rPr>
              <w:t xml:space="preserve">Compute</w:t>
            </w:r>
          </w:p>
        </w:tc>
        <w:tc>
          <w:tcPr>
            <w:tcW w:w="3629" w:type="dxa"/>
          </w:tcPr>
          <w:p>
            <w:pPr>
              <w:pStyle w:val="Compact"/>
              <w:spacing w:before="0" w:after="60" w:line="240" w:lineRule="auto"/>
              <w:jc w:val="left"/>
            </w:pPr>
            <w:r>
              <w:rPr>
                <w:sz w:val="18"/>
              </w:rPr>
              <w:t xml:space="preserve">Model inference benchmarked on a data-centre GPU only</w:t>
            </w:r>
          </w:p>
        </w:tc>
        <w:tc>
          <w:tcPr>
            <w:tcW w:w="3629" w:type="dxa"/>
          </w:tcPr>
          <w:p>
            <w:pPr>
              <w:pStyle w:val="Compact"/>
              <w:spacing w:before="0" w:after="60" w:line="240" w:lineRule="auto"/>
              <w:jc w:val="left"/>
            </w:pPr>
            <w:r>
              <w:rPr>
                <w:sz w:val="18"/>
              </w:rPr>
              <w:t xml:space="preserve">Timing and accuracy on the deployment hardware</w:t>
            </w:r>
          </w:p>
        </w:tc>
      </w:tr>
    </w:tbl>
    <w:bookmarkEnd w:id="71"/>
    <w:bookmarkStart w:id="72" w:name="limitations"/>
    <w:p>
      <w:pPr>
        <w:pStyle w:val="Heading2"/>
      </w:pPr>
      <w:r>
        <w:rPr>
          <w:rStyle w:val="SectionNumber"/>
        </w:rPr>
        <w:t xml:space="preserve">4.7</w:t>
      </w:r>
      <w:r>
        <w:rPr/>
        <w:tab/>
      </w:r>
      <w:r>
        <w:rPr/>
        <w:t xml:space="preserve">Limitations</w:t>
      </w:r>
    </w:p>
    <w:p>
      <w:pPr>
        <w:pStyle w:val="FirstParagraph"/>
      </w:pPr>
      <w:r>
        <w:rPr/>
        <w:t>This study has several limitations. (i) The data come from a single experimental run of 96 plants, with only 24 mock-inoculated plants, so estimates are imprecise (Table 11). Inoculated and mock-inoculated plants were also kept on separate trays, so treatment is confounded with tray position and local growth conditions, and the mock tray was always imaged before the inoculated tray, so treatment was consistently correlated with acquisition order. The lamp was left running after a 15 min warm-up and the camera geometry was not reset between trays, which lowers the chance of a tray-specific set-up difference, but drift within a session cannot be excluded. Plant-disjoint folds are not independent of batch, cultivation cycle, inoculum preparation, calibration session, illumination or operator; the results are not evidence of generalisation. (ii) The host was a single, highly susceptible mutant line and the pathogen a single isolate, so the effect sizes may not transfer to crops or to partially resistant genotypes. (iii) The same plants were imaged at each time point, so the tasks are not independent. (iv) Spectra were dark-corrected and wavelength-calibrated but not converted to reflectance, which limits comparison across sessions and the interpretation of spectral magnitudes. (v) Exposure was fixed at 2 s but analogue gain was automatic and not logged, the band–wavelength mapping must be restored, and instrument characteristics such as spectral resolution, signal-to-noise ratio and registration accuracy were not characterised (Table 2). The acquisition size (2592 × 1944 pixels) is below the native resolution of the sensor, and autofocus means focus was not identical across samples. (vi) No abiotic stresses were included, although drought and nutrient deficiency produce overlapping spectral responses [7,28]. (vii) Only one optical configuration and illumination geometry were evaluated, and infection was sampled at three discrete time points. (viii) Model timing was measured on a data-centre GPU only. (ix) Whole-cube spectral statistics do not isolate leaf tissue or establish physiological causation. Validated model attribution, quantitative per-plant infection confirmation and an independent acquisition run are unavailable.</w:t>
      </w:r>
    </w:p>
    <w:bookmarkEnd w:id="72"/>
    <w:bookmarkStart w:id="73" w:name="future-work"/>
    <w:p>
      <w:pPr>
        <w:pStyle w:val="Heading2"/>
      </w:pPr>
      <w:r>
        <w:rPr>
          <w:rStyle w:val="SectionNumber"/>
        </w:rPr>
        <w:t xml:space="preserve">4.8</w:t>
      </w:r>
      <w:r>
        <w:rPr/>
        <w:tab/>
      </w:r>
      <w:r>
        <w:rPr/>
        <w:t xml:space="preserve">Future work</w:t>
      </w:r>
    </w:p>
    <w:p>
      <w:pPr>
        <w:pStyle w:val="FirstParagraph"/>
      </w:pPr>
      <w:r>
        <w:rPr/>
        <w:t xml:space="preserve">Priorities are independent experimental runs and imaging sessions with mock-inoculated controls interleaved and randomised in position and order; reflectance-calibrated acquisition with a white reference and per-sample logs of exposure and gain; updating the reconstruction software to use the full native output of the Camera Module 3, which would raise spatial sampling with the same low-cost hardware; characterisation of spectral resolution, signal-to-noise ratio, linearity and registration; evaluation across genotypes, crops and growth stages; explicit tests for acquisition-related confounds, such as leave-one-session-out validation; and stronger interpretability through spectral attribution, class prototypes and physiologically grounded indicators such as red-edge position [12,25,29]. Self-supervised pretraining on unlabelled hyperspectral data might reduce sample requirements [25]. Thermal or fluorescence imaging may add robustness outside controlled conditions.</w:t>
      </w:r>
    </w:p>
    <w:bookmarkEnd w:id="73"/>
    <w:bookmarkEnd w:id="74"/>
    <w:bookmarkStart w:id="75" w:name="conclusions"/>
    <w:p>
      <w:pPr>
        <w:pStyle w:val="Heading1"/>
      </w:pPr>
      <w:r>
        <w:rPr>
          <w:rStyle w:val="SectionNumber"/>
        </w:rPr>
        <w:t xml:space="preserve">5</w:t>
      </w:r>
      <w:r>
        <w:rPr/>
        <w:tab/>
      </w:r>
      <w:r>
        <w:rPr/>
        <w:t xml:space="preserve">Conclusions</w:t>
      </w:r>
    </w:p>
    <w:p>
      <w:pPr>
        <w:pStyle w:val="FirstParagraph"/>
      </w:pPr>
      <w:r>
        <w:rPr/>
        <w:t>A low-cost adaptation of an open-source hyperspectral camera, paired with RGB imaging, was evaluated using date-matched comparisons and plant-disjoint folds. Inoculated and mock groups were distinguishable at 4 and 6 dpi in one controlled run, but PSNet was near chance at 2 dpi and a benefit of HSI beyond RGB was not demonstrated. Whole-cube spectral differences were strongest at 2 dpi and cannot be assigned an infection-specific cause. Reduced-band models retained high pooled-date scores without establishing superiority. Independent experimental runs with interleaved acquisition, verified plant identity, reflectance calibration and appropriate stress controls are required before these results can support presymptomatic diagnosis in greenhouse or field conditions.</w:t>
      </w:r>
    </w:p>
    <w:bookmarkEnd w:id="75"/>
    <w:bookmarkStart w:id="76" w:name="credit-authorship-contribution-statement"/>
    <w:p>
      <w:pPr>
        <w:pStyle w:val="Heading1"/>
      </w:pPr>
      <w:r>
        <w:rPr/>
        <w:t xml:space="preserve">CRediT authorship contribution statement</w:t>
      </w:r>
    </w:p>
    <w:p>
      <w:pPr>
        <w:pStyle w:val="FirstParagraph"/>
      </w:pPr>
      <w:r>
        <w:rPr/>
        <w:t>Proposed CRediT statement for author verification: Gabriel U. Crabb: Methodology (imaging and biological workflow), Investigation, Data curation, Formal analysis (exploratory modelling), Writing – original draft. Yiding Zhao: Software, Methodology (computational framework), Formal analysis (revised evaluation), Writing – review and editing. Xi Chen: Supervision, Methodology. Nicholas K. Priest: Supervision. Volkan Cevik: Conceptualization, Supervision. Final roles and approval remain to be confirmed by all authors.</w:t>
      </w:r>
    </w:p>
    <w:bookmarkEnd w:id="76"/>
    <w:bookmarkStart w:id="77" w:name="declaration-of-competing-interest"/>
    <w:p>
      <w:pPr>
        <w:pStyle w:val="Heading1"/>
      </w:pPr>
      <w:r>
        <w:rPr/>
        <w:t xml:space="preserve">Declaration of competing interest</w:t>
      </w:r>
    </w:p>
    <w:p>
      <w:pPr>
        <w:pStyle w:val="FirstParagraph"/>
      </w:pPr>
      <w:r>
        <w:rPr/>
        <w:t>The competing-interest declaration remains subject to confirmation by all authors before submission.</w:t>
      </w:r>
    </w:p>
    <w:bookmarkEnd w:id="77"/>
    <w:bookmarkStart w:id="78" w:name="X071796dd6bc546c91e96cca1cf5ff96599de61f"/>
    <w:p>
      <w:pPr>
        <w:pStyle w:val="Heading1"/>
      </w:pPr>
      <w:r>
        <w:rPr/>
        <w:t xml:space="preserve">Declaration of generative AI and AI-assisted technologies in the writing process</w:t>
      </w:r>
    </w:p>
    <w:p>
      <w:pPr>
        <w:pStyle w:val="FirstParagraph"/>
      </w:pPr>
      <w:r>
        <w:rPr/>
        <w:t>OpenAI Codex was used during preparation of this revision to assist with language editing, code organisation and checks against supplied analysis records. The authors must review the resulting text and code and take responsibility for the final submitted content. This disclosure is provided for author approval before submission.</w:t>
      </w:r>
    </w:p>
    <w:bookmarkEnd w:id="78"/>
    <w:bookmarkStart w:id="79" w:name="funding"/>
    <w:p>
      <w:pPr>
        <w:pStyle w:val="Heading1"/>
      </w:pPr>
      <w:r>
        <w:rPr/>
        <w:t xml:space="preserve">Funding</w:t>
      </w:r>
    </w:p>
    <w:p>
      <w:pPr>
        <w:pStyle w:val="FirstParagraph"/>
      </w:pPr>
      <w:r>
        <w:rPr/>
        <w:t xml:space="preserve">This research was supported by the University of Bath.</w:t>
      </w:r>
    </w:p>
    <w:bookmarkEnd w:id="79"/>
    <w:bookmarkStart w:id="80" w:name="acknowledgements"/>
    <w:p>
      <w:pPr>
        <w:pStyle w:val="Heading1"/>
      </w:pPr>
      <w:r>
        <w:rPr/>
        <w:t xml:space="preserve">Acknowledgements</w:t>
      </w:r>
    </w:p>
    <w:p>
      <w:pPr>
        <w:pStyle w:val="FirstParagraph"/>
      </w:pPr>
      <w:r>
        <w:rPr/>
        <w:t xml:space="preserve">The authors thank the CFFF platform of Fudan University for providing computational resources and the University of Bath for supporting this research.</w:t>
      </w:r>
    </w:p>
    <w:bookmarkEnd w:id="80"/>
    <w:bookmarkStart w:id="81" w:name="data-availability"/>
    <w:p>
      <w:pPr>
        <w:pStyle w:val="Heading1"/>
      </w:pPr>
      <w:r>
        <w:rPr/>
        <w:t xml:space="preserve">Data availability</w:t>
      </w:r>
    </w:p>
    <w:p>
      <w:pPr>
        <w:pStyle w:val="FirstParagraph"/>
      </w:pPr>
      <w:r>
        <w:rPr/>
        <w:t>The computational code, revision manuscript and non-identifying summary tables are available at https://github.com/MasterSummer/hsi-PSnet. Raw paired images, cubes and model checkpoints are not included in the public revision package and may be requested from the corresponding authors. This manuscript reports the archived cohort and completed band-selection experiment; newly supplied raw files have not been incorporated into its classification results. The public recovery utility exports recovered MAT cubes and requires numerical agreement on overlapping observations before merging with historical inputs. Missing acquisition logs and incomplete upstream preprocessing provenance are described in the Methods.</w:t>
      </w:r>
    </w:p>
    <w:bookmarkEnd w:id="81"/>
    <w:bookmarkStart w:id="82" w:name="references"/>
    <w:p>
      <w:pPr>
        <w:pStyle w:val="Heading1"/>
      </w:pPr>
      <w:r>
        <w:rPr/>
        <w:t xml:space="preserve">References</w:t>
      </w:r>
    </w:p>
    <w:p>
      <w:pPr>
        <w:pStyle w:val="Reference"/>
      </w:pPr>
      <w:r>
        <w:rPr/>
        <w:t xml:space="preserve">[1] Savary, S.</w:t>
      </w:r>
      <w:r>
        <w:rPr/>
        <w:t xml:space="preserve"> </w:t>
      </w:r>
      <w:r>
        <w:rPr>
          <w:iCs/>
          <w:i/>
        </w:rPr>
        <w:t xml:space="preserve">et al.</w:t>
      </w:r>
      <w:r>
        <w:rPr/>
        <w:t xml:space="preserve"> </w:t>
      </w:r>
      <w:r>
        <w:rPr/>
        <w:t xml:space="preserve">The global burden of pathogens and pests on major food crops.</w:t>
      </w:r>
      <w:r>
        <w:rPr/>
        <w:t xml:space="preserve"> </w:t>
      </w:r>
      <w:r>
        <w:rPr>
          <w:iCs/>
          <w:i/>
        </w:rPr>
        <w:t xml:space="preserve">Nat. Ecol. Evol.</w:t>
      </w:r>
      <w:r>
        <w:rPr/>
        <w:t xml:space="preserve"> </w:t>
      </w:r>
      <w:r>
        <w:rPr>
          <w:bCs/>
          <w:b/>
        </w:rPr>
        <w:t xml:space="preserve">3</w:t>
      </w:r>
      <w:r>
        <w:rPr/>
        <w:t xml:space="preserve">, 430–439 (2019). https://doi.org/10.1038/s41559-018-0793-y</w:t>
      </w:r>
    </w:p>
    <w:p>
      <w:pPr>
        <w:pStyle w:val="Reference"/>
      </w:pPr>
      <w:r>
        <w:rPr/>
        <w:t xml:space="preserve">[2] FAO.</w:t>
      </w:r>
      <w:r>
        <w:rPr/>
        <w:t xml:space="preserve"> </w:t>
      </w:r>
      <w:r>
        <w:rPr>
          <w:iCs/>
          <w:i/>
        </w:rPr>
        <w:t xml:space="preserve">The Impact of Disasters and Crises on Agriculture and Food Security: 2021</w:t>
      </w:r>
      <w:r>
        <w:rPr/>
        <w:t xml:space="preserve"> </w:t>
      </w:r>
      <w:r>
        <w:rPr/>
        <w:t xml:space="preserve">(Rome, 2021).</w:t>
      </w:r>
    </w:p>
    <w:p>
      <w:pPr>
        <w:pStyle w:val="Reference"/>
      </w:pPr>
      <w:r>
        <w:rPr/>
        <w:t xml:space="preserve">[3] Hossain, M. M.</w:t>
      </w:r>
      <w:r>
        <w:rPr/>
        <w:t xml:space="preserve"> </w:t>
      </w:r>
      <w:r>
        <w:rPr>
          <w:iCs/>
          <w:i/>
        </w:rPr>
        <w:t xml:space="preserve">et al.</w:t>
      </w:r>
      <w:r>
        <w:rPr/>
        <w:t xml:space="preserve"> </w:t>
      </w:r>
      <w:r>
        <w:rPr/>
        <w:t xml:space="preserve">Plant disease dynamics in a changing climate: impacts, molecular mechanisms, and climate-informed strategies for sustainable management.</w:t>
      </w:r>
      <w:r>
        <w:rPr/>
        <w:t xml:space="preserve"> </w:t>
      </w:r>
      <w:r>
        <w:rPr>
          <w:iCs/>
          <w:i/>
        </w:rPr>
        <w:t xml:space="preserve">Discover Agriculture</w:t>
      </w:r>
      <w:r>
        <w:rPr/>
        <w:t xml:space="preserve"> </w:t>
      </w:r>
      <w:r>
        <w:rPr>
          <w:bCs/>
          <w:b/>
        </w:rPr>
        <w:t xml:space="preserve">2</w:t>
      </w:r>
      <w:r>
        <w:rPr/>
        <w:t xml:space="preserve">, 132 (2024). https://doi.org/10.1007/s44279-024-00144-w</w:t>
      </w:r>
    </w:p>
    <w:p>
      <w:pPr>
        <w:pStyle w:val="Reference"/>
      </w:pPr>
      <w:r>
        <w:rPr/>
        <w:t xml:space="preserve">[4] Ristaino, J. B.</w:t>
      </w:r>
      <w:r>
        <w:rPr/>
        <w:t xml:space="preserve"> </w:t>
      </w:r>
      <w:r>
        <w:rPr>
          <w:iCs/>
          <w:i/>
        </w:rPr>
        <w:t xml:space="preserve">et al.</w:t>
      </w:r>
      <w:r>
        <w:rPr/>
        <w:t xml:space="preserve"> </w:t>
      </w:r>
      <w:r>
        <w:rPr/>
        <w:t xml:space="preserve">The persistent threat of emerging plant disease pandemics to global food security.</w:t>
      </w:r>
      <w:r>
        <w:rPr/>
        <w:t xml:space="preserve"> </w:t>
      </w:r>
      <w:r>
        <w:rPr>
          <w:iCs/>
          <w:i/>
        </w:rPr>
        <w:t xml:space="preserve">Proc. Natl Acad. Sci. USA</w:t>
      </w:r>
      <w:r>
        <w:rPr/>
        <w:t xml:space="preserve"> </w:t>
      </w:r>
      <w:r>
        <w:rPr>
          <w:bCs/>
          <w:b/>
        </w:rPr>
        <w:t xml:space="preserve">118</w:t>
      </w:r>
      <w:r>
        <w:rPr/>
        <w:t xml:space="preserve">, e2022239118 (2021). https://doi.org/10.1073/pnas.2022239118</w:t>
      </w:r>
    </w:p>
    <w:p>
      <w:pPr>
        <w:pStyle w:val="Reference"/>
      </w:pPr>
      <w:r>
        <w:rPr/>
        <w:t xml:space="preserve">[5] Fisher, M. C., Hawkins, N. J., Sanglard, D. &amp; Gurr, S. J. Worldwide emergence of resistance to antifungal drugs challenges human health and food security.</w:t>
      </w:r>
      <w:r>
        <w:rPr/>
        <w:t xml:space="preserve"> </w:t>
      </w:r>
      <w:r>
        <w:rPr>
          <w:iCs/>
          <w:i/>
        </w:rPr>
        <w:t xml:space="preserve">Science</w:t>
      </w:r>
      <w:r>
        <w:rPr/>
        <w:t xml:space="preserve"> </w:t>
      </w:r>
      <w:r>
        <w:rPr>
          <w:bCs/>
          <w:b/>
        </w:rPr>
        <w:t xml:space="preserve">360</w:t>
      </w:r>
      <w:r>
        <w:rPr/>
        <w:t xml:space="preserve">, 739–742 (2018). https://doi.org/10.1126/science.aap7999</w:t>
      </w:r>
    </w:p>
    <w:p>
      <w:pPr>
        <w:pStyle w:val="Reference"/>
      </w:pPr>
      <w:r>
        <w:rPr/>
        <w:t xml:space="preserve">[6] Lucas, J. A., Hawkins, N. J. &amp; Fraaije, B. A. The evolution of fungicide resistance.</w:t>
      </w:r>
      <w:r>
        <w:rPr/>
        <w:t xml:space="preserve"> </w:t>
      </w:r>
      <w:r>
        <w:rPr>
          <w:iCs/>
          <w:i/>
        </w:rPr>
        <w:t xml:space="preserve">Adv. Appl. Microbiol.</w:t>
      </w:r>
      <w:r>
        <w:rPr/>
        <w:t xml:space="preserve"> </w:t>
      </w:r>
      <w:r>
        <w:rPr>
          <w:bCs/>
          <w:b/>
        </w:rPr>
        <w:t xml:space="preserve">90</w:t>
      </w:r>
      <w:r>
        <w:rPr/>
        <w:t xml:space="preserve">, 29–92 (2015). https://doi.org/10.1016/bs.aambs.2014.09.001</w:t>
      </w:r>
    </w:p>
    <w:p>
      <w:pPr>
        <w:pStyle w:val="Reference"/>
      </w:pPr>
      <w:r>
        <w:rPr/>
        <w:t xml:space="preserve">[7] Mahlein, A.-K. Plant disease detection by imaging sensors: parallels and specific demands for precision agriculture and plant phenotyping.</w:t>
      </w:r>
      <w:r>
        <w:rPr/>
        <w:t xml:space="preserve"> </w:t>
      </w:r>
      <w:r>
        <w:rPr>
          <w:iCs/>
          <w:i/>
        </w:rPr>
        <w:t xml:space="preserve">Plant Dis.</w:t>
      </w:r>
      <w:r>
        <w:rPr/>
        <w:t xml:space="preserve"> </w:t>
      </w:r>
      <w:r>
        <w:rPr>
          <w:bCs/>
          <w:b/>
        </w:rPr>
        <w:t xml:space="preserve">100</w:t>
      </w:r>
      <w:r>
        <w:rPr/>
        <w:t xml:space="preserve">, 241–251 (2016). https://doi.org/10.1094/PDIS-03-15-0340-FE</w:t>
      </w:r>
    </w:p>
    <w:p>
      <w:pPr>
        <w:pStyle w:val="Reference"/>
      </w:pPr>
      <w:r>
        <w:rPr/>
        <w:t xml:space="preserve">[8] Lau, H. Y. &amp; Botella, J. R. Advanced DNA-based point-of-care diagnostic methods for plant diseases detection.</w:t>
      </w:r>
      <w:r>
        <w:rPr/>
        <w:t xml:space="preserve"> </w:t>
      </w:r>
      <w:r>
        <w:rPr>
          <w:iCs/>
          <w:i/>
        </w:rPr>
        <w:t xml:space="preserve">Front. Plant Sci.</w:t>
      </w:r>
      <w:r>
        <w:rPr/>
        <w:t xml:space="preserve"> </w:t>
      </w:r>
      <w:r>
        <w:rPr>
          <w:bCs/>
          <w:b/>
        </w:rPr>
        <w:t xml:space="preserve">8</w:t>
      </w:r>
      <w:r>
        <w:rPr/>
        <w:t xml:space="preserve">, 2016 (2017). https://doi.org/10.3389/fpls.2017.02016</w:t>
      </w:r>
    </w:p>
    <w:p>
      <w:pPr>
        <w:pStyle w:val="Reference"/>
      </w:pPr>
      <w:r>
        <w:rPr/>
        <w:t xml:space="preserve">[9] Notomi, T., Mori, Y., Tomita, N. &amp; Kanda, H. Loop-mediated isothermal amplification (LAMP): principle, features, and future prospects.</w:t>
      </w:r>
      <w:r>
        <w:rPr/>
        <w:t xml:space="preserve"> </w:t>
      </w:r>
      <w:r>
        <w:rPr>
          <w:iCs/>
          <w:i/>
        </w:rPr>
        <w:t xml:space="preserve">J. Microbiol.</w:t>
      </w:r>
      <w:r>
        <w:rPr/>
        <w:t xml:space="preserve"> </w:t>
      </w:r>
      <w:r>
        <w:rPr>
          <w:bCs/>
          <w:b/>
        </w:rPr>
        <w:t xml:space="preserve">53</w:t>
      </w:r>
      <w:r>
        <w:rPr/>
        <w:t xml:space="preserve">, 1–5 (2015). https://doi.org/10.1007/s12275-015-4656-9</w:t>
      </w:r>
    </w:p>
    <w:p>
      <w:pPr>
        <w:pStyle w:val="Reference"/>
      </w:pPr>
      <w:r>
        <w:rPr/>
        <w:t xml:space="preserve">[10] Hak, H.</w:t>
      </w:r>
      <w:r>
        <w:rPr/>
        <w:t xml:space="preserve"> </w:t>
      </w:r>
      <w:r>
        <w:rPr>
          <w:iCs/>
          <w:i/>
        </w:rPr>
        <w:t xml:space="preserve">et al.</w:t>
      </w:r>
      <w:r>
        <w:rPr/>
        <w:t xml:space="preserve"> </w:t>
      </w:r>
      <w:r>
        <w:rPr/>
        <w:t xml:space="preserve">Rapid on-site detection of crop RNA viruses using CRISPR/Cas13a.</w:t>
      </w:r>
      <w:r>
        <w:rPr/>
        <w:t xml:space="preserve"> </w:t>
      </w:r>
      <w:r>
        <w:rPr>
          <w:iCs/>
          <w:i/>
        </w:rPr>
        <w:t xml:space="preserve">J. Exp. Bot.</w:t>
      </w:r>
      <w:r>
        <w:rPr/>
        <w:t xml:space="preserve"> </w:t>
      </w:r>
      <w:r>
        <w:rPr/>
        <w:t xml:space="preserve">(2024). https://doi.org/10.1093/jxb/erae495</w:t>
      </w:r>
    </w:p>
    <w:p>
      <w:pPr>
        <w:pStyle w:val="Reference"/>
      </w:pPr>
      <w:r>
        <w:rPr/>
        <w:t xml:space="preserve">[11] Lowe, A., Harrison, N. &amp; French, A. P. Hyperspectral image analysis techniques for the detection and classification of the early onset of plant disease and stress.</w:t>
      </w:r>
      <w:r>
        <w:rPr/>
        <w:t xml:space="preserve"> </w:t>
      </w:r>
      <w:r>
        <w:rPr>
          <w:iCs/>
          <w:i/>
        </w:rPr>
        <w:t xml:space="preserve">Plant Methods</w:t>
      </w:r>
      <w:r>
        <w:rPr/>
        <w:t xml:space="preserve"> </w:t>
      </w:r>
      <w:r>
        <w:rPr>
          <w:bCs/>
          <w:b/>
        </w:rPr>
        <w:t xml:space="preserve">13</w:t>
      </w:r>
      <w:r>
        <w:rPr/>
        <w:t xml:space="preserve">, 80 (2017). https://doi.org/10.1186/s13007-017-0233-z</w:t>
      </w:r>
    </w:p>
    <w:p>
      <w:pPr>
        <w:pStyle w:val="Reference"/>
      </w:pPr>
      <w:r>
        <w:rPr/>
        <w:t xml:space="preserve">[12] Mahlein, A.-K., Kuska, M. T., Behmann, J., Polder, G. &amp; Walter, A. Hyperspectral sensors and imaging technologies in phytopathology: state of the art.</w:t>
      </w:r>
      <w:r>
        <w:rPr/>
        <w:t xml:space="preserve"> </w:t>
      </w:r>
      <w:r>
        <w:rPr>
          <w:iCs/>
          <w:i/>
        </w:rPr>
        <w:t xml:space="preserve">Annu. Rev. Phytopathol.</w:t>
      </w:r>
      <w:r>
        <w:rPr/>
        <w:t xml:space="preserve"> </w:t>
      </w:r>
      <w:r>
        <w:rPr>
          <w:bCs/>
          <w:b/>
        </w:rPr>
        <w:t xml:space="preserve">56</w:t>
      </w:r>
      <w:r>
        <w:rPr/>
        <w:t xml:space="preserve">, 535–558 (2018). https://doi.org/10.1146/annurev-phyto-080417-050100</w:t>
      </w:r>
    </w:p>
    <w:p>
      <w:pPr>
        <w:pStyle w:val="Reference"/>
      </w:pPr>
      <w:r>
        <w:rPr/>
        <w:t xml:space="preserve">[13] Terentev, A., Dolzhenko, V., Fedotov, A. &amp; Eremenko, D. Current state of hyperspectral remote sensing for early plant disease detection: a review.</w:t>
      </w:r>
      <w:r>
        <w:rPr/>
        <w:t xml:space="preserve"> </w:t>
      </w:r>
      <w:r>
        <w:rPr>
          <w:iCs/>
          <w:i/>
        </w:rPr>
        <w:t xml:space="preserve">Sensors</w:t>
      </w:r>
      <w:r>
        <w:rPr/>
        <w:t xml:space="preserve"> </w:t>
      </w:r>
      <w:r>
        <w:rPr>
          <w:bCs/>
          <w:b/>
        </w:rPr>
        <w:t xml:space="preserve">22</w:t>
      </w:r>
      <w:r>
        <w:rPr/>
        <w:t xml:space="preserve">, 757 (2022).</w:t>
      </w:r>
    </w:p>
    <w:p>
      <w:pPr>
        <w:pStyle w:val="Reference"/>
      </w:pPr>
      <w:r>
        <w:rPr/>
        <w:t xml:space="preserve">[14] Ram, B. G., Oduor, P., Igathinathane, C., Howatt, K. &amp; Sun, X. A systematic review of hyperspectral imaging in precision agriculture: analysis of its current state and future prospects.</w:t>
      </w:r>
      <w:r>
        <w:rPr/>
        <w:t xml:space="preserve"> </w:t>
      </w:r>
      <w:r>
        <w:rPr>
          <w:iCs/>
          <w:i/>
        </w:rPr>
        <w:t xml:space="preserve">Comput. Electron. Agric.</w:t>
      </w:r>
      <w:r>
        <w:rPr/>
        <w:t xml:space="preserve"> </w:t>
      </w:r>
      <w:r>
        <w:rPr>
          <w:bCs/>
          <w:b/>
        </w:rPr>
        <w:t xml:space="preserve">222</w:t>
      </w:r>
      <w:r>
        <w:rPr/>
        <w:t xml:space="preserve">, 109037 (2024). https://doi.org/10.1016/j.compag.2024.109037</w:t>
      </w:r>
    </w:p>
    <w:p>
      <w:pPr>
        <w:pStyle w:val="Reference"/>
      </w:pPr>
      <w:r>
        <w:rPr/>
        <w:t xml:space="preserve">[15] Zhu, H.</w:t>
      </w:r>
      <w:r>
        <w:rPr/>
        <w:t xml:space="preserve"> </w:t>
      </w:r>
      <w:r>
        <w:rPr>
          <w:iCs/>
          <w:i/>
        </w:rPr>
        <w:t xml:space="preserve">et al.</w:t>
      </w:r>
      <w:r>
        <w:rPr/>
        <w:t xml:space="preserve"> </w:t>
      </w:r>
      <w:r>
        <w:rPr/>
        <w:t xml:space="preserve">Hyperspectral imaging for presymptomatic detection of tobacco disease with successive projections algorithm and machine-learning classifiers.</w:t>
      </w:r>
      <w:r>
        <w:rPr/>
        <w:t xml:space="preserve"> </w:t>
      </w:r>
      <w:r>
        <w:rPr>
          <w:iCs/>
          <w:i/>
        </w:rPr>
        <w:t xml:space="preserve">Sci. Rep.</w:t>
      </w:r>
      <w:r>
        <w:rPr/>
        <w:t xml:space="preserve"> </w:t>
      </w:r>
      <w:r>
        <w:rPr>
          <w:bCs/>
          <w:b/>
        </w:rPr>
        <w:t xml:space="preserve">7</w:t>
      </w:r>
      <w:r>
        <w:rPr/>
        <w:t xml:space="preserve">, 4125 (2017). https://doi.org/10.1038/s41598-017-04501-2</w:t>
      </w:r>
    </w:p>
    <w:p>
      <w:pPr>
        <w:pStyle w:val="Reference"/>
      </w:pPr>
      <w:r>
        <w:rPr/>
        <w:t xml:space="preserve">[16] Zhang, X., Vinatzer, B. A. &amp; Li, S. Hyperspectral imaging analysis for early detection of tomato bacterial leaf spot disease.</w:t>
      </w:r>
      <w:r>
        <w:rPr/>
        <w:t xml:space="preserve"> </w:t>
      </w:r>
      <w:r>
        <w:rPr>
          <w:iCs/>
          <w:i/>
        </w:rPr>
        <w:t xml:space="preserve">Sci. Rep.</w:t>
      </w:r>
      <w:r>
        <w:rPr/>
        <w:t xml:space="preserve"> </w:t>
      </w:r>
      <w:r>
        <w:rPr>
          <w:bCs/>
          <w:b/>
        </w:rPr>
        <w:t xml:space="preserve">14</w:t>
      </w:r>
      <w:r>
        <w:rPr/>
        <w:t xml:space="preserve">, 27666 (2024). https://doi.org/10.1038/s41598-024-78650-6</w:t>
      </w:r>
    </w:p>
    <w:p>
      <w:pPr>
        <w:pStyle w:val="Reference"/>
      </w:pPr>
      <w:r>
        <w:rPr/>
        <w:t xml:space="preserve">[17] Paulus, S. &amp; Mahlein, A.-K. Technical workflows for hyperspectral plant image assessment and processing on the greenhouse and laboratory scale.</w:t>
      </w:r>
      <w:r>
        <w:rPr/>
        <w:t xml:space="preserve"> </w:t>
      </w:r>
      <w:r>
        <w:rPr>
          <w:iCs/>
          <w:i/>
        </w:rPr>
        <w:t xml:space="preserve">GigaScience</w:t>
      </w:r>
      <w:r>
        <w:rPr/>
        <w:t xml:space="preserve"> </w:t>
      </w:r>
      <w:r>
        <w:rPr>
          <w:bCs/>
          <w:b/>
        </w:rPr>
        <w:t xml:space="preserve">9</w:t>
      </w:r>
      <w:r>
        <w:rPr/>
        <w:t xml:space="preserve">, giaa090 (2020). https://doi.org/10.1093/gigascience/giaa090</w:t>
      </w:r>
    </w:p>
    <w:p>
      <w:pPr>
        <w:pStyle w:val="Reference"/>
      </w:pPr>
      <w:r>
        <w:rPr/>
        <w:t xml:space="preserve">[18] Chen, Y.-N., Thaipisutikul, T., Han, C.-C., Liu, T.-J. &amp; Fan, K.-C. Feature line embedding based on support vector machine for hyperspectral image classification.</w:t>
      </w:r>
      <w:r>
        <w:rPr/>
        <w:t xml:space="preserve"> </w:t>
      </w:r>
      <w:r>
        <w:rPr>
          <w:iCs/>
          <w:i/>
        </w:rPr>
        <w:t xml:space="preserve">Remote Sens.</w:t>
      </w:r>
      <w:r>
        <w:rPr/>
        <w:t xml:space="preserve"> </w:t>
      </w:r>
      <w:r>
        <w:rPr>
          <w:bCs/>
          <w:b/>
        </w:rPr>
        <w:t xml:space="preserve">13</w:t>
      </w:r>
      <w:r>
        <w:rPr/>
        <w:t xml:space="preserve">, 130 (2021).</w:t>
      </w:r>
    </w:p>
    <w:p>
      <w:pPr>
        <w:pStyle w:val="Reference"/>
      </w:pPr>
      <w:r>
        <w:rPr/>
        <w:t xml:space="preserve">[19] Roy, S. K., Krishna, G., Dubey, S. R. &amp; Chaudhuri, B. B. HybridSN: exploring 3-D–2-D CNN feature hierarchy for hyperspectral image classification.</w:t>
      </w:r>
      <w:r>
        <w:rPr/>
        <w:t xml:space="preserve"> </w:t>
      </w:r>
      <w:r>
        <w:rPr>
          <w:iCs/>
          <w:i/>
        </w:rPr>
        <w:t xml:space="preserve">IEEE Geosci. Remote Sens. Lett.</w:t>
      </w:r>
      <w:r>
        <w:rPr/>
        <w:t xml:space="preserve"> </w:t>
      </w:r>
      <w:r>
        <w:rPr>
          <w:bCs/>
          <w:b/>
        </w:rPr>
        <w:t xml:space="preserve">17</w:t>
      </w:r>
      <w:r>
        <w:rPr/>
        <w:t xml:space="preserve">, 277–281 (2020). https://doi.org/10.1109/LGRS.2019.2918719</w:t>
      </w:r>
    </w:p>
    <w:p>
      <w:pPr>
        <w:pStyle w:val="Reference"/>
      </w:pPr>
      <w:r>
        <w:rPr/>
        <w:t xml:space="preserve">[20] Salazar-Vazquez, J. &amp; Mendez-Vazquez, A. A plug-and-play hyperspectral imaging sensor using low-cost equipment.</w:t>
      </w:r>
      <w:r>
        <w:rPr/>
        <w:t xml:space="preserve"> </w:t>
      </w:r>
      <w:r>
        <w:rPr>
          <w:iCs/>
          <w:i/>
        </w:rPr>
        <w:t xml:space="preserve">HardwareX</w:t>
      </w:r>
      <w:r>
        <w:rPr/>
        <w:t xml:space="preserve"> </w:t>
      </w:r>
      <w:r>
        <w:rPr>
          <w:bCs/>
          <w:b/>
        </w:rPr>
        <w:t xml:space="preserve">7</w:t>
      </w:r>
      <w:r>
        <w:rPr/>
        <w:t xml:space="preserve">, e00087 (2020). https://doi.org/10.1016/j.ohx.2019.e00087</w:t>
      </w:r>
    </w:p>
    <w:p>
      <w:pPr>
        <w:pStyle w:val="Reference"/>
      </w:pPr>
      <w:r>
        <w:rPr/>
        <w:t xml:space="preserve">[21] Koornneef, M. &amp; Meinke, D. The development of Arabidopsis as a model plant.</w:t>
      </w:r>
      <w:r>
        <w:rPr/>
        <w:t xml:space="preserve"> </w:t>
      </w:r>
      <w:r>
        <w:rPr>
          <w:iCs/>
          <w:i/>
        </w:rPr>
        <w:t xml:space="preserve">Plant J.</w:t>
      </w:r>
      <w:r>
        <w:rPr/>
        <w:t xml:space="preserve"> </w:t>
      </w:r>
      <w:r>
        <w:rPr>
          <w:bCs/>
          <w:b/>
        </w:rPr>
        <w:t xml:space="preserve">61</w:t>
      </w:r>
      <w:r>
        <w:rPr/>
        <w:t xml:space="preserve">, 909–921 (2010). https://doi.org/10.1111/j.1365-313X.2009.04086.x</w:t>
      </w:r>
    </w:p>
    <w:p>
      <w:pPr>
        <w:pStyle w:val="Reference"/>
      </w:pPr>
      <w:r>
        <w:rPr/>
        <w:t xml:space="preserve">[22] Borhan, M. H.</w:t>
      </w:r>
      <w:r>
        <w:rPr/>
        <w:t xml:space="preserve"> </w:t>
      </w:r>
      <w:r>
        <w:rPr>
          <w:iCs/>
          <w:i/>
        </w:rPr>
        <w:t xml:space="preserve">et al.</w:t>
      </w:r>
      <w:r>
        <w:rPr/>
        <w:t xml:space="preserve"> </w:t>
      </w:r>
      <w:r>
        <w:rPr/>
        <w:t xml:space="preserve">WRR4, a broad-spectrum TIR-NB-LRR gene from</w:t>
      </w:r>
      <w:r>
        <w:rPr/>
        <w:t xml:space="preserve"> </w:t>
      </w:r>
      <w:r>
        <w:rPr>
          <w:iCs/>
          <w:i/>
        </w:rPr>
        <w:t xml:space="preserve">Arabidopsis thaliana</w:t>
      </w:r>
      <w:r>
        <w:rPr/>
        <w:t xml:space="preserve"> </w:t>
      </w:r>
      <w:r>
        <w:rPr/>
        <w:t xml:space="preserve">that confers white rust resistance in transgenic oilseed</w:t>
      </w:r>
      <w:r>
        <w:rPr/>
        <w:t xml:space="preserve"> </w:t>
      </w:r>
      <w:r>
        <w:rPr>
          <w:iCs/>
          <w:i/>
        </w:rPr>
        <w:t xml:space="preserve">Brassica</w:t>
      </w:r>
      <w:r>
        <w:rPr/>
        <w:t xml:space="preserve"> </w:t>
      </w:r>
      <w:r>
        <w:rPr/>
        <w:t xml:space="preserve">crops.</w:t>
      </w:r>
      <w:r>
        <w:rPr/>
        <w:t xml:space="preserve"> </w:t>
      </w:r>
      <w:r>
        <w:rPr>
          <w:iCs/>
          <w:i/>
        </w:rPr>
        <w:t xml:space="preserve">Mol. Plant Pathol.</w:t>
      </w:r>
      <w:r>
        <w:rPr/>
        <w:t xml:space="preserve"> </w:t>
      </w:r>
      <w:r>
        <w:rPr>
          <w:bCs/>
          <w:b/>
        </w:rPr>
        <w:t xml:space="preserve">11</w:t>
      </w:r>
      <w:r>
        <w:rPr/>
        <w:t xml:space="preserve">, 283–291 (2010). https://doi.org/10.1111/j.1364-3703.2009.00599.x</w:t>
      </w:r>
    </w:p>
    <w:p>
      <w:pPr>
        <w:pStyle w:val="Reference"/>
      </w:pPr>
      <w:r>
        <w:rPr/>
        <w:t xml:space="preserve">[23] Parkes, T.</w:t>
      </w:r>
      <w:r>
        <w:rPr/>
        <w:t xml:space="preserve"> </w:t>
      </w:r>
      <w:r>
        <w:rPr>
          <w:iCs/>
          <w:i/>
        </w:rPr>
        <w:t xml:space="preserve">From Recognition to Susceptibility: Functional Characterization of Plant-Specific LIM-Domain Containing Proteins in Plant–Microbe Interactions</w:t>
      </w:r>
      <w:r>
        <w:rPr/>
        <w:t xml:space="preserve">. PhD thesis, University of Bath (2020).</w:t>
      </w:r>
    </w:p>
    <w:p>
      <w:pPr>
        <w:pStyle w:val="Reference"/>
      </w:pPr>
      <w:r>
        <w:rPr/>
        <w:t>[24] Furzer, O. J. et al. An improved assembly of the Albugo candida Ac2V genome reveals the expansion of the “CCG” class of effectors. Mol. Plant Microbe Interact. 35, 39–48 (2022). https://doi.org/10.1094/MPMI-04-21-0075-R</w:t>
      </w:r>
    </w:p>
    <w:p>
      <w:pPr>
        <w:pStyle w:val="Reference"/>
      </w:pPr>
      <w:r>
        <w:rPr/>
        <w:t xml:space="preserve">[25] Hong, D.</w:t>
      </w:r>
      <w:r>
        <w:rPr/>
        <w:t xml:space="preserve"> </w:t>
      </w:r>
      <w:r>
        <w:rPr>
          <w:iCs/>
          <w:i/>
        </w:rPr>
        <w:t xml:space="preserve">et al.</w:t>
      </w:r>
      <w:r>
        <w:rPr/>
        <w:t xml:space="preserve"> </w:t>
      </w:r>
      <w:r>
        <w:rPr/>
        <w:t xml:space="preserve">SpectralFormer: rethinking hyperspectral image classification with transformers.</w:t>
      </w:r>
      <w:r>
        <w:rPr/>
        <w:t xml:space="preserve"> </w:t>
      </w:r>
      <w:r>
        <w:rPr>
          <w:iCs/>
          <w:i/>
        </w:rPr>
        <w:t xml:space="preserve">IEEE Trans. Geosci. Remote Sens.</w:t>
      </w:r>
      <w:r>
        <w:rPr/>
        <w:t xml:space="preserve"> </w:t>
      </w:r>
      <w:r>
        <w:rPr>
          <w:bCs/>
          <w:b/>
        </w:rPr>
        <w:t xml:space="preserve">60</w:t>
      </w:r>
      <w:r>
        <w:rPr/>
        <w:t xml:space="preserve">, 1–15 (2022). https://doi.org/10.1109/TGRS.2021.3130716</w:t>
      </w:r>
    </w:p>
    <w:p>
      <w:pPr>
        <w:pStyle w:val="Reference"/>
      </w:pPr>
      <w:r>
        <w:rPr/>
        <w:t xml:space="preserve">[26] Detring, J., Barreto, A., Mahlein, A.-K. &amp; Paulus, S. Quality assurance of hyperspectral imaging systems for neural network supported plant phenotyping.</w:t>
      </w:r>
      <w:r>
        <w:rPr/>
        <w:t xml:space="preserve"> </w:t>
      </w:r>
      <w:r>
        <w:rPr>
          <w:iCs/>
          <w:i/>
        </w:rPr>
        <w:t xml:space="preserve">Plant Methods</w:t>
      </w:r>
      <w:r>
        <w:rPr/>
        <w:t xml:space="preserve"> </w:t>
      </w:r>
      <w:r>
        <w:rPr>
          <w:bCs/>
          <w:b/>
        </w:rPr>
        <w:t xml:space="preserve">20</w:t>
      </w:r>
      <w:r>
        <w:rPr/>
        <w:t xml:space="preserve">, 189 (2024). https://doi.org/10.1186/s13007-024-01315-y</w:t>
      </w:r>
    </w:p>
    <w:p>
      <w:pPr>
        <w:pStyle w:val="Reference"/>
      </w:pPr>
      <w:r>
        <w:rPr/>
        <w:t xml:space="preserve">[27] Sousa, J. J.</w:t>
      </w:r>
      <w:r>
        <w:rPr/>
        <w:t xml:space="preserve"> </w:t>
      </w:r>
      <w:r>
        <w:rPr>
          <w:iCs/>
          <w:i/>
        </w:rPr>
        <w:t xml:space="preserve">et al.</w:t>
      </w:r>
      <w:r>
        <w:rPr/>
        <w:t xml:space="preserve"> </w:t>
      </w:r>
      <w:r>
        <w:rPr/>
        <w:t xml:space="preserve">UAV-based hyperspectral monitoring using push-broom and snapshot sensors: a multisite assessment for precision viticulture applications.</w:t>
      </w:r>
      <w:r>
        <w:rPr/>
        <w:t xml:space="preserve"> </w:t>
      </w:r>
      <w:r>
        <w:rPr>
          <w:iCs/>
          <w:i/>
        </w:rPr>
        <w:t xml:space="preserve">Sensors</w:t>
      </w:r>
      <w:r>
        <w:rPr/>
        <w:t xml:space="preserve"> </w:t>
      </w:r>
      <w:r>
        <w:rPr>
          <w:bCs/>
          <w:b/>
        </w:rPr>
        <w:t xml:space="preserve">22</w:t>
      </w:r>
      <w:r>
        <w:rPr/>
        <w:t xml:space="preserve">, 6574 (2022).</w:t>
      </w:r>
    </w:p>
    <w:p>
      <w:pPr>
        <w:pStyle w:val="Reference"/>
      </w:pPr>
      <w:r>
        <w:rPr/>
        <w:t xml:space="preserve">[28] Singh, B. K.</w:t>
      </w:r>
      <w:r>
        <w:rPr/>
        <w:t xml:space="preserve"> </w:t>
      </w:r>
      <w:r>
        <w:rPr>
          <w:iCs/>
          <w:i/>
        </w:rPr>
        <w:t xml:space="preserve">et al.</w:t>
      </w:r>
      <w:r>
        <w:rPr/>
        <w:t xml:space="preserve"> </w:t>
      </w:r>
      <w:r>
        <w:rPr/>
        <w:t xml:space="preserve">Climate change impacts on plant pathogens, food security and paths forward.</w:t>
      </w:r>
      <w:r>
        <w:rPr/>
        <w:t xml:space="preserve"> </w:t>
      </w:r>
      <w:r>
        <w:rPr>
          <w:iCs/>
          <w:i/>
        </w:rPr>
        <w:t xml:space="preserve">Nat. Rev. Microbiol.</w:t>
      </w:r>
      <w:r>
        <w:rPr/>
        <w:t xml:space="preserve"> </w:t>
      </w:r>
      <w:r>
        <w:rPr>
          <w:bCs/>
          <w:b/>
        </w:rPr>
        <w:t xml:space="preserve">21</w:t>
      </w:r>
      <w:r>
        <w:rPr/>
        <w:t xml:space="preserve">, 640–656 (2023). https://doi.org/10.1038/s41579-023-00900-7</w:t>
      </w:r>
    </w:p>
    <w:p>
      <w:pPr>
        <w:pStyle w:val="Reference"/>
        <w:sectPr>
          <w:footerReference w:type="default" r:id="rId9"/>
          <w:pgSz w:w="11906" w:h="16838"/>
          <w:pgMar w:left="1417" w:right="1417" w:top="1417" w:bottom="1417" w:footer="680"/>
          <w:lnNumType w:countBy="1" w:distance="360" w:restart="continuous"/>
        </w:sectPr>
      </w:pPr>
      <w:r>
        <w:rPr/>
        <w:t xml:space="preserve">[29] Wang, N.</w:t>
      </w:r>
      <w:r>
        <w:rPr/>
        <w:t xml:space="preserve"> </w:t>
      </w:r>
      <w:r>
        <w:rPr>
          <w:iCs/>
          <w:i/>
        </w:rPr>
        <w:t xml:space="preserve">et al.</w:t>
      </w:r>
      <w:r>
        <w:rPr/>
        <w:t xml:space="preserve"> </w:t>
      </w:r>
      <w:r>
        <w:rPr/>
        <w:t xml:space="preserve">Key challenges in plant pathology in the next decade.</w:t>
      </w:r>
      <w:r>
        <w:rPr/>
        <w:t xml:space="preserve"> </w:t>
      </w:r>
      <w:r>
        <w:rPr>
          <w:iCs/>
          <w:i/>
        </w:rPr>
        <w:t xml:space="preserve">Phytopathology</w:t>
      </w:r>
      <w:r>
        <w:rPr/>
        <w:t xml:space="preserve"> </w:t>
      </w:r>
      <w:r>
        <w:rPr>
          <w:bCs/>
          <w:b/>
        </w:rPr>
        <w:t xml:space="preserve">114</w:t>
      </w:r>
      <w:r>
        <w:rPr/>
        <w:t xml:space="preserve">, 837–842 (2024). https://doi.org/10.1094/PHYTO-04-24-0137-KC</w:t>
      </w:r>
    </w:p>
    <w:p>
      <w:pPr>
        <w:pStyle w:val="SuppBreak"/>
      </w:pPr>
      <w:r>
        <w:rPr/>
        <w:t xml:space="preserve">Supplementary tables</w:t>
      </w:r>
    </w:p>
    <w:p>
      <w:pPr>
        <w:pStyle w:val="TableCaption"/>
      </w:pPr>
      <w:r>
        <w:rPr>
          <w:bCs/>
          <w:b/>
        </w:rPr>
        <w:t xml:space="preserve">Table S1.</w:t>
      </w:r>
      <w:r>
        <w:rPr/>
        <w:t xml:space="preserve"> </w:t>
      </w:r>
      <w:r>
        <w:rPr/>
        <w:t xml:space="preserve">All models at 2 dpi (mean ± SD across three seeds; five plant-disjoint folds each). Rankings are descriptive.</w:t>
      </w:r>
    </w:p>
    <w:tbl>
      <w:tblPr>
        <w:tblCaption w:val="Table S1. All models at 2 dpi (mean ± SD across three seeds; five plant-disjoint folds each). Rankings are descriptive."/>
        <w:tblW w:w="1270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3175"/>
        <w:gridCol w:w="1361"/>
        <w:gridCol w:w="1361"/>
        <w:gridCol w:w="1361"/>
        <w:gridCol w:w="1361"/>
        <w:gridCol w:w="1361"/>
        <w:gridCol w:w="1361"/>
        <w:gridCol w:w="1361"/>
      </w:tblGrid>
      <w:tr>
        <w:trPr>
          <w:tblHeader w:val="true"/>
          <w:cantSplit/>
          <w:tblHeader/>
        </w:trPr>
        <w:tc>
          <w:tcPr>
            <w:tcW w:w="3175" w:type="dxa"/>
            <w:tcBorders>
              <w:bottom w:val="single" w:sz="5" w:space="0" w:color="000000"/>
            </w:tcBorders>
            <w:vAlign w:val="center"/>
          </w:tcPr>
          <w:p>
            <w:pPr>
              <w:pStyle w:val="Compact"/>
              <w:spacing w:before="0" w:after="60" w:line="240" w:lineRule="auto"/>
              <w:jc w:val="left"/>
            </w:pPr>
            <w:r>
              <w:rPr>
                <w:b/>
                <w:sz w:val="18"/>
              </w:rPr>
              <w:t xml:space="preserve">Model</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F1</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Precision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Sensitivity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Specificity (%)</w:t>
            </w:r>
          </w:p>
        </w:tc>
      </w:tr>
      <w:tr>
        <w:trPr>
          <w:cantSplit/>
        </w:trPr>
        <w:tc>
          <w:tcPr>
            <w:tcW w:w="3175" w:type="dxa"/>
          </w:tcPr>
          <w:p>
            <w:pPr>
              <w:pStyle w:val="Compact"/>
              <w:spacing w:before="0" w:after="60" w:line="240" w:lineRule="auto"/>
              <w:jc w:val="left"/>
            </w:pPr>
            <w:r>
              <w:rPr>
                <w:sz w:val="18"/>
              </w:rPr>
              <w:t xml:space="preserve">PSNet</w:t>
            </w:r>
          </w:p>
        </w:tc>
        <w:tc>
          <w:tcPr>
            <w:tcW w:w="1361" w:type="dxa"/>
          </w:tcPr>
          <w:p>
            <w:pPr>
              <w:pStyle w:val="Compact"/>
              <w:spacing w:before="0" w:after="60" w:line="240" w:lineRule="auto"/>
              <w:jc w:val="center"/>
            </w:pPr>
            <w:r>
              <w:rPr>
                <w:sz w:val="18"/>
              </w:rPr>
              <w:t xml:space="preserve">69.89 ± 4.69</w:t>
            </w:r>
          </w:p>
        </w:tc>
        <w:tc>
          <w:tcPr>
            <w:tcW w:w="1361" w:type="dxa"/>
          </w:tcPr>
          <w:p>
            <w:pPr>
              <w:pStyle w:val="Compact"/>
              <w:spacing w:before="0" w:after="60" w:line="240" w:lineRule="auto"/>
              <w:jc w:val="center"/>
            </w:pPr>
            <w:r>
              <w:rPr>
                <w:sz w:val="18"/>
              </w:rPr>
              <w:t xml:space="preserve">56.16 ± 4.09</w:t>
            </w:r>
          </w:p>
        </w:tc>
        <w:tc>
          <w:tcPr>
            <w:tcW w:w="1361" w:type="dxa"/>
          </w:tcPr>
          <w:p>
            <w:pPr>
              <w:pStyle w:val="Compact"/>
              <w:spacing w:before="0" w:after="60" w:line="240" w:lineRule="auto"/>
              <w:jc w:val="center"/>
            </w:pPr>
            <w:r>
              <w:rPr>
                <w:sz w:val="18"/>
              </w:rPr>
              <w:t xml:space="preserve">0.605 ± 0.049</w:t>
            </w:r>
          </w:p>
        </w:tc>
        <w:tc>
          <w:tcPr>
            <w:tcW w:w="1361" w:type="dxa"/>
          </w:tcPr>
          <w:p>
            <w:pPr>
              <w:pStyle w:val="Compact"/>
              <w:spacing w:before="0" w:after="60" w:line="240" w:lineRule="auto"/>
              <w:jc w:val="center"/>
            </w:pPr>
            <w:r>
              <w:rPr>
                <w:sz w:val="18"/>
              </w:rPr>
              <w:t xml:space="preserve">0.805 ± 0.038</w:t>
            </w:r>
          </w:p>
        </w:tc>
        <w:tc>
          <w:tcPr>
            <w:tcW w:w="1361" w:type="dxa"/>
          </w:tcPr>
          <w:p>
            <w:pPr>
              <w:pStyle w:val="Compact"/>
              <w:spacing w:before="0" w:after="60" w:line="240" w:lineRule="auto"/>
              <w:jc w:val="center"/>
            </w:pPr>
            <w:r>
              <w:rPr>
                <w:sz w:val="18"/>
              </w:rPr>
              <w:t xml:space="preserve">77.12 ± 2.03</w:t>
            </w:r>
          </w:p>
        </w:tc>
        <w:tc>
          <w:tcPr>
            <w:tcW w:w="1361" w:type="dxa"/>
          </w:tcPr>
          <w:p>
            <w:pPr>
              <w:pStyle w:val="Compact"/>
              <w:spacing w:before="0" w:after="60" w:line="240" w:lineRule="auto"/>
              <w:jc w:val="center"/>
            </w:pPr>
            <w:r>
              <w:rPr>
                <w:sz w:val="18"/>
              </w:rPr>
              <w:t xml:space="preserve">84.54 ± 7.98</w:t>
            </w:r>
          </w:p>
        </w:tc>
        <w:tc>
          <w:tcPr>
            <w:tcW w:w="1361" w:type="dxa"/>
          </w:tcPr>
          <w:p>
            <w:pPr>
              <w:pStyle w:val="Compact"/>
              <w:spacing w:before="0" w:after="60" w:line="240" w:lineRule="auto"/>
              <w:jc w:val="center"/>
            </w:pPr>
            <w:r>
              <w:rPr>
                <w:sz w:val="18"/>
              </w:rPr>
              <w:t xml:space="preserve">27.78 ± 10.49</w:t>
            </w:r>
          </w:p>
        </w:tc>
      </w:tr>
      <w:tr>
        <w:trPr>
          <w:cantSplit/>
        </w:trPr>
        <w:tc>
          <w:tcPr>
            <w:tcW w:w="3175" w:type="dxa"/>
          </w:tcPr>
          <w:p>
            <w:pPr>
              <w:pStyle w:val="Compact"/>
              <w:spacing w:before="0" w:after="60" w:line="240" w:lineRule="auto"/>
              <w:jc w:val="left"/>
            </w:pPr>
            <w:r>
              <w:rPr>
                <w:sz w:val="18"/>
              </w:rPr>
              <w:t xml:space="preserve">Plain multimodal</w:t>
            </w:r>
          </w:p>
        </w:tc>
        <w:tc>
          <w:tcPr>
            <w:tcW w:w="1361" w:type="dxa"/>
          </w:tcPr>
          <w:p>
            <w:pPr>
              <w:pStyle w:val="Compact"/>
              <w:spacing w:before="0" w:after="60" w:line="240" w:lineRule="auto"/>
              <w:jc w:val="center"/>
            </w:pPr>
            <w:r>
              <w:rPr>
                <w:sz w:val="18"/>
              </w:rPr>
              <w:t xml:space="preserve">66.31 ± 10.33</w:t>
            </w:r>
          </w:p>
        </w:tc>
        <w:tc>
          <w:tcPr>
            <w:tcW w:w="1361" w:type="dxa"/>
          </w:tcPr>
          <w:p>
            <w:pPr>
              <w:pStyle w:val="Compact"/>
              <w:spacing w:before="0" w:after="60" w:line="240" w:lineRule="auto"/>
              <w:jc w:val="center"/>
            </w:pPr>
            <w:r>
              <w:rPr>
                <w:sz w:val="18"/>
              </w:rPr>
              <w:t xml:space="preserve">53.74 ± 4.89</w:t>
            </w:r>
          </w:p>
        </w:tc>
        <w:tc>
          <w:tcPr>
            <w:tcW w:w="1361" w:type="dxa"/>
          </w:tcPr>
          <w:p>
            <w:pPr>
              <w:pStyle w:val="Compact"/>
              <w:spacing w:before="0" w:after="60" w:line="240" w:lineRule="auto"/>
              <w:jc w:val="center"/>
            </w:pPr>
            <w:r>
              <w:rPr>
                <w:sz w:val="18"/>
              </w:rPr>
              <w:t xml:space="preserve">0.541 ± 0.041</w:t>
            </w:r>
          </w:p>
        </w:tc>
        <w:tc>
          <w:tcPr>
            <w:tcW w:w="1361" w:type="dxa"/>
          </w:tcPr>
          <w:p>
            <w:pPr>
              <w:pStyle w:val="Compact"/>
              <w:spacing w:before="0" w:after="60" w:line="240" w:lineRule="auto"/>
              <w:jc w:val="center"/>
            </w:pPr>
            <w:r>
              <w:rPr>
                <w:sz w:val="18"/>
              </w:rPr>
              <w:t xml:space="preserve">0.773 ± 0.087</w:t>
            </w:r>
          </w:p>
        </w:tc>
        <w:tc>
          <w:tcPr>
            <w:tcW w:w="1361" w:type="dxa"/>
          </w:tcPr>
          <w:p>
            <w:pPr>
              <w:pStyle w:val="Compact"/>
              <w:spacing w:before="0" w:after="60" w:line="240" w:lineRule="auto"/>
              <w:jc w:val="center"/>
            </w:pPr>
            <w:r>
              <w:rPr>
                <w:sz w:val="18"/>
              </w:rPr>
              <w:t xml:space="preserve">75.80 ± 2.07</w:t>
            </w:r>
          </w:p>
        </w:tc>
        <w:tc>
          <w:tcPr>
            <w:tcW w:w="1361" w:type="dxa"/>
          </w:tcPr>
          <w:p>
            <w:pPr>
              <w:pStyle w:val="Compact"/>
              <w:spacing w:before="0" w:after="60" w:line="240" w:lineRule="auto"/>
              <w:jc w:val="center"/>
            </w:pPr>
            <w:r>
              <w:rPr>
                <w:sz w:val="18"/>
              </w:rPr>
              <w:t xml:space="preserve">79.71 ± 16.14</w:t>
            </w:r>
          </w:p>
        </w:tc>
        <w:tc>
          <w:tcPr>
            <w:tcW w:w="1361" w:type="dxa"/>
          </w:tcPr>
          <w:p>
            <w:pPr>
              <w:pStyle w:val="Compact"/>
              <w:spacing w:before="0" w:after="60" w:line="240" w:lineRule="auto"/>
              <w:jc w:val="center"/>
            </w:pPr>
            <w:r>
              <w:rPr>
                <w:sz w:val="18"/>
              </w:rPr>
              <w:t xml:space="preserve">27.78 ± 6.36</w:t>
            </w:r>
          </w:p>
        </w:tc>
      </w:tr>
      <w:tr>
        <w:trPr>
          <w:cantSplit/>
        </w:trPr>
        <w:tc>
          <w:tcPr>
            <w:tcW w:w="3175" w:type="dxa"/>
          </w:tcPr>
          <w:p>
            <w:pPr>
              <w:pStyle w:val="Compact"/>
              <w:spacing w:before="0" w:after="60" w:line="240" w:lineRule="auto"/>
              <w:jc w:val="left"/>
            </w:pPr>
            <w:r>
              <w:rPr>
                <w:sz w:val="18"/>
              </w:rPr>
              <w:t xml:space="preserve">RGB ResNet18</w:t>
            </w:r>
          </w:p>
        </w:tc>
        <w:tc>
          <w:tcPr>
            <w:tcW w:w="1361" w:type="dxa"/>
          </w:tcPr>
          <w:p>
            <w:pPr>
              <w:pStyle w:val="Compact"/>
              <w:spacing w:before="0" w:after="60" w:line="240" w:lineRule="auto"/>
              <w:jc w:val="center"/>
            </w:pPr>
            <w:r>
              <w:rPr>
                <w:sz w:val="18"/>
              </w:rPr>
              <w:t xml:space="preserve">58.42 ± 1.24</w:t>
            </w:r>
          </w:p>
        </w:tc>
        <w:tc>
          <w:tcPr>
            <w:tcW w:w="1361" w:type="dxa"/>
          </w:tcPr>
          <w:p>
            <w:pPr>
              <w:pStyle w:val="Compact"/>
              <w:spacing w:before="0" w:after="60" w:line="240" w:lineRule="auto"/>
              <w:jc w:val="center"/>
            </w:pPr>
            <w:r>
              <w:rPr>
                <w:sz w:val="18"/>
              </w:rPr>
              <w:t xml:space="preserve">50.69 ± 3.61</w:t>
            </w:r>
          </w:p>
        </w:tc>
        <w:tc>
          <w:tcPr>
            <w:tcW w:w="1361" w:type="dxa"/>
          </w:tcPr>
          <w:p>
            <w:pPr>
              <w:pStyle w:val="Compact"/>
              <w:spacing w:before="0" w:after="60" w:line="240" w:lineRule="auto"/>
              <w:jc w:val="center"/>
            </w:pPr>
            <w:r>
              <w:rPr>
                <w:sz w:val="18"/>
              </w:rPr>
              <w:t xml:space="preserve">0.531 ± 0.047</w:t>
            </w:r>
          </w:p>
        </w:tc>
        <w:tc>
          <w:tcPr>
            <w:tcW w:w="1361" w:type="dxa"/>
          </w:tcPr>
          <w:p>
            <w:pPr>
              <w:pStyle w:val="Compact"/>
              <w:spacing w:before="0" w:after="60" w:line="240" w:lineRule="auto"/>
              <w:jc w:val="center"/>
            </w:pPr>
            <w:r>
              <w:rPr>
                <w:sz w:val="18"/>
              </w:rPr>
              <w:t xml:space="preserve">0.704 ± 0.015</w:t>
            </w:r>
          </w:p>
        </w:tc>
        <w:tc>
          <w:tcPr>
            <w:tcW w:w="1361" w:type="dxa"/>
          </w:tcPr>
          <w:p>
            <w:pPr>
              <w:pStyle w:val="Compact"/>
              <w:spacing w:before="0" w:after="60" w:line="240" w:lineRule="auto"/>
              <w:jc w:val="center"/>
            </w:pPr>
            <w:r>
              <w:rPr>
                <w:sz w:val="18"/>
              </w:rPr>
              <w:t xml:space="preserve">74.70 ± 2.18</w:t>
            </w:r>
          </w:p>
        </w:tc>
        <w:tc>
          <w:tcPr>
            <w:tcW w:w="1361" w:type="dxa"/>
          </w:tcPr>
          <w:p>
            <w:pPr>
              <w:pStyle w:val="Compact"/>
              <w:spacing w:before="0" w:after="60" w:line="240" w:lineRule="auto"/>
              <w:jc w:val="center"/>
            </w:pPr>
            <w:r>
              <w:rPr>
                <w:sz w:val="18"/>
              </w:rPr>
              <w:t xml:space="preserve">66.67 ± 3.83</w:t>
            </w:r>
          </w:p>
        </w:tc>
        <w:tc>
          <w:tcPr>
            <w:tcW w:w="1361" w:type="dxa"/>
          </w:tcPr>
          <w:p>
            <w:pPr>
              <w:pStyle w:val="Compact"/>
              <w:spacing w:before="0" w:after="60" w:line="240" w:lineRule="auto"/>
              <w:jc w:val="center"/>
            </w:pPr>
            <w:r>
              <w:rPr>
                <w:sz w:val="18"/>
              </w:rPr>
              <w:t xml:space="preserve">34.72 ± 10.49</w:t>
            </w:r>
          </w:p>
        </w:tc>
      </w:tr>
      <w:tr>
        <w:trPr>
          <w:cantSplit/>
        </w:trPr>
        <w:tc>
          <w:tcPr>
            <w:tcW w:w="3175" w:type="dxa"/>
          </w:tcPr>
          <w:p>
            <w:pPr>
              <w:pStyle w:val="Compact"/>
              <w:spacing w:before="0" w:after="60" w:line="240" w:lineRule="auto"/>
              <w:jc w:val="left"/>
            </w:pPr>
            <w:r>
              <w:rPr>
                <w:sz w:val="18"/>
              </w:rPr>
              <w:t xml:space="preserve">RGB ResNet34</w:t>
            </w:r>
          </w:p>
        </w:tc>
        <w:tc>
          <w:tcPr>
            <w:tcW w:w="1361" w:type="dxa"/>
          </w:tcPr>
          <w:p>
            <w:pPr>
              <w:pStyle w:val="Compact"/>
              <w:spacing w:before="0" w:after="60" w:line="240" w:lineRule="auto"/>
              <w:jc w:val="center"/>
            </w:pPr>
            <w:r>
              <w:rPr>
                <w:sz w:val="18"/>
              </w:rPr>
              <w:t xml:space="preserve">61.29 ± 12.90</w:t>
            </w:r>
          </w:p>
        </w:tc>
        <w:tc>
          <w:tcPr>
            <w:tcW w:w="1361" w:type="dxa"/>
          </w:tcPr>
          <w:p>
            <w:pPr>
              <w:pStyle w:val="Compact"/>
              <w:spacing w:before="0" w:after="60" w:line="240" w:lineRule="auto"/>
              <w:jc w:val="center"/>
            </w:pPr>
            <w:r>
              <w:rPr>
                <w:sz w:val="18"/>
              </w:rPr>
              <w:t xml:space="preserve">52.63 ± 3.96</w:t>
            </w:r>
          </w:p>
        </w:tc>
        <w:tc>
          <w:tcPr>
            <w:tcW w:w="1361" w:type="dxa"/>
          </w:tcPr>
          <w:p>
            <w:pPr>
              <w:pStyle w:val="Compact"/>
              <w:spacing w:before="0" w:after="60" w:line="240" w:lineRule="auto"/>
              <w:jc w:val="center"/>
            </w:pPr>
            <w:r>
              <w:rPr>
                <w:sz w:val="18"/>
              </w:rPr>
              <w:t xml:space="preserve">0.509 ± 0.057</w:t>
            </w:r>
          </w:p>
        </w:tc>
        <w:tc>
          <w:tcPr>
            <w:tcW w:w="1361" w:type="dxa"/>
          </w:tcPr>
          <w:p>
            <w:pPr>
              <w:pStyle w:val="Compact"/>
              <w:spacing w:before="0" w:after="60" w:line="240" w:lineRule="auto"/>
              <w:jc w:val="center"/>
            </w:pPr>
            <w:r>
              <w:rPr>
                <w:sz w:val="18"/>
              </w:rPr>
              <w:t xml:space="preserve">0.711 ± 0.151</w:t>
            </w:r>
          </w:p>
        </w:tc>
        <w:tc>
          <w:tcPr>
            <w:tcW w:w="1361" w:type="dxa"/>
          </w:tcPr>
          <w:p>
            <w:pPr>
              <w:pStyle w:val="Compact"/>
              <w:spacing w:before="0" w:after="60" w:line="240" w:lineRule="auto"/>
              <w:jc w:val="center"/>
            </w:pPr>
            <w:r>
              <w:rPr>
                <w:sz w:val="18"/>
              </w:rPr>
              <w:t xml:space="preserve">76.03 ± 2.60</w:t>
            </w:r>
          </w:p>
        </w:tc>
        <w:tc>
          <w:tcPr>
            <w:tcW w:w="1361" w:type="dxa"/>
          </w:tcPr>
          <w:p>
            <w:pPr>
              <w:pStyle w:val="Compact"/>
              <w:spacing w:before="0" w:after="60" w:line="240" w:lineRule="auto"/>
              <w:jc w:val="center"/>
            </w:pPr>
            <w:r>
              <w:rPr>
                <w:sz w:val="18"/>
              </w:rPr>
              <w:t xml:space="preserve">70.53 ± 26.42</w:t>
            </w:r>
          </w:p>
        </w:tc>
        <w:tc>
          <w:tcPr>
            <w:tcW w:w="1361" w:type="dxa"/>
          </w:tcPr>
          <w:p>
            <w:pPr>
              <w:pStyle w:val="Compact"/>
              <w:spacing w:before="0" w:after="60" w:line="240" w:lineRule="auto"/>
              <w:jc w:val="center"/>
            </w:pPr>
            <w:r>
              <w:rPr>
                <w:sz w:val="18"/>
              </w:rPr>
              <w:t xml:space="preserve">34.72 ± 27.74</w:t>
            </w:r>
          </w:p>
        </w:tc>
      </w:tr>
      <w:tr>
        <w:trPr>
          <w:cantSplit/>
        </w:trPr>
        <w:tc>
          <w:tcPr>
            <w:tcW w:w="3175" w:type="dxa"/>
          </w:tcPr>
          <w:p>
            <w:pPr>
              <w:pStyle w:val="Compact"/>
              <w:spacing w:before="0" w:after="60" w:line="240" w:lineRule="auto"/>
              <w:jc w:val="left"/>
            </w:pPr>
            <w:r>
              <w:rPr>
                <w:sz w:val="18"/>
              </w:rPr>
              <w:t xml:space="preserve">HSI Transformer</w:t>
            </w:r>
          </w:p>
        </w:tc>
        <w:tc>
          <w:tcPr>
            <w:tcW w:w="1361" w:type="dxa"/>
          </w:tcPr>
          <w:p>
            <w:pPr>
              <w:pStyle w:val="Compact"/>
              <w:spacing w:before="0" w:after="60" w:line="240" w:lineRule="auto"/>
              <w:jc w:val="center"/>
            </w:pPr>
            <w:r>
              <w:rPr>
                <w:sz w:val="18"/>
              </w:rPr>
              <w:t xml:space="preserve">87.46 ± 3.46</w:t>
            </w:r>
          </w:p>
        </w:tc>
        <w:tc>
          <w:tcPr>
            <w:tcW w:w="1361" w:type="dxa"/>
          </w:tcPr>
          <w:p>
            <w:pPr>
              <w:pStyle w:val="Compact"/>
              <w:spacing w:before="0" w:after="60" w:line="240" w:lineRule="auto"/>
              <w:jc w:val="center"/>
            </w:pPr>
            <w:r>
              <w:rPr>
                <w:sz w:val="18"/>
              </w:rPr>
              <w:t xml:space="preserve">76.15 ± 6.46</w:t>
            </w:r>
          </w:p>
        </w:tc>
        <w:tc>
          <w:tcPr>
            <w:tcW w:w="1361" w:type="dxa"/>
          </w:tcPr>
          <w:p>
            <w:pPr>
              <w:pStyle w:val="Compact"/>
              <w:spacing w:before="0" w:after="60" w:line="240" w:lineRule="auto"/>
              <w:jc w:val="center"/>
            </w:pPr>
            <w:r>
              <w:rPr>
                <w:sz w:val="18"/>
              </w:rPr>
              <w:t xml:space="preserve">0.850 ± 0.081</w:t>
            </w:r>
          </w:p>
        </w:tc>
        <w:tc>
          <w:tcPr>
            <w:tcW w:w="1361" w:type="dxa"/>
          </w:tcPr>
          <w:p>
            <w:pPr>
              <w:pStyle w:val="Compact"/>
              <w:spacing w:before="0" w:after="60" w:line="240" w:lineRule="auto"/>
              <w:jc w:val="center"/>
            </w:pPr>
            <w:r>
              <w:rPr>
                <w:sz w:val="18"/>
              </w:rPr>
              <w:t xml:space="preserve">0.922 ± 0.020</w:t>
            </w:r>
          </w:p>
        </w:tc>
        <w:tc>
          <w:tcPr>
            <w:tcW w:w="1361" w:type="dxa"/>
          </w:tcPr>
          <w:p>
            <w:pPr>
              <w:pStyle w:val="Compact"/>
              <w:spacing w:before="0" w:after="60" w:line="240" w:lineRule="auto"/>
              <w:jc w:val="center"/>
            </w:pPr>
            <w:r>
              <w:rPr>
                <w:sz w:val="18"/>
              </w:rPr>
              <w:t xml:space="preserve">85.91 ± 3.33</w:t>
            </w:r>
          </w:p>
        </w:tc>
        <w:tc>
          <w:tcPr>
            <w:tcW w:w="1361" w:type="dxa"/>
          </w:tcPr>
          <w:p>
            <w:pPr>
              <w:pStyle w:val="Compact"/>
              <w:spacing w:before="0" w:after="60" w:line="240" w:lineRule="auto"/>
              <w:jc w:val="center"/>
            </w:pPr>
            <w:r>
              <w:rPr>
                <w:sz w:val="18"/>
              </w:rPr>
              <w:t xml:space="preserve">99.52 ± 0.84</w:t>
            </w:r>
          </w:p>
        </w:tc>
        <w:tc>
          <w:tcPr>
            <w:tcW w:w="1361" w:type="dxa"/>
          </w:tcPr>
          <w:p>
            <w:pPr>
              <w:pStyle w:val="Compact"/>
              <w:spacing w:before="0" w:after="60" w:line="240" w:lineRule="auto"/>
              <w:jc w:val="center"/>
            </w:pPr>
            <w:r>
              <w:rPr>
                <w:sz w:val="18"/>
              </w:rPr>
              <w:t xml:space="preserve">52.78 ± 12.73</w:t>
            </w:r>
          </w:p>
        </w:tc>
      </w:tr>
      <w:tr>
        <w:trPr>
          <w:cantSplit/>
        </w:trPr>
        <w:tc>
          <w:tcPr>
            <w:tcW w:w="3175" w:type="dxa"/>
          </w:tcPr>
          <w:p>
            <w:pPr>
              <w:pStyle w:val="Compact"/>
              <w:spacing w:before="0" w:after="60" w:line="240" w:lineRule="auto"/>
              <w:jc w:val="left"/>
            </w:pPr>
            <w:r>
              <w:rPr>
                <w:sz w:val="18"/>
              </w:rPr>
              <w:t xml:space="preserve">Spectral 1D CNN</w:t>
            </w:r>
          </w:p>
        </w:tc>
        <w:tc>
          <w:tcPr>
            <w:tcW w:w="1361" w:type="dxa"/>
          </w:tcPr>
          <w:p>
            <w:pPr>
              <w:pStyle w:val="Compact"/>
              <w:spacing w:before="0" w:after="60" w:line="240" w:lineRule="auto"/>
              <w:jc w:val="center"/>
            </w:pPr>
            <w:r>
              <w:rPr>
                <w:sz w:val="18"/>
              </w:rPr>
              <w:t xml:space="preserve">69.89 ± 7.45</w:t>
            </w:r>
          </w:p>
        </w:tc>
        <w:tc>
          <w:tcPr>
            <w:tcW w:w="1361" w:type="dxa"/>
          </w:tcPr>
          <w:p>
            <w:pPr>
              <w:pStyle w:val="Compact"/>
              <w:spacing w:before="0" w:after="60" w:line="240" w:lineRule="auto"/>
              <w:jc w:val="center"/>
            </w:pPr>
            <w:r>
              <w:rPr>
                <w:sz w:val="18"/>
              </w:rPr>
              <w:t xml:space="preserve">54.80 ± 8.32</w:t>
            </w:r>
          </w:p>
        </w:tc>
        <w:tc>
          <w:tcPr>
            <w:tcW w:w="1361" w:type="dxa"/>
          </w:tcPr>
          <w:p>
            <w:pPr>
              <w:pStyle w:val="Compact"/>
              <w:spacing w:before="0" w:after="60" w:line="240" w:lineRule="auto"/>
              <w:jc w:val="center"/>
            </w:pPr>
            <w:r>
              <w:rPr>
                <w:sz w:val="18"/>
              </w:rPr>
              <w:t xml:space="preserve">0.654 ± 0.066</w:t>
            </w:r>
          </w:p>
        </w:tc>
        <w:tc>
          <w:tcPr>
            <w:tcW w:w="1361" w:type="dxa"/>
          </w:tcPr>
          <w:p>
            <w:pPr>
              <w:pStyle w:val="Compact"/>
              <w:spacing w:before="0" w:after="60" w:line="240" w:lineRule="auto"/>
              <w:jc w:val="center"/>
            </w:pPr>
            <w:r>
              <w:rPr>
                <w:sz w:val="18"/>
              </w:rPr>
              <w:t xml:space="preserve">0.798 ± 0.094</w:t>
            </w:r>
          </w:p>
        </w:tc>
        <w:tc>
          <w:tcPr>
            <w:tcW w:w="1361" w:type="dxa"/>
          </w:tcPr>
          <w:p>
            <w:pPr>
              <w:pStyle w:val="Compact"/>
              <w:spacing w:before="0" w:after="60" w:line="240" w:lineRule="auto"/>
              <w:jc w:val="center"/>
            </w:pPr>
            <w:r>
              <w:rPr>
                <w:sz w:val="18"/>
              </w:rPr>
              <w:t xml:space="preserve">77.83 ± 6.30</w:t>
            </w:r>
          </w:p>
        </w:tc>
        <w:tc>
          <w:tcPr>
            <w:tcW w:w="1361" w:type="dxa"/>
          </w:tcPr>
          <w:p>
            <w:pPr>
              <w:pStyle w:val="Compact"/>
              <w:spacing w:before="0" w:after="60" w:line="240" w:lineRule="auto"/>
              <w:jc w:val="center"/>
            </w:pPr>
            <w:r>
              <w:rPr>
                <w:sz w:val="18"/>
              </w:rPr>
              <w:t xml:space="preserve">85.99 ± 24.27</w:t>
            </w:r>
          </w:p>
        </w:tc>
        <w:tc>
          <w:tcPr>
            <w:tcW w:w="1361" w:type="dxa"/>
          </w:tcPr>
          <w:p>
            <w:pPr>
              <w:pStyle w:val="Compact"/>
              <w:spacing w:before="0" w:after="60" w:line="240" w:lineRule="auto"/>
              <w:jc w:val="center"/>
            </w:pPr>
            <w:r>
              <w:rPr>
                <w:sz w:val="18"/>
              </w:rPr>
              <w:t xml:space="preserve">23.61 ± 40.90</w:t>
            </w:r>
          </w:p>
        </w:tc>
      </w:tr>
      <w:tr>
        <w:trPr>
          <w:cantSplit/>
        </w:trPr>
        <w:tc>
          <w:tcPr>
            <w:tcW w:w="3175" w:type="dxa"/>
          </w:tcPr>
          <w:p>
            <w:pPr>
              <w:pStyle w:val="Compact"/>
              <w:spacing w:before="0" w:after="60" w:line="240" w:lineRule="auto"/>
              <w:jc w:val="left"/>
            </w:pPr>
            <w:r>
              <w:rPr>
                <w:sz w:val="18"/>
              </w:rPr>
              <w:t xml:space="preserve">Compact 3D CNN</w:t>
            </w:r>
          </w:p>
        </w:tc>
        <w:tc>
          <w:tcPr>
            <w:tcW w:w="1361" w:type="dxa"/>
          </w:tcPr>
          <w:p>
            <w:pPr>
              <w:pStyle w:val="Compact"/>
              <w:spacing w:before="0" w:after="60" w:line="240" w:lineRule="auto"/>
              <w:jc w:val="center"/>
            </w:pPr>
            <w:r>
              <w:rPr>
                <w:sz w:val="18"/>
              </w:rPr>
              <w:t xml:space="preserve">91.40 ± 2.15</w:t>
            </w:r>
          </w:p>
        </w:tc>
        <w:tc>
          <w:tcPr>
            <w:tcW w:w="1361" w:type="dxa"/>
          </w:tcPr>
          <w:p>
            <w:pPr>
              <w:pStyle w:val="Compact"/>
              <w:spacing w:before="0" w:after="60" w:line="240" w:lineRule="auto"/>
              <w:jc w:val="center"/>
            </w:pPr>
            <w:r>
              <w:rPr>
                <w:sz w:val="18"/>
              </w:rPr>
              <w:t xml:space="preserve">86.05 ± 3.68</w:t>
            </w:r>
          </w:p>
        </w:tc>
        <w:tc>
          <w:tcPr>
            <w:tcW w:w="1361" w:type="dxa"/>
          </w:tcPr>
          <w:p>
            <w:pPr>
              <w:pStyle w:val="Compact"/>
              <w:spacing w:before="0" w:after="60" w:line="240" w:lineRule="auto"/>
              <w:jc w:val="center"/>
            </w:pPr>
            <w:r>
              <w:rPr>
                <w:sz w:val="18"/>
              </w:rPr>
              <w:t xml:space="preserve">0.916 ± 0.012</w:t>
            </w:r>
          </w:p>
        </w:tc>
        <w:tc>
          <w:tcPr>
            <w:tcW w:w="1361" w:type="dxa"/>
          </w:tcPr>
          <w:p>
            <w:pPr>
              <w:pStyle w:val="Compact"/>
              <w:spacing w:before="0" w:after="60" w:line="240" w:lineRule="auto"/>
              <w:jc w:val="center"/>
            </w:pPr>
            <w:r>
              <w:rPr>
                <w:sz w:val="18"/>
              </w:rPr>
              <w:t xml:space="preserve">0.944 ± 0.014</w:t>
            </w:r>
          </w:p>
        </w:tc>
        <w:tc>
          <w:tcPr>
            <w:tcW w:w="1361" w:type="dxa"/>
          </w:tcPr>
          <w:p>
            <w:pPr>
              <w:pStyle w:val="Compact"/>
              <w:spacing w:before="0" w:after="60" w:line="240" w:lineRule="auto"/>
              <w:jc w:val="center"/>
            </w:pPr>
            <w:r>
              <w:rPr>
                <w:sz w:val="18"/>
              </w:rPr>
              <w:t xml:space="preserve">91.81 ± 2.15</w:t>
            </w:r>
          </w:p>
        </w:tc>
        <w:tc>
          <w:tcPr>
            <w:tcW w:w="1361" w:type="dxa"/>
          </w:tcPr>
          <w:p>
            <w:pPr>
              <w:pStyle w:val="Compact"/>
              <w:spacing w:before="0" w:after="60" w:line="240" w:lineRule="auto"/>
              <w:jc w:val="center"/>
            </w:pPr>
            <w:r>
              <w:rPr>
                <w:sz w:val="18"/>
              </w:rPr>
              <w:t xml:space="preserve">97.10 ± 1.45</w:t>
            </w:r>
          </w:p>
        </w:tc>
        <w:tc>
          <w:tcPr>
            <w:tcW w:w="1361" w:type="dxa"/>
          </w:tcPr>
          <w:p>
            <w:pPr>
              <w:pStyle w:val="Compact"/>
              <w:spacing w:before="0" w:after="60" w:line="240" w:lineRule="auto"/>
              <w:jc w:val="center"/>
            </w:pPr>
            <w:r>
              <w:rPr>
                <w:sz w:val="18"/>
              </w:rPr>
              <w:t xml:space="preserve">75.00 ± 7.22</w:t>
            </w:r>
          </w:p>
        </w:tc>
      </w:tr>
      <w:tr>
        <w:trPr>
          <w:cantSplit/>
        </w:trPr>
        <w:tc>
          <w:tcPr>
            <w:tcW w:w="3175" w:type="dxa"/>
          </w:tcPr>
          <w:p>
            <w:pPr>
              <w:pStyle w:val="Compact"/>
              <w:spacing w:before="0" w:after="60" w:line="240" w:lineRule="auto"/>
              <w:jc w:val="left"/>
            </w:pPr>
            <w:r>
              <w:rPr>
                <w:sz w:val="18"/>
              </w:rPr>
              <w:t xml:space="preserve">Simple multimodal</w:t>
            </w:r>
          </w:p>
        </w:tc>
        <w:tc>
          <w:tcPr>
            <w:tcW w:w="1361" w:type="dxa"/>
          </w:tcPr>
          <w:p>
            <w:pPr>
              <w:pStyle w:val="Compact"/>
              <w:spacing w:before="0" w:after="60" w:line="240" w:lineRule="auto"/>
              <w:jc w:val="center"/>
            </w:pPr>
            <w:r>
              <w:rPr>
                <w:sz w:val="18"/>
              </w:rPr>
              <w:t xml:space="preserve">66.67 ± 2.15</w:t>
            </w:r>
          </w:p>
        </w:tc>
        <w:tc>
          <w:tcPr>
            <w:tcW w:w="1361" w:type="dxa"/>
          </w:tcPr>
          <w:p>
            <w:pPr>
              <w:pStyle w:val="Compact"/>
              <w:spacing w:before="0" w:after="60" w:line="240" w:lineRule="auto"/>
              <w:jc w:val="center"/>
            </w:pPr>
            <w:r>
              <w:rPr>
                <w:sz w:val="18"/>
              </w:rPr>
              <w:t xml:space="preserve">56.70 ± 5.23</w:t>
            </w:r>
          </w:p>
        </w:tc>
        <w:tc>
          <w:tcPr>
            <w:tcW w:w="1361" w:type="dxa"/>
          </w:tcPr>
          <w:p>
            <w:pPr>
              <w:pStyle w:val="Compact"/>
              <w:spacing w:before="0" w:after="60" w:line="240" w:lineRule="auto"/>
              <w:jc w:val="center"/>
            </w:pPr>
            <w:r>
              <w:rPr>
                <w:sz w:val="18"/>
              </w:rPr>
              <w:t xml:space="preserve">0.554 ± 0.038</w:t>
            </w:r>
          </w:p>
        </w:tc>
        <w:tc>
          <w:tcPr>
            <w:tcW w:w="1361" w:type="dxa"/>
          </w:tcPr>
          <w:p>
            <w:pPr>
              <w:pStyle w:val="Compact"/>
              <w:spacing w:before="0" w:after="60" w:line="240" w:lineRule="auto"/>
              <w:jc w:val="center"/>
            </w:pPr>
            <w:r>
              <w:rPr>
                <w:sz w:val="18"/>
              </w:rPr>
              <w:t xml:space="preserve">0.775 ± 0.011</w:t>
            </w:r>
          </w:p>
        </w:tc>
        <w:tc>
          <w:tcPr>
            <w:tcW w:w="1361" w:type="dxa"/>
          </w:tcPr>
          <w:p>
            <w:pPr>
              <w:pStyle w:val="Compact"/>
              <w:spacing w:before="0" w:after="60" w:line="240" w:lineRule="auto"/>
              <w:jc w:val="center"/>
            </w:pPr>
            <w:r>
              <w:rPr>
                <w:sz w:val="18"/>
              </w:rPr>
              <w:t xml:space="preserve">77.78 ± 3.02</w:t>
            </w:r>
          </w:p>
        </w:tc>
        <w:tc>
          <w:tcPr>
            <w:tcW w:w="1361" w:type="dxa"/>
          </w:tcPr>
          <w:p>
            <w:pPr>
              <w:pStyle w:val="Compact"/>
              <w:spacing w:before="0" w:after="60" w:line="240" w:lineRule="auto"/>
              <w:jc w:val="center"/>
            </w:pPr>
            <w:r>
              <w:rPr>
                <w:sz w:val="18"/>
              </w:rPr>
              <w:t xml:space="preserve">77.29 ± 2.21</w:t>
            </w:r>
          </w:p>
        </w:tc>
        <w:tc>
          <w:tcPr>
            <w:tcW w:w="1361" w:type="dxa"/>
          </w:tcPr>
          <w:p>
            <w:pPr>
              <w:pStyle w:val="Compact"/>
              <w:spacing w:before="0" w:after="60" w:line="240" w:lineRule="auto"/>
              <w:jc w:val="center"/>
            </w:pPr>
            <w:r>
              <w:rPr>
                <w:sz w:val="18"/>
              </w:rPr>
              <w:t xml:space="preserve">36.11 ± 12.03</w:t>
            </w:r>
          </w:p>
        </w:tc>
      </w:tr>
      <w:tr>
        <w:trPr>
          <w:cantSplit/>
        </w:trPr>
        <w:tc>
          <w:tcPr>
            <w:tcW w:w="3175" w:type="dxa"/>
          </w:tcPr>
          <w:p>
            <w:pPr>
              <w:pStyle w:val="Compact"/>
              <w:spacing w:before="0" w:after="60" w:line="240" w:lineRule="auto"/>
              <w:jc w:val="left"/>
            </w:pPr>
            <w:r>
              <w:rPr>
                <w:sz w:val="18"/>
              </w:rPr>
              <w:t xml:space="preserve">CAF disabled</w:t>
            </w:r>
          </w:p>
        </w:tc>
        <w:tc>
          <w:tcPr>
            <w:tcW w:w="1361" w:type="dxa"/>
          </w:tcPr>
          <w:p>
            <w:pPr>
              <w:pStyle w:val="Compact"/>
              <w:spacing w:before="0" w:after="60" w:line="240" w:lineRule="auto"/>
              <w:jc w:val="center"/>
            </w:pPr>
            <w:r>
              <w:rPr>
                <w:sz w:val="18"/>
              </w:rPr>
              <w:t xml:space="preserve">73.84 ± 4.48</w:t>
            </w:r>
          </w:p>
        </w:tc>
        <w:tc>
          <w:tcPr>
            <w:tcW w:w="1361" w:type="dxa"/>
          </w:tcPr>
          <w:p>
            <w:pPr>
              <w:pStyle w:val="Compact"/>
              <w:spacing w:before="0" w:after="60" w:line="240" w:lineRule="auto"/>
              <w:jc w:val="center"/>
            </w:pPr>
            <w:r>
              <w:rPr>
                <w:sz w:val="18"/>
              </w:rPr>
              <w:t xml:space="preserve">63.35 ± 5.33</w:t>
            </w:r>
          </w:p>
        </w:tc>
        <w:tc>
          <w:tcPr>
            <w:tcW w:w="1361" w:type="dxa"/>
          </w:tcPr>
          <w:p>
            <w:pPr>
              <w:pStyle w:val="Compact"/>
              <w:spacing w:before="0" w:after="60" w:line="240" w:lineRule="auto"/>
              <w:jc w:val="center"/>
            </w:pPr>
            <w:r>
              <w:rPr>
                <w:sz w:val="18"/>
              </w:rPr>
              <w:t xml:space="preserve">0.696 ± 0.046</w:t>
            </w:r>
          </w:p>
        </w:tc>
        <w:tc>
          <w:tcPr>
            <w:tcW w:w="1361" w:type="dxa"/>
          </w:tcPr>
          <w:p>
            <w:pPr>
              <w:pStyle w:val="Compact"/>
              <w:spacing w:before="0" w:after="60" w:line="240" w:lineRule="auto"/>
              <w:jc w:val="center"/>
            </w:pPr>
            <w:r>
              <w:rPr>
                <w:sz w:val="18"/>
              </w:rPr>
              <w:t xml:space="preserve">0.828 ± 0.030</w:t>
            </w:r>
          </w:p>
        </w:tc>
        <w:tc>
          <w:tcPr>
            <w:tcW w:w="1361" w:type="dxa"/>
          </w:tcPr>
          <w:p>
            <w:pPr>
              <w:pStyle w:val="Compact"/>
              <w:spacing w:before="0" w:after="60" w:line="240" w:lineRule="auto"/>
              <w:jc w:val="center"/>
            </w:pPr>
            <w:r>
              <w:rPr>
                <w:sz w:val="18"/>
              </w:rPr>
              <w:t xml:space="preserve">80.72 ± 2.56</w:t>
            </w:r>
          </w:p>
        </w:tc>
        <w:tc>
          <w:tcPr>
            <w:tcW w:w="1361" w:type="dxa"/>
          </w:tcPr>
          <w:p>
            <w:pPr>
              <w:pStyle w:val="Compact"/>
              <w:spacing w:before="0" w:after="60" w:line="240" w:lineRule="auto"/>
              <w:jc w:val="center"/>
            </w:pPr>
            <w:r>
              <w:rPr>
                <w:sz w:val="18"/>
              </w:rPr>
              <w:t xml:space="preserve">85.02 ± 3.65</w:t>
            </w:r>
          </w:p>
        </w:tc>
        <w:tc>
          <w:tcPr>
            <w:tcW w:w="1361" w:type="dxa"/>
          </w:tcPr>
          <w:p>
            <w:pPr>
              <w:pStyle w:val="Compact"/>
              <w:spacing w:before="0" w:after="60" w:line="240" w:lineRule="auto"/>
              <w:jc w:val="center"/>
            </w:pPr>
            <w:r>
              <w:rPr>
                <w:sz w:val="18"/>
              </w:rPr>
              <w:t xml:space="preserve">41.67 ± 7.22</w:t>
            </w:r>
          </w:p>
        </w:tc>
      </w:tr>
      <w:tr>
        <w:trPr>
          <w:cantSplit/>
        </w:trPr>
        <w:tc>
          <w:tcPr>
            <w:tcW w:w="3175" w:type="dxa"/>
          </w:tcPr>
          <w:p>
            <w:pPr>
              <w:pStyle w:val="Compact"/>
              <w:spacing w:before="0" w:after="60" w:line="240" w:lineRule="auto"/>
              <w:jc w:val="left"/>
            </w:pPr>
            <w:r>
              <w:rPr>
                <w:sz w:val="18"/>
              </w:rPr>
              <w:t xml:space="preserve">Mean patch token (replaces wavelet token)</w:t>
            </w:r>
          </w:p>
        </w:tc>
        <w:tc>
          <w:tcPr>
            <w:tcW w:w="1361" w:type="dxa"/>
          </w:tcPr>
          <w:p>
            <w:pPr>
              <w:pStyle w:val="Compact"/>
              <w:spacing w:before="0" w:after="60" w:line="240" w:lineRule="auto"/>
              <w:jc w:val="center"/>
            </w:pPr>
            <w:r>
              <w:rPr>
                <w:sz w:val="18"/>
              </w:rPr>
              <w:t xml:space="preserve">66.31 ± 6.57</w:t>
            </w:r>
          </w:p>
        </w:tc>
        <w:tc>
          <w:tcPr>
            <w:tcW w:w="1361" w:type="dxa"/>
          </w:tcPr>
          <w:p>
            <w:pPr>
              <w:pStyle w:val="Compact"/>
              <w:spacing w:before="0" w:after="60" w:line="240" w:lineRule="auto"/>
              <w:jc w:val="center"/>
            </w:pPr>
            <w:r>
              <w:rPr>
                <w:sz w:val="18"/>
              </w:rPr>
              <w:t xml:space="preserve">57.82 ± 6.27</w:t>
            </w:r>
          </w:p>
        </w:tc>
        <w:tc>
          <w:tcPr>
            <w:tcW w:w="1361" w:type="dxa"/>
          </w:tcPr>
          <w:p>
            <w:pPr>
              <w:pStyle w:val="Compact"/>
              <w:spacing w:before="0" w:after="60" w:line="240" w:lineRule="auto"/>
              <w:jc w:val="center"/>
            </w:pPr>
            <w:r>
              <w:rPr>
                <w:sz w:val="18"/>
              </w:rPr>
              <w:t xml:space="preserve">0.627 ± 0.035</w:t>
            </w:r>
          </w:p>
        </w:tc>
        <w:tc>
          <w:tcPr>
            <w:tcW w:w="1361" w:type="dxa"/>
          </w:tcPr>
          <w:p>
            <w:pPr>
              <w:pStyle w:val="Compact"/>
              <w:spacing w:before="0" w:after="60" w:line="240" w:lineRule="auto"/>
              <w:jc w:val="center"/>
            </w:pPr>
            <w:r>
              <w:rPr>
                <w:sz w:val="18"/>
              </w:rPr>
              <w:t xml:space="preserve">0.764 ± 0.070</w:t>
            </w:r>
          </w:p>
        </w:tc>
        <w:tc>
          <w:tcPr>
            <w:tcW w:w="1361" w:type="dxa"/>
          </w:tcPr>
          <w:p>
            <w:pPr>
              <w:pStyle w:val="Compact"/>
              <w:spacing w:before="0" w:after="60" w:line="240" w:lineRule="auto"/>
              <w:jc w:val="center"/>
            </w:pPr>
            <w:r>
              <w:rPr>
                <w:sz w:val="18"/>
              </w:rPr>
              <w:t xml:space="preserve">78.75 ± 3.54</w:t>
            </w:r>
          </w:p>
        </w:tc>
        <w:tc>
          <w:tcPr>
            <w:tcW w:w="1361" w:type="dxa"/>
          </w:tcPr>
          <w:p>
            <w:pPr>
              <w:pStyle w:val="Compact"/>
              <w:spacing w:before="0" w:after="60" w:line="240" w:lineRule="auto"/>
              <w:jc w:val="center"/>
            </w:pPr>
            <w:r>
              <w:rPr>
                <w:sz w:val="18"/>
              </w:rPr>
              <w:t xml:space="preserve">75.36 ± 13.98</w:t>
            </w:r>
          </w:p>
        </w:tc>
        <w:tc>
          <w:tcPr>
            <w:tcW w:w="1361" w:type="dxa"/>
          </w:tcPr>
          <w:p>
            <w:pPr>
              <w:pStyle w:val="Compact"/>
              <w:spacing w:before="0" w:after="60" w:line="240" w:lineRule="auto"/>
              <w:jc w:val="center"/>
            </w:pPr>
            <w:r>
              <w:rPr>
                <w:sz w:val="18"/>
              </w:rPr>
              <w:t xml:space="preserve">40.28 ± 21.38</w:t>
            </w:r>
          </w:p>
        </w:tc>
      </w:tr>
      <w:tr>
        <w:trPr>
          <w:cantSplit/>
        </w:trPr>
        <w:tc>
          <w:tcPr>
            <w:tcW w:w="3175" w:type="dxa"/>
          </w:tcPr>
          <w:p>
            <w:pPr>
              <w:pStyle w:val="Compact"/>
              <w:spacing w:before="0" w:after="60" w:line="240" w:lineRule="auto"/>
              <w:jc w:val="left"/>
            </w:pPr>
            <w:r>
              <w:rPr>
                <w:sz w:val="18"/>
              </w:rPr>
              <w:t xml:space="preserve">Alternative 2D tokenisation</w:t>
            </w:r>
          </w:p>
        </w:tc>
        <w:tc>
          <w:tcPr>
            <w:tcW w:w="1361" w:type="dxa"/>
          </w:tcPr>
          <w:p>
            <w:pPr>
              <w:pStyle w:val="Compact"/>
              <w:spacing w:before="0" w:after="60" w:line="240" w:lineRule="auto"/>
              <w:jc w:val="center"/>
            </w:pPr>
            <w:r>
              <w:rPr>
                <w:sz w:val="18"/>
              </w:rPr>
              <w:t xml:space="preserve">70.97 ± 2.84</w:t>
            </w:r>
          </w:p>
        </w:tc>
        <w:tc>
          <w:tcPr>
            <w:tcW w:w="1361" w:type="dxa"/>
          </w:tcPr>
          <w:p>
            <w:pPr>
              <w:pStyle w:val="Compact"/>
              <w:spacing w:before="0" w:after="60" w:line="240" w:lineRule="auto"/>
              <w:jc w:val="center"/>
            </w:pPr>
            <w:r>
              <w:rPr>
                <w:sz w:val="18"/>
              </w:rPr>
              <w:t xml:space="preserve">58.70 ± 3.74</w:t>
            </w:r>
          </w:p>
        </w:tc>
        <w:tc>
          <w:tcPr>
            <w:tcW w:w="1361" w:type="dxa"/>
          </w:tcPr>
          <w:p>
            <w:pPr>
              <w:pStyle w:val="Compact"/>
              <w:spacing w:before="0" w:after="60" w:line="240" w:lineRule="auto"/>
              <w:jc w:val="center"/>
            </w:pPr>
            <w:r>
              <w:rPr>
                <w:sz w:val="18"/>
              </w:rPr>
              <w:t xml:space="preserve">0.711 ± 0.024</w:t>
            </w:r>
          </w:p>
        </w:tc>
        <w:tc>
          <w:tcPr>
            <w:tcW w:w="1361" w:type="dxa"/>
          </w:tcPr>
          <w:p>
            <w:pPr>
              <w:pStyle w:val="Compact"/>
              <w:spacing w:before="0" w:after="60" w:line="240" w:lineRule="auto"/>
              <w:jc w:val="center"/>
            </w:pPr>
            <w:r>
              <w:rPr>
                <w:sz w:val="18"/>
              </w:rPr>
              <w:t xml:space="preserve">0.810 ± 0.029</w:t>
            </w:r>
          </w:p>
        </w:tc>
        <w:tc>
          <w:tcPr>
            <w:tcW w:w="1361" w:type="dxa"/>
          </w:tcPr>
          <w:p>
            <w:pPr>
              <w:pStyle w:val="Compact"/>
              <w:spacing w:before="0" w:after="60" w:line="240" w:lineRule="auto"/>
              <w:jc w:val="center"/>
            </w:pPr>
            <w:r>
              <w:rPr>
                <w:sz w:val="18"/>
              </w:rPr>
              <w:t xml:space="preserve">78.53 ± 2.11</w:t>
            </w:r>
          </w:p>
        </w:tc>
        <w:tc>
          <w:tcPr>
            <w:tcW w:w="1361" w:type="dxa"/>
          </w:tcPr>
          <w:p>
            <w:pPr>
              <w:pStyle w:val="Compact"/>
              <w:spacing w:before="0" w:after="60" w:line="240" w:lineRule="auto"/>
              <w:jc w:val="center"/>
            </w:pPr>
            <w:r>
              <w:rPr>
                <w:sz w:val="18"/>
              </w:rPr>
              <w:t xml:space="preserve">84.06 ± 8.07</w:t>
            </w:r>
          </w:p>
        </w:tc>
        <w:tc>
          <w:tcPr>
            <w:tcW w:w="1361" w:type="dxa"/>
          </w:tcPr>
          <w:p>
            <w:pPr>
              <w:pStyle w:val="Compact"/>
              <w:spacing w:before="0" w:after="60" w:line="240" w:lineRule="auto"/>
              <w:jc w:val="center"/>
            </w:pPr>
            <w:r>
              <w:rPr>
                <w:sz w:val="18"/>
              </w:rPr>
              <w:t xml:space="preserve">33.33 ± 14.43</w:t>
            </w:r>
          </w:p>
        </w:tc>
      </w:tr>
      <w:tr>
        <w:trPr>
          <w:cantSplit/>
        </w:trPr>
        <w:tc>
          <w:tcPr>
            <w:tcW w:w="3175" w:type="dxa"/>
          </w:tcPr>
          <w:p>
            <w:pPr>
              <w:pStyle w:val="Compact"/>
              <w:spacing w:before="0" w:after="60" w:line="240" w:lineRule="auto"/>
              <w:jc w:val="left"/>
            </w:pPr>
            <w:r>
              <w:rPr>
                <w:sz w:val="18"/>
              </w:rPr>
              <w:t xml:space="preserve">Learnable CLS token</w:t>
            </w:r>
          </w:p>
        </w:tc>
        <w:tc>
          <w:tcPr>
            <w:tcW w:w="1361" w:type="dxa"/>
          </w:tcPr>
          <w:p>
            <w:pPr>
              <w:pStyle w:val="Compact"/>
              <w:spacing w:before="0" w:after="60" w:line="240" w:lineRule="auto"/>
              <w:jc w:val="center"/>
            </w:pPr>
            <w:r>
              <w:rPr>
                <w:sz w:val="18"/>
              </w:rPr>
              <w:t xml:space="preserve">70.97 ± 4.69</w:t>
            </w:r>
          </w:p>
        </w:tc>
        <w:tc>
          <w:tcPr>
            <w:tcW w:w="1361" w:type="dxa"/>
          </w:tcPr>
          <w:p>
            <w:pPr>
              <w:pStyle w:val="Compact"/>
              <w:spacing w:before="0" w:after="60" w:line="240" w:lineRule="auto"/>
              <w:jc w:val="center"/>
            </w:pPr>
            <w:r>
              <w:rPr>
                <w:sz w:val="18"/>
              </w:rPr>
              <w:t xml:space="preserve">57.79 ± 3.94</w:t>
            </w:r>
          </w:p>
        </w:tc>
        <w:tc>
          <w:tcPr>
            <w:tcW w:w="1361" w:type="dxa"/>
          </w:tcPr>
          <w:p>
            <w:pPr>
              <w:pStyle w:val="Compact"/>
              <w:spacing w:before="0" w:after="60" w:line="240" w:lineRule="auto"/>
              <w:jc w:val="center"/>
            </w:pPr>
            <w:r>
              <w:rPr>
                <w:sz w:val="18"/>
              </w:rPr>
              <w:t xml:space="preserve">0.606 ± 0.066</w:t>
            </w:r>
          </w:p>
        </w:tc>
        <w:tc>
          <w:tcPr>
            <w:tcW w:w="1361" w:type="dxa"/>
          </w:tcPr>
          <w:p>
            <w:pPr>
              <w:pStyle w:val="Compact"/>
              <w:spacing w:before="0" w:after="60" w:line="240" w:lineRule="auto"/>
              <w:jc w:val="center"/>
            </w:pPr>
            <w:r>
              <w:rPr>
                <w:sz w:val="18"/>
              </w:rPr>
              <w:t xml:space="preserve">0.811 ± 0.046</w:t>
            </w:r>
          </w:p>
        </w:tc>
        <w:tc>
          <w:tcPr>
            <w:tcW w:w="1361" w:type="dxa"/>
          </w:tcPr>
          <w:p>
            <w:pPr>
              <w:pStyle w:val="Compact"/>
              <w:spacing w:before="0" w:after="60" w:line="240" w:lineRule="auto"/>
              <w:jc w:val="center"/>
            </w:pPr>
            <w:r>
              <w:rPr>
                <w:sz w:val="18"/>
              </w:rPr>
              <w:t xml:space="preserve">78.06 ± 2.14</w:t>
            </w:r>
          </w:p>
        </w:tc>
        <w:tc>
          <w:tcPr>
            <w:tcW w:w="1361" w:type="dxa"/>
          </w:tcPr>
          <w:p>
            <w:pPr>
              <w:pStyle w:val="Compact"/>
              <w:spacing w:before="0" w:after="60" w:line="240" w:lineRule="auto"/>
              <w:jc w:val="center"/>
            </w:pPr>
            <w:r>
              <w:rPr>
                <w:sz w:val="18"/>
              </w:rPr>
              <w:t xml:space="preserve">85.02 ± 11.26</w:t>
            </w:r>
          </w:p>
        </w:tc>
        <w:tc>
          <w:tcPr>
            <w:tcW w:w="1361" w:type="dxa"/>
          </w:tcPr>
          <w:p>
            <w:pPr>
              <w:pStyle w:val="Compact"/>
              <w:spacing w:before="0" w:after="60" w:line="240" w:lineRule="auto"/>
              <w:jc w:val="center"/>
            </w:pPr>
            <w:r>
              <w:rPr>
                <w:sz w:val="18"/>
              </w:rPr>
              <w:t xml:space="preserve">30.56 ± 16.84</w:t>
            </w:r>
          </w:p>
        </w:tc>
      </w:tr>
    </w:tbl>
    <w:p/>
    <w:p>
      <w:pPr>
        <w:pStyle w:val="TableCaption"/>
      </w:pPr>
      <w:r>
        <w:rPr>
          <w:bCs/>
          <w:b/>
        </w:rPr>
        <w:t xml:space="preserve">Table S2.</w:t>
      </w:r>
      <w:r>
        <w:rPr/>
        <w:t xml:space="preserve"> </w:t>
      </w:r>
      <w:r>
        <w:rPr/>
        <w:t xml:space="preserve">All models at 4 dpi (mean ± SD across three seeds; five plant-disjoint folds each). Rankings are descriptive.</w:t>
      </w:r>
    </w:p>
    <w:tbl>
      <w:tblPr>
        <w:tblCaption w:val="Table S2. All models at 4 dpi (mean ± SD across three seeds; five plant-disjoint folds each). Rankings are descriptive."/>
        <w:tblW w:w="1270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3175"/>
        <w:gridCol w:w="1361"/>
        <w:gridCol w:w="1361"/>
        <w:gridCol w:w="1361"/>
        <w:gridCol w:w="1361"/>
        <w:gridCol w:w="1361"/>
        <w:gridCol w:w="1361"/>
        <w:gridCol w:w="1361"/>
      </w:tblGrid>
      <w:tr>
        <w:trPr>
          <w:tblHeader w:val="true"/>
          <w:cantSplit/>
          <w:tblHeader/>
        </w:trPr>
        <w:tc>
          <w:tcPr>
            <w:tcW w:w="3175" w:type="dxa"/>
            <w:tcBorders>
              <w:bottom w:val="single" w:sz="5" w:space="0" w:color="000000"/>
            </w:tcBorders>
            <w:vAlign w:val="center"/>
          </w:tcPr>
          <w:p>
            <w:pPr>
              <w:pStyle w:val="Compact"/>
              <w:spacing w:before="0" w:after="60" w:line="240" w:lineRule="auto"/>
              <w:jc w:val="left"/>
            </w:pPr>
            <w:r>
              <w:rPr>
                <w:b/>
                <w:sz w:val="18"/>
              </w:rPr>
              <w:t xml:space="preserve">Model</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F1</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Precision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Sensitivity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Specificity (%)</w:t>
            </w:r>
          </w:p>
        </w:tc>
      </w:tr>
      <w:tr>
        <w:trPr>
          <w:cantSplit/>
        </w:trPr>
        <w:tc>
          <w:tcPr>
            <w:tcW w:w="3175" w:type="dxa"/>
          </w:tcPr>
          <w:p>
            <w:pPr>
              <w:pStyle w:val="Compact"/>
              <w:spacing w:before="0" w:after="60" w:line="240" w:lineRule="auto"/>
              <w:jc w:val="left"/>
            </w:pPr>
            <w:r>
              <w:rPr>
                <w:sz w:val="18"/>
              </w:rPr>
              <w:t xml:space="preserve">PSNet</w:t>
            </w:r>
          </w:p>
        </w:tc>
        <w:tc>
          <w:tcPr>
            <w:tcW w:w="1361" w:type="dxa"/>
          </w:tcPr>
          <w:p>
            <w:pPr>
              <w:pStyle w:val="Compact"/>
              <w:spacing w:before="0" w:after="60" w:line="240" w:lineRule="auto"/>
              <w:jc w:val="center"/>
            </w:pPr>
            <w:r>
              <w:rPr>
                <w:sz w:val="18"/>
              </w:rPr>
              <w:t xml:space="preserve">88.54 ± 2.08</w:t>
            </w:r>
          </w:p>
        </w:tc>
        <w:tc>
          <w:tcPr>
            <w:tcW w:w="1361" w:type="dxa"/>
          </w:tcPr>
          <w:p>
            <w:pPr>
              <w:pStyle w:val="Compact"/>
              <w:spacing w:before="0" w:after="60" w:line="240" w:lineRule="auto"/>
              <w:jc w:val="center"/>
            </w:pPr>
            <w:r>
              <w:rPr>
                <w:sz w:val="18"/>
              </w:rPr>
              <w:t xml:space="preserve">83.56 ± 4.24</w:t>
            </w:r>
          </w:p>
        </w:tc>
        <w:tc>
          <w:tcPr>
            <w:tcW w:w="1361" w:type="dxa"/>
          </w:tcPr>
          <w:p>
            <w:pPr>
              <w:pStyle w:val="Compact"/>
              <w:spacing w:before="0" w:after="60" w:line="240" w:lineRule="auto"/>
              <w:jc w:val="center"/>
            </w:pPr>
            <w:r>
              <w:rPr>
                <w:sz w:val="18"/>
              </w:rPr>
              <w:t xml:space="preserve">0.939 ± 0.026</w:t>
            </w:r>
          </w:p>
        </w:tc>
        <w:tc>
          <w:tcPr>
            <w:tcW w:w="1361" w:type="dxa"/>
          </w:tcPr>
          <w:p>
            <w:pPr>
              <w:pStyle w:val="Compact"/>
              <w:spacing w:before="0" w:after="60" w:line="240" w:lineRule="auto"/>
              <w:jc w:val="center"/>
            </w:pPr>
            <w:r>
              <w:rPr>
                <w:sz w:val="18"/>
              </w:rPr>
              <w:t xml:space="preserve">0.925 ± 0.013</w:t>
            </w:r>
          </w:p>
        </w:tc>
        <w:tc>
          <w:tcPr>
            <w:tcW w:w="1361" w:type="dxa"/>
          </w:tcPr>
          <w:p>
            <w:pPr>
              <w:pStyle w:val="Compact"/>
              <w:spacing w:before="0" w:after="60" w:line="240" w:lineRule="auto"/>
              <w:jc w:val="center"/>
            </w:pPr>
            <w:r>
              <w:rPr>
                <w:sz w:val="18"/>
              </w:rPr>
              <w:t xml:space="preserve">91.46 ± 2.61</w:t>
            </w:r>
          </w:p>
        </w:tc>
        <w:tc>
          <w:tcPr>
            <w:tcW w:w="1361" w:type="dxa"/>
          </w:tcPr>
          <w:p>
            <w:pPr>
              <w:pStyle w:val="Compact"/>
              <w:spacing w:before="0" w:after="60" w:line="240" w:lineRule="auto"/>
              <w:jc w:val="center"/>
            </w:pPr>
            <w:r>
              <w:rPr>
                <w:sz w:val="18"/>
              </w:rPr>
              <w:t xml:space="preserve">93.52 ± 0.80</w:t>
            </w:r>
          </w:p>
        </w:tc>
        <w:tc>
          <w:tcPr>
            <w:tcW w:w="1361" w:type="dxa"/>
          </w:tcPr>
          <w:p>
            <w:pPr>
              <w:pStyle w:val="Compact"/>
              <w:spacing w:before="0" w:after="60" w:line="240" w:lineRule="auto"/>
              <w:jc w:val="center"/>
            </w:pPr>
            <w:r>
              <w:rPr>
                <w:sz w:val="18"/>
              </w:rPr>
              <w:t xml:space="preserve">73.61 ± 8.67</w:t>
            </w:r>
          </w:p>
        </w:tc>
      </w:tr>
      <w:tr>
        <w:trPr>
          <w:cantSplit/>
        </w:trPr>
        <w:tc>
          <w:tcPr>
            <w:tcW w:w="3175" w:type="dxa"/>
          </w:tcPr>
          <w:p>
            <w:pPr>
              <w:pStyle w:val="Compact"/>
              <w:spacing w:before="0" w:after="60" w:line="240" w:lineRule="auto"/>
              <w:jc w:val="left"/>
            </w:pPr>
            <w:r>
              <w:rPr>
                <w:sz w:val="18"/>
              </w:rPr>
              <w:t xml:space="preserve">Plain multimodal</w:t>
            </w:r>
          </w:p>
        </w:tc>
        <w:tc>
          <w:tcPr>
            <w:tcW w:w="1361" w:type="dxa"/>
          </w:tcPr>
          <w:p>
            <w:pPr>
              <w:pStyle w:val="Compact"/>
              <w:spacing w:before="0" w:after="60" w:line="240" w:lineRule="auto"/>
              <w:jc w:val="center"/>
            </w:pPr>
            <w:r>
              <w:rPr>
                <w:sz w:val="18"/>
              </w:rPr>
              <w:t xml:space="preserve">93.40 ± 1.59</w:t>
            </w:r>
          </w:p>
        </w:tc>
        <w:tc>
          <w:tcPr>
            <w:tcW w:w="1361" w:type="dxa"/>
          </w:tcPr>
          <w:p>
            <w:pPr>
              <w:pStyle w:val="Compact"/>
              <w:spacing w:before="0" w:after="60" w:line="240" w:lineRule="auto"/>
              <w:jc w:val="center"/>
            </w:pPr>
            <w:r>
              <w:rPr>
                <w:sz w:val="18"/>
              </w:rPr>
              <w:t xml:space="preserve">92.36 ± 3.18</w:t>
            </w:r>
          </w:p>
        </w:tc>
        <w:tc>
          <w:tcPr>
            <w:tcW w:w="1361" w:type="dxa"/>
          </w:tcPr>
          <w:p>
            <w:pPr>
              <w:pStyle w:val="Compact"/>
              <w:spacing w:before="0" w:after="60" w:line="240" w:lineRule="auto"/>
              <w:jc w:val="center"/>
            </w:pPr>
            <w:r>
              <w:rPr>
                <w:sz w:val="18"/>
              </w:rPr>
              <w:t xml:space="preserve">0.971 ± 0.013</w:t>
            </w:r>
          </w:p>
        </w:tc>
        <w:tc>
          <w:tcPr>
            <w:tcW w:w="1361" w:type="dxa"/>
          </w:tcPr>
          <w:p>
            <w:pPr>
              <w:pStyle w:val="Compact"/>
              <w:spacing w:before="0" w:after="60" w:line="240" w:lineRule="auto"/>
              <w:jc w:val="center"/>
            </w:pPr>
            <w:r>
              <w:rPr>
                <w:sz w:val="18"/>
              </w:rPr>
              <w:t xml:space="preserve">0.956 ± 0.010</w:t>
            </w:r>
          </w:p>
        </w:tc>
        <w:tc>
          <w:tcPr>
            <w:tcW w:w="1361" w:type="dxa"/>
          </w:tcPr>
          <w:p>
            <w:pPr>
              <w:pStyle w:val="Compact"/>
              <w:spacing w:before="0" w:after="60" w:line="240" w:lineRule="auto"/>
              <w:jc w:val="center"/>
            </w:pPr>
            <w:r>
              <w:rPr>
                <w:sz w:val="18"/>
              </w:rPr>
              <w:t xml:space="preserve">96.71 ± 2.09</w:t>
            </w:r>
          </w:p>
        </w:tc>
        <w:tc>
          <w:tcPr>
            <w:tcW w:w="1361" w:type="dxa"/>
          </w:tcPr>
          <w:p>
            <w:pPr>
              <w:pStyle w:val="Compact"/>
              <w:spacing w:before="0" w:after="60" w:line="240" w:lineRule="auto"/>
              <w:jc w:val="center"/>
            </w:pPr>
            <w:r>
              <w:rPr>
                <w:sz w:val="18"/>
              </w:rPr>
              <w:t xml:space="preserve">94.44 ± 0.00</w:t>
            </w:r>
          </w:p>
        </w:tc>
        <w:tc>
          <w:tcPr>
            <w:tcW w:w="1361" w:type="dxa"/>
          </w:tcPr>
          <w:p>
            <w:pPr>
              <w:pStyle w:val="Compact"/>
              <w:spacing w:before="0" w:after="60" w:line="240" w:lineRule="auto"/>
              <w:jc w:val="center"/>
            </w:pPr>
            <w:r>
              <w:rPr>
                <w:sz w:val="18"/>
              </w:rPr>
              <w:t xml:space="preserve">90.28 ± 6.36</w:t>
            </w:r>
          </w:p>
        </w:tc>
      </w:tr>
      <w:tr>
        <w:trPr>
          <w:cantSplit/>
        </w:trPr>
        <w:tc>
          <w:tcPr>
            <w:tcW w:w="3175" w:type="dxa"/>
          </w:tcPr>
          <w:p>
            <w:pPr>
              <w:pStyle w:val="Compact"/>
              <w:spacing w:before="0" w:after="60" w:line="240" w:lineRule="auto"/>
              <w:jc w:val="left"/>
            </w:pPr>
            <w:r>
              <w:rPr>
                <w:sz w:val="18"/>
              </w:rPr>
              <w:t xml:space="preserve">RGB ResNet18</w:t>
            </w:r>
          </w:p>
        </w:tc>
        <w:tc>
          <w:tcPr>
            <w:tcW w:w="1361" w:type="dxa"/>
          </w:tcPr>
          <w:p>
            <w:pPr>
              <w:pStyle w:val="Compact"/>
              <w:spacing w:before="0" w:after="60" w:line="240" w:lineRule="auto"/>
              <w:jc w:val="center"/>
            </w:pPr>
            <w:r>
              <w:rPr>
                <w:sz w:val="18"/>
              </w:rPr>
              <w:t xml:space="preserve">93.06 ± 3.94</w:t>
            </w:r>
          </w:p>
        </w:tc>
        <w:tc>
          <w:tcPr>
            <w:tcW w:w="1361" w:type="dxa"/>
          </w:tcPr>
          <w:p>
            <w:pPr>
              <w:pStyle w:val="Compact"/>
              <w:spacing w:before="0" w:after="60" w:line="240" w:lineRule="auto"/>
              <w:jc w:val="center"/>
            </w:pPr>
            <w:r>
              <w:rPr>
                <w:sz w:val="18"/>
              </w:rPr>
              <w:t xml:space="preserve">90.28 ± 5.42</w:t>
            </w:r>
          </w:p>
        </w:tc>
        <w:tc>
          <w:tcPr>
            <w:tcW w:w="1361" w:type="dxa"/>
          </w:tcPr>
          <w:p>
            <w:pPr>
              <w:pStyle w:val="Compact"/>
              <w:spacing w:before="0" w:after="60" w:line="240" w:lineRule="auto"/>
              <w:jc w:val="center"/>
            </w:pPr>
            <w:r>
              <w:rPr>
                <w:sz w:val="18"/>
              </w:rPr>
              <w:t xml:space="preserve">0.972 ± 0.022</w:t>
            </w:r>
          </w:p>
        </w:tc>
        <w:tc>
          <w:tcPr>
            <w:tcW w:w="1361" w:type="dxa"/>
          </w:tcPr>
          <w:p>
            <w:pPr>
              <w:pStyle w:val="Compact"/>
              <w:spacing w:before="0" w:after="60" w:line="240" w:lineRule="auto"/>
              <w:jc w:val="center"/>
            </w:pPr>
            <w:r>
              <w:rPr>
                <w:sz w:val="18"/>
              </w:rPr>
              <w:t xml:space="preserve">0.954 ± 0.026</w:t>
            </w:r>
          </w:p>
        </w:tc>
        <w:tc>
          <w:tcPr>
            <w:tcW w:w="1361" w:type="dxa"/>
          </w:tcPr>
          <w:p>
            <w:pPr>
              <w:pStyle w:val="Compact"/>
              <w:spacing w:before="0" w:after="60" w:line="240" w:lineRule="auto"/>
              <w:jc w:val="center"/>
            </w:pPr>
            <w:r>
              <w:rPr>
                <w:sz w:val="18"/>
              </w:rPr>
              <w:t xml:space="preserve">94.97 ± 2.83</w:t>
            </w:r>
          </w:p>
        </w:tc>
        <w:tc>
          <w:tcPr>
            <w:tcW w:w="1361" w:type="dxa"/>
          </w:tcPr>
          <w:p>
            <w:pPr>
              <w:pStyle w:val="Compact"/>
              <w:spacing w:before="0" w:after="60" w:line="240" w:lineRule="auto"/>
              <w:jc w:val="center"/>
            </w:pPr>
            <w:r>
              <w:rPr>
                <w:sz w:val="18"/>
              </w:rPr>
              <w:t xml:space="preserve">95.83 ± 2.78</w:t>
            </w:r>
          </w:p>
        </w:tc>
        <w:tc>
          <w:tcPr>
            <w:tcW w:w="1361" w:type="dxa"/>
          </w:tcPr>
          <w:p>
            <w:pPr>
              <w:pStyle w:val="Compact"/>
              <w:spacing w:before="0" w:after="60" w:line="240" w:lineRule="auto"/>
              <w:jc w:val="center"/>
            </w:pPr>
            <w:r>
              <w:rPr>
                <w:sz w:val="18"/>
              </w:rPr>
              <w:t xml:space="preserve">84.72 ± 8.67</w:t>
            </w:r>
          </w:p>
        </w:tc>
      </w:tr>
      <w:tr>
        <w:trPr>
          <w:cantSplit/>
        </w:trPr>
        <w:tc>
          <w:tcPr>
            <w:tcW w:w="3175" w:type="dxa"/>
          </w:tcPr>
          <w:p>
            <w:pPr>
              <w:pStyle w:val="Compact"/>
              <w:spacing w:before="0" w:after="60" w:line="240" w:lineRule="auto"/>
              <w:jc w:val="left"/>
            </w:pPr>
            <w:r>
              <w:rPr>
                <w:sz w:val="18"/>
              </w:rPr>
              <w:t xml:space="preserve">RGB ResNet34</w:t>
            </w:r>
          </w:p>
        </w:tc>
        <w:tc>
          <w:tcPr>
            <w:tcW w:w="1361" w:type="dxa"/>
          </w:tcPr>
          <w:p>
            <w:pPr>
              <w:pStyle w:val="Compact"/>
              <w:spacing w:before="0" w:after="60" w:line="240" w:lineRule="auto"/>
              <w:jc w:val="center"/>
            </w:pPr>
            <w:r>
              <w:rPr>
                <w:sz w:val="18"/>
              </w:rPr>
              <w:t xml:space="preserve">92.36 ± 1.59</w:t>
            </w:r>
          </w:p>
        </w:tc>
        <w:tc>
          <w:tcPr>
            <w:tcW w:w="1361" w:type="dxa"/>
          </w:tcPr>
          <w:p>
            <w:pPr>
              <w:pStyle w:val="Compact"/>
              <w:spacing w:before="0" w:after="60" w:line="240" w:lineRule="auto"/>
              <w:jc w:val="center"/>
            </w:pPr>
            <w:r>
              <w:rPr>
                <w:sz w:val="18"/>
              </w:rPr>
              <w:t xml:space="preserve">87.96 ± 3.43</w:t>
            </w:r>
          </w:p>
        </w:tc>
        <w:tc>
          <w:tcPr>
            <w:tcW w:w="1361" w:type="dxa"/>
          </w:tcPr>
          <w:p>
            <w:pPr>
              <w:pStyle w:val="Compact"/>
              <w:spacing w:before="0" w:after="60" w:line="240" w:lineRule="auto"/>
              <w:jc w:val="center"/>
            </w:pPr>
            <w:r>
              <w:rPr>
                <w:sz w:val="18"/>
              </w:rPr>
              <w:t xml:space="preserve">0.970 ± 0.011</w:t>
            </w:r>
          </w:p>
        </w:tc>
        <w:tc>
          <w:tcPr>
            <w:tcW w:w="1361" w:type="dxa"/>
          </w:tcPr>
          <w:p>
            <w:pPr>
              <w:pStyle w:val="Compact"/>
              <w:spacing w:before="0" w:after="60" w:line="240" w:lineRule="auto"/>
              <w:jc w:val="center"/>
            </w:pPr>
            <w:r>
              <w:rPr>
                <w:sz w:val="18"/>
              </w:rPr>
              <w:t xml:space="preserve">0.950 ± 0.010</w:t>
            </w:r>
          </w:p>
        </w:tc>
        <w:tc>
          <w:tcPr>
            <w:tcW w:w="1361" w:type="dxa"/>
          </w:tcPr>
          <w:p>
            <w:pPr>
              <w:pStyle w:val="Compact"/>
              <w:spacing w:before="0" w:after="60" w:line="240" w:lineRule="auto"/>
              <w:jc w:val="center"/>
            </w:pPr>
            <w:r>
              <w:rPr>
                <w:sz w:val="18"/>
              </w:rPr>
              <w:t xml:space="preserve">93.34 ± 2.11</w:t>
            </w:r>
          </w:p>
        </w:tc>
        <w:tc>
          <w:tcPr>
            <w:tcW w:w="1361" w:type="dxa"/>
          </w:tcPr>
          <w:p>
            <w:pPr>
              <w:pStyle w:val="Compact"/>
              <w:spacing w:before="0" w:after="60" w:line="240" w:lineRule="auto"/>
              <w:jc w:val="center"/>
            </w:pPr>
            <w:r>
              <w:rPr>
                <w:sz w:val="18"/>
              </w:rPr>
              <w:t xml:space="preserve">96.76 ± 0.80</w:t>
            </w:r>
          </w:p>
        </w:tc>
        <w:tc>
          <w:tcPr>
            <w:tcW w:w="1361" w:type="dxa"/>
          </w:tcPr>
          <w:p>
            <w:pPr>
              <w:pStyle w:val="Compact"/>
              <w:spacing w:before="0" w:after="60" w:line="240" w:lineRule="auto"/>
              <w:jc w:val="center"/>
            </w:pPr>
            <w:r>
              <w:rPr>
                <w:sz w:val="18"/>
              </w:rPr>
              <w:t xml:space="preserve">79.17 ± 7.22</w:t>
            </w:r>
          </w:p>
        </w:tc>
      </w:tr>
      <w:tr>
        <w:trPr>
          <w:cantSplit/>
        </w:trPr>
        <w:tc>
          <w:tcPr>
            <w:tcW w:w="3175" w:type="dxa"/>
          </w:tcPr>
          <w:p>
            <w:pPr>
              <w:pStyle w:val="Compact"/>
              <w:spacing w:before="0" w:after="60" w:line="240" w:lineRule="auto"/>
              <w:jc w:val="left"/>
            </w:pPr>
            <w:r>
              <w:rPr>
                <w:sz w:val="18"/>
              </w:rPr>
              <w:t xml:space="preserve">HSI Transformer</w:t>
            </w:r>
          </w:p>
        </w:tc>
        <w:tc>
          <w:tcPr>
            <w:tcW w:w="1361" w:type="dxa"/>
          </w:tcPr>
          <w:p>
            <w:pPr>
              <w:pStyle w:val="Compact"/>
              <w:spacing w:before="0" w:after="60" w:line="240" w:lineRule="auto"/>
              <w:jc w:val="center"/>
            </w:pPr>
            <w:r>
              <w:rPr>
                <w:sz w:val="18"/>
              </w:rPr>
              <w:t xml:space="preserve">77.08 ± 2.08</w:t>
            </w:r>
          </w:p>
        </w:tc>
        <w:tc>
          <w:tcPr>
            <w:tcW w:w="1361" w:type="dxa"/>
          </w:tcPr>
          <w:p>
            <w:pPr>
              <w:pStyle w:val="Compact"/>
              <w:spacing w:before="0" w:after="60" w:line="240" w:lineRule="auto"/>
              <w:jc w:val="center"/>
            </w:pPr>
            <w:r>
              <w:rPr>
                <w:sz w:val="18"/>
              </w:rPr>
              <w:t xml:space="preserve">58.80 ± 7.90</w:t>
            </w:r>
          </w:p>
        </w:tc>
        <w:tc>
          <w:tcPr>
            <w:tcW w:w="1361" w:type="dxa"/>
          </w:tcPr>
          <w:p>
            <w:pPr>
              <w:pStyle w:val="Compact"/>
              <w:spacing w:before="0" w:after="60" w:line="240" w:lineRule="auto"/>
              <w:jc w:val="center"/>
            </w:pPr>
            <w:r>
              <w:rPr>
                <w:sz w:val="18"/>
              </w:rPr>
              <w:t xml:space="preserve">0.637 ± 0.081</w:t>
            </w:r>
          </w:p>
        </w:tc>
        <w:tc>
          <w:tcPr>
            <w:tcW w:w="1361" w:type="dxa"/>
          </w:tcPr>
          <w:p>
            <w:pPr>
              <w:pStyle w:val="Compact"/>
              <w:spacing w:before="0" w:after="60" w:line="240" w:lineRule="auto"/>
              <w:jc w:val="center"/>
            </w:pPr>
            <w:r>
              <w:rPr>
                <w:sz w:val="18"/>
              </w:rPr>
              <w:t xml:space="preserve">0.862 ± 0.007</w:t>
            </w:r>
          </w:p>
        </w:tc>
        <w:tc>
          <w:tcPr>
            <w:tcW w:w="1361" w:type="dxa"/>
          </w:tcPr>
          <w:p>
            <w:pPr>
              <w:pStyle w:val="Compact"/>
              <w:spacing w:before="0" w:after="60" w:line="240" w:lineRule="auto"/>
              <w:jc w:val="center"/>
            </w:pPr>
            <w:r>
              <w:rPr>
                <w:sz w:val="18"/>
              </w:rPr>
              <w:t xml:space="preserve">78.82 ± 3.45</w:t>
            </w:r>
          </w:p>
        </w:tc>
        <w:tc>
          <w:tcPr>
            <w:tcW w:w="1361" w:type="dxa"/>
          </w:tcPr>
          <w:p>
            <w:pPr>
              <w:pStyle w:val="Compact"/>
              <w:spacing w:before="0" w:after="60" w:line="240" w:lineRule="auto"/>
              <w:jc w:val="center"/>
            </w:pPr>
            <w:r>
              <w:rPr>
                <w:sz w:val="18"/>
              </w:rPr>
              <w:t xml:space="preserve">95.37 ± 4.01</w:t>
            </w:r>
          </w:p>
        </w:tc>
        <w:tc>
          <w:tcPr>
            <w:tcW w:w="1361" w:type="dxa"/>
          </w:tcPr>
          <w:p>
            <w:pPr>
              <w:pStyle w:val="Compact"/>
              <w:spacing w:before="0" w:after="60" w:line="240" w:lineRule="auto"/>
              <w:jc w:val="center"/>
            </w:pPr>
            <w:r>
              <w:rPr>
                <w:sz w:val="18"/>
              </w:rPr>
              <w:t xml:space="preserve">22.22 ± 19.69</w:t>
            </w:r>
          </w:p>
        </w:tc>
      </w:tr>
      <w:tr>
        <w:trPr>
          <w:cantSplit/>
        </w:trPr>
        <w:tc>
          <w:tcPr>
            <w:tcW w:w="3175" w:type="dxa"/>
          </w:tcPr>
          <w:p>
            <w:pPr>
              <w:pStyle w:val="Compact"/>
              <w:spacing w:before="0" w:after="60" w:line="240" w:lineRule="auto"/>
              <w:jc w:val="left"/>
            </w:pPr>
            <w:r>
              <w:rPr>
                <w:sz w:val="18"/>
              </w:rPr>
              <w:t xml:space="preserve">Spectral 1D CNN</w:t>
            </w:r>
          </w:p>
        </w:tc>
        <w:tc>
          <w:tcPr>
            <w:tcW w:w="1361" w:type="dxa"/>
          </w:tcPr>
          <w:p>
            <w:pPr>
              <w:pStyle w:val="Compact"/>
              <w:spacing w:before="0" w:after="60" w:line="240" w:lineRule="auto"/>
              <w:jc w:val="center"/>
            </w:pPr>
            <w:r>
              <w:rPr>
                <w:sz w:val="18"/>
              </w:rPr>
              <w:t xml:space="preserve">61.11 ± 22.28</w:t>
            </w:r>
          </w:p>
        </w:tc>
        <w:tc>
          <w:tcPr>
            <w:tcW w:w="1361" w:type="dxa"/>
          </w:tcPr>
          <w:p>
            <w:pPr>
              <w:pStyle w:val="Compact"/>
              <w:spacing w:before="0" w:after="60" w:line="240" w:lineRule="auto"/>
              <w:jc w:val="center"/>
            </w:pPr>
            <w:r>
              <w:rPr>
                <w:sz w:val="18"/>
              </w:rPr>
              <w:t xml:space="preserve">50.00 ± 1.39</w:t>
            </w:r>
          </w:p>
        </w:tc>
        <w:tc>
          <w:tcPr>
            <w:tcW w:w="1361" w:type="dxa"/>
          </w:tcPr>
          <w:p>
            <w:pPr>
              <w:pStyle w:val="Compact"/>
              <w:spacing w:before="0" w:after="60" w:line="240" w:lineRule="auto"/>
              <w:jc w:val="center"/>
            </w:pPr>
            <w:r>
              <w:rPr>
                <w:sz w:val="18"/>
              </w:rPr>
              <w:t xml:space="preserve">0.585 ± 0.017</w:t>
            </w:r>
          </w:p>
        </w:tc>
        <w:tc>
          <w:tcPr>
            <w:tcW w:w="1361" w:type="dxa"/>
          </w:tcPr>
          <w:p>
            <w:pPr>
              <w:pStyle w:val="Compact"/>
              <w:spacing w:before="0" w:after="60" w:line="240" w:lineRule="auto"/>
              <w:jc w:val="center"/>
            </w:pPr>
            <w:r>
              <w:rPr>
                <w:sz w:val="18"/>
              </w:rPr>
              <w:t xml:space="preserve">0.679 ± 0.293</w:t>
            </w:r>
          </w:p>
        </w:tc>
        <w:tc>
          <w:tcPr>
            <w:tcW w:w="1361" w:type="dxa"/>
          </w:tcPr>
          <w:p>
            <w:pPr>
              <w:pStyle w:val="Compact"/>
              <w:spacing w:before="0" w:after="60" w:line="240" w:lineRule="auto"/>
              <w:jc w:val="center"/>
            </w:pPr>
            <w:r>
              <w:rPr>
                <w:sz w:val="18"/>
              </w:rPr>
              <w:t xml:space="preserve">74.43 ± 1.50</w:t>
            </w:r>
          </w:p>
        </w:tc>
        <w:tc>
          <w:tcPr>
            <w:tcW w:w="1361" w:type="dxa"/>
          </w:tcPr>
          <w:p>
            <w:pPr>
              <w:pStyle w:val="Compact"/>
              <w:spacing w:before="0" w:after="60" w:line="240" w:lineRule="auto"/>
              <w:jc w:val="center"/>
            </w:pPr>
            <w:r>
              <w:rPr>
                <w:sz w:val="18"/>
              </w:rPr>
              <w:t xml:space="preserve">72.22 ± 43.39</w:t>
            </w:r>
          </w:p>
        </w:tc>
        <w:tc>
          <w:tcPr>
            <w:tcW w:w="1361" w:type="dxa"/>
          </w:tcPr>
          <w:p>
            <w:pPr>
              <w:pStyle w:val="Compact"/>
              <w:spacing w:before="0" w:after="60" w:line="240" w:lineRule="auto"/>
              <w:jc w:val="center"/>
            </w:pPr>
            <w:r>
              <w:rPr>
                <w:sz w:val="18"/>
              </w:rPr>
              <w:t xml:space="preserve">27.78 ± 41.11</w:t>
            </w:r>
          </w:p>
        </w:tc>
      </w:tr>
      <w:tr>
        <w:trPr>
          <w:cantSplit/>
        </w:trPr>
        <w:tc>
          <w:tcPr>
            <w:tcW w:w="3175" w:type="dxa"/>
          </w:tcPr>
          <w:p>
            <w:pPr>
              <w:pStyle w:val="Compact"/>
              <w:spacing w:before="0" w:after="60" w:line="240" w:lineRule="auto"/>
              <w:jc w:val="left"/>
            </w:pPr>
            <w:r>
              <w:rPr>
                <w:sz w:val="18"/>
              </w:rPr>
              <w:t xml:space="preserve">Compact 3D CNN</w:t>
            </w:r>
          </w:p>
        </w:tc>
        <w:tc>
          <w:tcPr>
            <w:tcW w:w="1361" w:type="dxa"/>
          </w:tcPr>
          <w:p>
            <w:pPr>
              <w:pStyle w:val="Compact"/>
              <w:spacing w:before="0" w:after="60" w:line="240" w:lineRule="auto"/>
              <w:jc w:val="center"/>
            </w:pPr>
            <w:r>
              <w:rPr>
                <w:sz w:val="18"/>
              </w:rPr>
              <w:t xml:space="preserve">77.43 ± 1.59</w:t>
            </w:r>
          </w:p>
        </w:tc>
        <w:tc>
          <w:tcPr>
            <w:tcW w:w="1361" w:type="dxa"/>
          </w:tcPr>
          <w:p>
            <w:pPr>
              <w:pStyle w:val="Compact"/>
              <w:spacing w:before="0" w:after="60" w:line="240" w:lineRule="auto"/>
              <w:jc w:val="center"/>
            </w:pPr>
            <w:r>
              <w:rPr>
                <w:sz w:val="18"/>
              </w:rPr>
              <w:t xml:space="preserve">58.56 ± 1.06</w:t>
            </w:r>
          </w:p>
        </w:tc>
        <w:tc>
          <w:tcPr>
            <w:tcW w:w="1361" w:type="dxa"/>
          </w:tcPr>
          <w:p>
            <w:pPr>
              <w:pStyle w:val="Compact"/>
              <w:spacing w:before="0" w:after="60" w:line="240" w:lineRule="auto"/>
              <w:jc w:val="center"/>
            </w:pPr>
            <w:r>
              <w:rPr>
                <w:sz w:val="18"/>
              </w:rPr>
              <w:t xml:space="preserve">0.656 ± 0.014</w:t>
            </w:r>
          </w:p>
        </w:tc>
        <w:tc>
          <w:tcPr>
            <w:tcW w:w="1361" w:type="dxa"/>
          </w:tcPr>
          <w:p>
            <w:pPr>
              <w:pStyle w:val="Compact"/>
              <w:spacing w:before="0" w:after="60" w:line="240" w:lineRule="auto"/>
              <w:jc w:val="center"/>
            </w:pPr>
            <w:r>
              <w:rPr>
                <w:sz w:val="18"/>
              </w:rPr>
              <w:t xml:space="preserve">0.865 ± 0.012</w:t>
            </w:r>
          </w:p>
        </w:tc>
        <w:tc>
          <w:tcPr>
            <w:tcW w:w="1361" w:type="dxa"/>
          </w:tcPr>
          <w:p>
            <w:pPr>
              <w:pStyle w:val="Compact"/>
              <w:spacing w:before="0" w:after="60" w:line="240" w:lineRule="auto"/>
              <w:jc w:val="center"/>
            </w:pPr>
            <w:r>
              <w:rPr>
                <w:sz w:val="18"/>
              </w:rPr>
              <w:t xml:space="preserve">78.50 ± 0.50</w:t>
            </w:r>
          </w:p>
        </w:tc>
        <w:tc>
          <w:tcPr>
            <w:tcW w:w="1361" w:type="dxa"/>
          </w:tcPr>
          <w:p>
            <w:pPr>
              <w:pStyle w:val="Compact"/>
              <w:spacing w:before="0" w:after="60" w:line="240" w:lineRule="auto"/>
              <w:jc w:val="center"/>
            </w:pPr>
            <w:r>
              <w:rPr>
                <w:sz w:val="18"/>
              </w:rPr>
              <w:t xml:space="preserve">96.30 ± 3.21</w:t>
            </w:r>
          </w:p>
        </w:tc>
        <w:tc>
          <w:tcPr>
            <w:tcW w:w="1361" w:type="dxa"/>
          </w:tcPr>
          <w:p>
            <w:pPr>
              <w:pStyle w:val="Compact"/>
              <w:spacing w:before="0" w:after="60" w:line="240" w:lineRule="auto"/>
              <w:jc w:val="center"/>
            </w:pPr>
            <w:r>
              <w:rPr>
                <w:sz w:val="18"/>
              </w:rPr>
              <w:t xml:space="preserve">20.83 ± 4.17</w:t>
            </w:r>
          </w:p>
        </w:tc>
      </w:tr>
      <w:tr>
        <w:trPr>
          <w:cantSplit/>
        </w:trPr>
        <w:tc>
          <w:tcPr>
            <w:tcW w:w="3175" w:type="dxa"/>
          </w:tcPr>
          <w:p>
            <w:pPr>
              <w:pStyle w:val="Compact"/>
              <w:spacing w:before="0" w:after="60" w:line="240" w:lineRule="auto"/>
              <w:jc w:val="left"/>
            </w:pPr>
            <w:r>
              <w:rPr>
                <w:sz w:val="18"/>
              </w:rPr>
              <w:t xml:space="preserve">Simple multimodal</w:t>
            </w:r>
          </w:p>
        </w:tc>
        <w:tc>
          <w:tcPr>
            <w:tcW w:w="1361" w:type="dxa"/>
          </w:tcPr>
          <w:p>
            <w:pPr>
              <w:pStyle w:val="Compact"/>
              <w:spacing w:before="0" w:after="60" w:line="240" w:lineRule="auto"/>
              <w:jc w:val="center"/>
            </w:pPr>
            <w:r>
              <w:rPr>
                <w:sz w:val="18"/>
              </w:rPr>
              <w:t xml:space="preserve">89.93 ± 3.66</w:t>
            </w:r>
          </w:p>
        </w:tc>
        <w:tc>
          <w:tcPr>
            <w:tcW w:w="1361" w:type="dxa"/>
          </w:tcPr>
          <w:p>
            <w:pPr>
              <w:pStyle w:val="Compact"/>
              <w:spacing w:before="0" w:after="60" w:line="240" w:lineRule="auto"/>
              <w:jc w:val="center"/>
            </w:pPr>
            <w:r>
              <w:rPr>
                <w:sz w:val="18"/>
              </w:rPr>
              <w:t xml:space="preserve">88.66 ± 3.82</w:t>
            </w:r>
          </w:p>
        </w:tc>
        <w:tc>
          <w:tcPr>
            <w:tcW w:w="1361" w:type="dxa"/>
          </w:tcPr>
          <w:p>
            <w:pPr>
              <w:pStyle w:val="Compact"/>
              <w:spacing w:before="0" w:after="60" w:line="240" w:lineRule="auto"/>
              <w:jc w:val="center"/>
            </w:pPr>
            <w:r>
              <w:rPr>
                <w:sz w:val="18"/>
              </w:rPr>
              <w:t xml:space="preserve">0.966 ± 0.013</w:t>
            </w:r>
          </w:p>
        </w:tc>
        <w:tc>
          <w:tcPr>
            <w:tcW w:w="1361" w:type="dxa"/>
          </w:tcPr>
          <w:p>
            <w:pPr>
              <w:pStyle w:val="Compact"/>
              <w:spacing w:before="0" w:after="60" w:line="240" w:lineRule="auto"/>
              <w:jc w:val="center"/>
            </w:pPr>
            <w:r>
              <w:rPr>
                <w:sz w:val="18"/>
              </w:rPr>
              <w:t xml:space="preserve">0.931 ± 0.026</w:t>
            </w:r>
          </w:p>
        </w:tc>
        <w:tc>
          <w:tcPr>
            <w:tcW w:w="1361" w:type="dxa"/>
          </w:tcPr>
          <w:p>
            <w:pPr>
              <w:pStyle w:val="Compact"/>
              <w:spacing w:before="0" w:after="60" w:line="240" w:lineRule="auto"/>
              <w:jc w:val="center"/>
            </w:pPr>
            <w:r>
              <w:rPr>
                <w:sz w:val="18"/>
              </w:rPr>
              <w:t xml:space="preserve">95.19 ± 2.05</w:t>
            </w:r>
          </w:p>
        </w:tc>
        <w:tc>
          <w:tcPr>
            <w:tcW w:w="1361" w:type="dxa"/>
          </w:tcPr>
          <w:p>
            <w:pPr>
              <w:pStyle w:val="Compact"/>
              <w:spacing w:before="0" w:after="60" w:line="240" w:lineRule="auto"/>
              <w:jc w:val="center"/>
            </w:pPr>
            <w:r>
              <w:rPr>
                <w:sz w:val="18"/>
              </w:rPr>
              <w:t xml:space="preserve">91.20 ± 4.46</w:t>
            </w:r>
          </w:p>
        </w:tc>
        <w:tc>
          <w:tcPr>
            <w:tcW w:w="1361" w:type="dxa"/>
          </w:tcPr>
          <w:p>
            <w:pPr>
              <w:pStyle w:val="Compact"/>
              <w:spacing w:before="0" w:after="60" w:line="240" w:lineRule="auto"/>
              <w:jc w:val="center"/>
            </w:pPr>
            <w:r>
              <w:rPr>
                <w:sz w:val="18"/>
              </w:rPr>
              <w:t xml:space="preserve">86.11 ± 6.36</w:t>
            </w:r>
          </w:p>
        </w:tc>
      </w:tr>
      <w:tr>
        <w:trPr>
          <w:cantSplit/>
        </w:trPr>
        <w:tc>
          <w:tcPr>
            <w:tcW w:w="3175" w:type="dxa"/>
          </w:tcPr>
          <w:p>
            <w:pPr>
              <w:pStyle w:val="Compact"/>
              <w:spacing w:before="0" w:after="60" w:line="240" w:lineRule="auto"/>
              <w:jc w:val="left"/>
            </w:pPr>
            <w:r>
              <w:rPr>
                <w:sz w:val="18"/>
              </w:rPr>
              <w:t xml:space="preserve">CAF disabled</w:t>
            </w:r>
          </w:p>
        </w:tc>
        <w:tc>
          <w:tcPr>
            <w:tcW w:w="1361" w:type="dxa"/>
          </w:tcPr>
          <w:p>
            <w:pPr>
              <w:pStyle w:val="Compact"/>
              <w:spacing w:before="0" w:after="60" w:line="240" w:lineRule="auto"/>
              <w:jc w:val="center"/>
            </w:pPr>
            <w:r>
              <w:rPr>
                <w:sz w:val="18"/>
              </w:rPr>
              <w:t xml:space="preserve">86.81 ± 0.60</w:t>
            </w:r>
          </w:p>
        </w:tc>
        <w:tc>
          <w:tcPr>
            <w:tcW w:w="1361" w:type="dxa"/>
          </w:tcPr>
          <w:p>
            <w:pPr>
              <w:pStyle w:val="Compact"/>
              <w:spacing w:before="0" w:after="60" w:line="240" w:lineRule="auto"/>
              <w:jc w:val="center"/>
            </w:pPr>
            <w:r>
              <w:rPr>
                <w:sz w:val="18"/>
              </w:rPr>
              <w:t xml:space="preserve">85.65 ± 1.45</w:t>
            </w:r>
          </w:p>
        </w:tc>
        <w:tc>
          <w:tcPr>
            <w:tcW w:w="1361" w:type="dxa"/>
          </w:tcPr>
          <w:p>
            <w:pPr>
              <w:pStyle w:val="Compact"/>
              <w:spacing w:before="0" w:after="60" w:line="240" w:lineRule="auto"/>
              <w:jc w:val="center"/>
            </w:pPr>
            <w:r>
              <w:rPr>
                <w:sz w:val="18"/>
              </w:rPr>
              <w:t xml:space="preserve">0.930 ± 0.034</w:t>
            </w:r>
          </w:p>
        </w:tc>
        <w:tc>
          <w:tcPr>
            <w:tcW w:w="1361" w:type="dxa"/>
          </w:tcPr>
          <w:p>
            <w:pPr>
              <w:pStyle w:val="Compact"/>
              <w:spacing w:before="0" w:after="60" w:line="240" w:lineRule="auto"/>
              <w:jc w:val="center"/>
            </w:pPr>
            <w:r>
              <w:rPr>
                <w:sz w:val="18"/>
              </w:rPr>
              <w:t xml:space="preserve">0.909 ± 0.005</w:t>
            </w:r>
          </w:p>
        </w:tc>
        <w:tc>
          <w:tcPr>
            <w:tcW w:w="1361" w:type="dxa"/>
          </w:tcPr>
          <w:p>
            <w:pPr>
              <w:pStyle w:val="Compact"/>
              <w:spacing w:before="0" w:after="60" w:line="240" w:lineRule="auto"/>
              <w:jc w:val="center"/>
            </w:pPr>
            <w:r>
              <w:rPr>
                <w:sz w:val="18"/>
              </w:rPr>
              <w:t xml:space="preserve">94.09 ± 1.32</w:t>
            </w:r>
          </w:p>
        </w:tc>
        <w:tc>
          <w:tcPr>
            <w:tcW w:w="1361" w:type="dxa"/>
          </w:tcPr>
          <w:p>
            <w:pPr>
              <w:pStyle w:val="Compact"/>
              <w:spacing w:before="0" w:after="60" w:line="240" w:lineRule="auto"/>
              <w:jc w:val="center"/>
            </w:pPr>
            <w:r>
              <w:rPr>
                <w:sz w:val="18"/>
              </w:rPr>
              <w:t xml:space="preserve">87.96 ± 1.60</w:t>
            </w:r>
          </w:p>
        </w:tc>
        <w:tc>
          <w:tcPr>
            <w:tcW w:w="1361" w:type="dxa"/>
          </w:tcPr>
          <w:p>
            <w:pPr>
              <w:pStyle w:val="Compact"/>
              <w:spacing w:before="0" w:after="60" w:line="240" w:lineRule="auto"/>
              <w:jc w:val="center"/>
            </w:pPr>
            <w:r>
              <w:rPr>
                <w:sz w:val="18"/>
              </w:rPr>
              <w:t xml:space="preserve">83.33 ± 4.17</w:t>
            </w:r>
          </w:p>
        </w:tc>
      </w:tr>
      <w:tr>
        <w:trPr>
          <w:cantSplit/>
        </w:trPr>
        <w:tc>
          <w:tcPr>
            <w:tcW w:w="3175" w:type="dxa"/>
          </w:tcPr>
          <w:p>
            <w:pPr>
              <w:pStyle w:val="Compact"/>
              <w:spacing w:before="0" w:after="60" w:line="240" w:lineRule="auto"/>
              <w:jc w:val="left"/>
            </w:pPr>
            <w:r>
              <w:rPr>
                <w:sz w:val="18"/>
              </w:rPr>
              <w:t xml:space="preserve">Mean patch token (replaces wavelet token)</w:t>
            </w:r>
          </w:p>
        </w:tc>
        <w:tc>
          <w:tcPr>
            <w:tcW w:w="1361" w:type="dxa"/>
          </w:tcPr>
          <w:p>
            <w:pPr>
              <w:pStyle w:val="Compact"/>
              <w:spacing w:before="0" w:after="60" w:line="240" w:lineRule="auto"/>
              <w:jc w:val="center"/>
            </w:pPr>
            <w:r>
              <w:rPr>
                <w:sz w:val="18"/>
              </w:rPr>
              <w:t xml:space="preserve">88.54 ± 2.08</w:t>
            </w:r>
          </w:p>
        </w:tc>
        <w:tc>
          <w:tcPr>
            <w:tcW w:w="1361" w:type="dxa"/>
          </w:tcPr>
          <w:p>
            <w:pPr>
              <w:pStyle w:val="Compact"/>
              <w:spacing w:before="0" w:after="60" w:line="240" w:lineRule="auto"/>
              <w:jc w:val="center"/>
            </w:pPr>
            <w:r>
              <w:rPr>
                <w:sz w:val="18"/>
              </w:rPr>
              <w:t xml:space="preserve">88.66 ± 3.21</w:t>
            </w:r>
          </w:p>
        </w:tc>
        <w:tc>
          <w:tcPr>
            <w:tcW w:w="1361" w:type="dxa"/>
          </w:tcPr>
          <w:p>
            <w:pPr>
              <w:pStyle w:val="Compact"/>
              <w:spacing w:before="0" w:after="60" w:line="240" w:lineRule="auto"/>
              <w:jc w:val="center"/>
            </w:pPr>
            <w:r>
              <w:rPr>
                <w:sz w:val="18"/>
              </w:rPr>
              <w:t xml:space="preserve">0.957 ± 0.021</w:t>
            </w:r>
          </w:p>
        </w:tc>
        <w:tc>
          <w:tcPr>
            <w:tcW w:w="1361" w:type="dxa"/>
          </w:tcPr>
          <w:p>
            <w:pPr>
              <w:pStyle w:val="Compact"/>
              <w:spacing w:before="0" w:after="60" w:line="240" w:lineRule="auto"/>
              <w:jc w:val="center"/>
            </w:pPr>
            <w:r>
              <w:rPr>
                <w:sz w:val="18"/>
              </w:rPr>
              <w:t xml:space="preserve">0.920 ± 0.015</w:t>
            </w:r>
          </w:p>
        </w:tc>
        <w:tc>
          <w:tcPr>
            <w:tcW w:w="1361" w:type="dxa"/>
          </w:tcPr>
          <w:p>
            <w:pPr>
              <w:pStyle w:val="Compact"/>
              <w:spacing w:before="0" w:after="60" w:line="240" w:lineRule="auto"/>
              <w:jc w:val="center"/>
            </w:pPr>
            <w:r>
              <w:rPr>
                <w:sz w:val="18"/>
              </w:rPr>
              <w:t xml:space="preserve">96.02 ± 2.20</w:t>
            </w:r>
          </w:p>
        </w:tc>
        <w:tc>
          <w:tcPr>
            <w:tcW w:w="1361" w:type="dxa"/>
          </w:tcPr>
          <w:p>
            <w:pPr>
              <w:pStyle w:val="Compact"/>
              <w:spacing w:before="0" w:after="60" w:line="240" w:lineRule="auto"/>
              <w:jc w:val="center"/>
            </w:pPr>
            <w:r>
              <w:rPr>
                <w:sz w:val="18"/>
              </w:rPr>
              <w:t xml:space="preserve">88.43 ± 2.12</w:t>
            </w:r>
          </w:p>
        </w:tc>
        <w:tc>
          <w:tcPr>
            <w:tcW w:w="1361" w:type="dxa"/>
          </w:tcPr>
          <w:p>
            <w:pPr>
              <w:pStyle w:val="Compact"/>
              <w:spacing w:before="0" w:after="60" w:line="240" w:lineRule="auto"/>
              <w:jc w:val="center"/>
            </w:pPr>
            <w:r>
              <w:rPr>
                <w:sz w:val="18"/>
              </w:rPr>
              <w:t xml:space="preserve">88.89 ± 6.36</w:t>
            </w:r>
          </w:p>
        </w:tc>
      </w:tr>
      <w:tr>
        <w:trPr>
          <w:cantSplit/>
        </w:trPr>
        <w:tc>
          <w:tcPr>
            <w:tcW w:w="3175" w:type="dxa"/>
          </w:tcPr>
          <w:p>
            <w:pPr>
              <w:pStyle w:val="Compact"/>
              <w:spacing w:before="0" w:after="60" w:line="240" w:lineRule="auto"/>
              <w:jc w:val="left"/>
            </w:pPr>
            <w:r>
              <w:rPr>
                <w:sz w:val="18"/>
              </w:rPr>
              <w:t xml:space="preserve">Alternative 2D tokenisation</w:t>
            </w:r>
          </w:p>
        </w:tc>
        <w:tc>
          <w:tcPr>
            <w:tcW w:w="1361" w:type="dxa"/>
          </w:tcPr>
          <w:p>
            <w:pPr>
              <w:pStyle w:val="Compact"/>
              <w:spacing w:before="0" w:after="60" w:line="240" w:lineRule="auto"/>
              <w:jc w:val="center"/>
            </w:pPr>
            <w:r>
              <w:rPr>
                <w:sz w:val="18"/>
              </w:rPr>
              <w:t xml:space="preserve">91.32 ± 2.62</w:t>
            </w:r>
          </w:p>
        </w:tc>
        <w:tc>
          <w:tcPr>
            <w:tcW w:w="1361" w:type="dxa"/>
          </w:tcPr>
          <w:p>
            <w:pPr>
              <w:pStyle w:val="Compact"/>
              <w:spacing w:before="0" w:after="60" w:line="240" w:lineRule="auto"/>
              <w:jc w:val="center"/>
            </w:pPr>
            <w:r>
              <w:rPr>
                <w:sz w:val="18"/>
              </w:rPr>
              <w:t xml:space="preserve">90.05 ± 3.56</w:t>
            </w:r>
          </w:p>
        </w:tc>
        <w:tc>
          <w:tcPr>
            <w:tcW w:w="1361" w:type="dxa"/>
          </w:tcPr>
          <w:p>
            <w:pPr>
              <w:pStyle w:val="Compact"/>
              <w:spacing w:before="0" w:after="60" w:line="240" w:lineRule="auto"/>
              <w:jc w:val="center"/>
            </w:pPr>
            <w:r>
              <w:rPr>
                <w:sz w:val="18"/>
              </w:rPr>
              <w:t xml:space="preserve">0.974 ± 0.012</w:t>
            </w:r>
          </w:p>
        </w:tc>
        <w:tc>
          <w:tcPr>
            <w:tcW w:w="1361" w:type="dxa"/>
          </w:tcPr>
          <w:p>
            <w:pPr>
              <w:pStyle w:val="Compact"/>
              <w:spacing w:before="0" w:after="60" w:line="240" w:lineRule="auto"/>
              <w:jc w:val="center"/>
            </w:pPr>
            <w:r>
              <w:rPr>
                <w:sz w:val="18"/>
              </w:rPr>
              <w:t xml:space="preserve">0.941 ± 0.020</w:t>
            </w:r>
          </w:p>
        </w:tc>
        <w:tc>
          <w:tcPr>
            <w:tcW w:w="1361" w:type="dxa"/>
          </w:tcPr>
          <w:p>
            <w:pPr>
              <w:pStyle w:val="Compact"/>
              <w:spacing w:before="0" w:after="60" w:line="240" w:lineRule="auto"/>
              <w:jc w:val="center"/>
            </w:pPr>
            <w:r>
              <w:rPr>
                <w:sz w:val="18"/>
              </w:rPr>
              <w:t xml:space="preserve">95.89 ± 3.34</w:t>
            </w:r>
          </w:p>
        </w:tc>
        <w:tc>
          <w:tcPr>
            <w:tcW w:w="1361" w:type="dxa"/>
          </w:tcPr>
          <w:p>
            <w:pPr>
              <w:pStyle w:val="Compact"/>
              <w:spacing w:before="0" w:after="60" w:line="240" w:lineRule="auto"/>
              <w:jc w:val="center"/>
            </w:pPr>
            <w:r>
              <w:rPr>
                <w:sz w:val="18"/>
              </w:rPr>
              <w:t xml:space="preserve">92.59 ± 5.78</w:t>
            </w:r>
          </w:p>
        </w:tc>
        <w:tc>
          <w:tcPr>
            <w:tcW w:w="1361" w:type="dxa"/>
          </w:tcPr>
          <w:p>
            <w:pPr>
              <w:pStyle w:val="Compact"/>
              <w:spacing w:before="0" w:after="60" w:line="240" w:lineRule="auto"/>
              <w:jc w:val="center"/>
            </w:pPr>
            <w:r>
              <w:rPr>
                <w:sz w:val="18"/>
              </w:rPr>
              <w:t xml:space="preserve">87.50 ± 11.02</w:t>
            </w:r>
          </w:p>
        </w:tc>
      </w:tr>
      <w:tr>
        <w:trPr>
          <w:cantSplit/>
        </w:trPr>
        <w:tc>
          <w:tcPr>
            <w:tcW w:w="3175" w:type="dxa"/>
          </w:tcPr>
          <w:p>
            <w:pPr>
              <w:pStyle w:val="Compact"/>
              <w:spacing w:before="0" w:after="60" w:line="240" w:lineRule="auto"/>
              <w:jc w:val="left"/>
            </w:pPr>
            <w:r>
              <w:rPr>
                <w:sz w:val="18"/>
              </w:rPr>
              <w:t xml:space="preserve">Learnable CLS token</w:t>
            </w:r>
          </w:p>
        </w:tc>
        <w:tc>
          <w:tcPr>
            <w:tcW w:w="1361" w:type="dxa"/>
          </w:tcPr>
          <w:p>
            <w:pPr>
              <w:pStyle w:val="Compact"/>
              <w:spacing w:before="0" w:after="60" w:line="240" w:lineRule="auto"/>
              <w:jc w:val="center"/>
            </w:pPr>
            <w:r>
              <w:rPr>
                <w:sz w:val="18"/>
              </w:rPr>
              <w:t xml:space="preserve">89.93 ± 4.81</w:t>
            </w:r>
          </w:p>
        </w:tc>
        <w:tc>
          <w:tcPr>
            <w:tcW w:w="1361" w:type="dxa"/>
          </w:tcPr>
          <w:p>
            <w:pPr>
              <w:pStyle w:val="Compact"/>
              <w:spacing w:before="0" w:after="60" w:line="240" w:lineRule="auto"/>
              <w:jc w:val="center"/>
            </w:pPr>
            <w:r>
              <w:rPr>
                <w:sz w:val="18"/>
              </w:rPr>
              <w:t xml:space="preserve">88.19 ± 6.36</w:t>
            </w:r>
          </w:p>
        </w:tc>
        <w:tc>
          <w:tcPr>
            <w:tcW w:w="1361" w:type="dxa"/>
          </w:tcPr>
          <w:p>
            <w:pPr>
              <w:pStyle w:val="Compact"/>
              <w:spacing w:before="0" w:after="60" w:line="240" w:lineRule="auto"/>
              <w:jc w:val="center"/>
            </w:pPr>
            <w:r>
              <w:rPr>
                <w:sz w:val="18"/>
              </w:rPr>
              <w:t xml:space="preserve">0.965 ± 0.022</w:t>
            </w:r>
          </w:p>
        </w:tc>
        <w:tc>
          <w:tcPr>
            <w:tcW w:w="1361" w:type="dxa"/>
          </w:tcPr>
          <w:p>
            <w:pPr>
              <w:pStyle w:val="Compact"/>
              <w:spacing w:before="0" w:after="60" w:line="240" w:lineRule="auto"/>
              <w:jc w:val="center"/>
            </w:pPr>
            <w:r>
              <w:rPr>
                <w:sz w:val="18"/>
              </w:rPr>
              <w:t xml:space="preserve">0.932 ± 0.033</w:t>
            </w:r>
          </w:p>
        </w:tc>
        <w:tc>
          <w:tcPr>
            <w:tcW w:w="1361" w:type="dxa"/>
          </w:tcPr>
          <w:p>
            <w:pPr>
              <w:pStyle w:val="Compact"/>
              <w:spacing w:before="0" w:after="60" w:line="240" w:lineRule="auto"/>
              <w:jc w:val="center"/>
            </w:pPr>
            <w:r>
              <w:rPr>
                <w:sz w:val="18"/>
              </w:rPr>
              <w:t xml:space="preserve">94.78 ± 3.61</w:t>
            </w:r>
          </w:p>
        </w:tc>
        <w:tc>
          <w:tcPr>
            <w:tcW w:w="1361" w:type="dxa"/>
          </w:tcPr>
          <w:p>
            <w:pPr>
              <w:pStyle w:val="Compact"/>
              <w:spacing w:before="0" w:after="60" w:line="240" w:lineRule="auto"/>
              <w:jc w:val="center"/>
            </w:pPr>
            <w:r>
              <w:rPr>
                <w:sz w:val="18"/>
              </w:rPr>
              <w:t xml:space="preserve">91.67 ± 4.17</w:t>
            </w:r>
          </w:p>
        </w:tc>
        <w:tc>
          <w:tcPr>
            <w:tcW w:w="1361" w:type="dxa"/>
          </w:tcPr>
          <w:p>
            <w:pPr>
              <w:pStyle w:val="Compact"/>
              <w:spacing w:before="0" w:after="60" w:line="240" w:lineRule="auto"/>
              <w:jc w:val="center"/>
            </w:pPr>
            <w:r>
              <w:rPr>
                <w:sz w:val="18"/>
              </w:rPr>
              <w:t xml:space="preserve">84.72 ± 10.49</w:t>
            </w:r>
          </w:p>
        </w:tc>
      </w:tr>
    </w:tbl>
    <w:p/>
    <w:p>
      <w:pPr>
        <w:pStyle w:val="TableCaption"/>
      </w:pPr>
      <w:r>
        <w:rPr>
          <w:bCs/>
          <w:b/>
        </w:rPr>
        <w:t xml:space="preserve">Table S3.</w:t>
      </w:r>
      <w:r>
        <w:rPr/>
        <w:t xml:space="preserve"> </w:t>
      </w:r>
      <w:r>
        <w:rPr/>
        <w:t xml:space="preserve">All models at 6 dpi (mean ± SD across three seeds; five plant-disjoint folds each). Rankings are descriptive.</w:t>
      </w:r>
    </w:p>
    <w:tbl>
      <w:tblPr>
        <w:tblCaption w:val="Table S3. All models at 6 dpi (mean ± SD across three seeds; five plant-disjoint folds each). Rankings are descriptive."/>
        <w:tblW w:w="1270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3175"/>
        <w:gridCol w:w="1361"/>
        <w:gridCol w:w="1361"/>
        <w:gridCol w:w="1361"/>
        <w:gridCol w:w="1361"/>
        <w:gridCol w:w="1361"/>
        <w:gridCol w:w="1361"/>
        <w:gridCol w:w="1361"/>
      </w:tblGrid>
      <w:tr>
        <w:trPr>
          <w:tblHeader w:val="true"/>
          <w:cantSplit/>
          <w:tblHeader/>
        </w:trPr>
        <w:tc>
          <w:tcPr>
            <w:tcW w:w="3175" w:type="dxa"/>
            <w:tcBorders>
              <w:bottom w:val="single" w:sz="5" w:space="0" w:color="000000"/>
            </w:tcBorders>
            <w:vAlign w:val="center"/>
          </w:tcPr>
          <w:p>
            <w:pPr>
              <w:pStyle w:val="Compact"/>
              <w:spacing w:before="0" w:after="60" w:line="240" w:lineRule="auto"/>
              <w:jc w:val="left"/>
            </w:pPr>
            <w:r>
              <w:rPr>
                <w:b/>
                <w:sz w:val="18"/>
              </w:rPr>
              <w:t xml:space="preserve">Model</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F1</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Precision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Sensitivity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Specificity (%)</w:t>
            </w:r>
          </w:p>
        </w:tc>
      </w:tr>
      <w:tr>
        <w:trPr>
          <w:cantSplit/>
        </w:trPr>
        <w:tc>
          <w:tcPr>
            <w:tcW w:w="3175" w:type="dxa"/>
          </w:tcPr>
          <w:p>
            <w:pPr>
              <w:pStyle w:val="Compact"/>
              <w:spacing w:before="0" w:after="60" w:line="240" w:lineRule="auto"/>
              <w:jc w:val="left"/>
            </w:pPr>
            <w:r>
              <w:rPr>
                <w:sz w:val="18"/>
              </w:rPr>
              <w:t xml:space="preserve">PSNet</w:t>
            </w:r>
          </w:p>
        </w:tc>
        <w:tc>
          <w:tcPr>
            <w:tcW w:w="1361" w:type="dxa"/>
          </w:tcPr>
          <w:p>
            <w:pPr>
              <w:pStyle w:val="Compact"/>
              <w:spacing w:before="0" w:after="60" w:line="240" w:lineRule="auto"/>
              <w:jc w:val="center"/>
            </w:pPr>
            <w:r>
              <w:rPr>
                <w:sz w:val="18"/>
              </w:rPr>
              <w:t xml:space="preserve">95.14 ± 1.20</w:t>
            </w:r>
          </w:p>
        </w:tc>
        <w:tc>
          <w:tcPr>
            <w:tcW w:w="1361" w:type="dxa"/>
          </w:tcPr>
          <w:p>
            <w:pPr>
              <w:pStyle w:val="Compact"/>
              <w:spacing w:before="0" w:after="60" w:line="240" w:lineRule="auto"/>
              <w:jc w:val="center"/>
            </w:pPr>
            <w:r>
              <w:rPr>
                <w:sz w:val="18"/>
              </w:rPr>
              <w:t xml:space="preserve">95.37 ± 0.80</w:t>
            </w:r>
          </w:p>
        </w:tc>
        <w:tc>
          <w:tcPr>
            <w:tcW w:w="1361" w:type="dxa"/>
          </w:tcPr>
          <w:p>
            <w:pPr>
              <w:pStyle w:val="Compact"/>
              <w:spacing w:before="0" w:after="60" w:line="240" w:lineRule="auto"/>
              <w:jc w:val="center"/>
            </w:pPr>
            <w:r>
              <w:rPr>
                <w:sz w:val="18"/>
              </w:rPr>
              <w:t xml:space="preserve">0.990 ± 0.006</w:t>
            </w:r>
          </w:p>
        </w:tc>
        <w:tc>
          <w:tcPr>
            <w:tcW w:w="1361" w:type="dxa"/>
          </w:tcPr>
          <w:p>
            <w:pPr>
              <w:pStyle w:val="Compact"/>
              <w:spacing w:before="0" w:after="60" w:line="240" w:lineRule="auto"/>
              <w:jc w:val="center"/>
            </w:pPr>
            <w:r>
              <w:rPr>
                <w:sz w:val="18"/>
              </w:rPr>
              <w:t xml:space="preserve">0.967 ± 0.009</w:t>
            </w:r>
          </w:p>
        </w:tc>
        <w:tc>
          <w:tcPr>
            <w:tcW w:w="1361" w:type="dxa"/>
          </w:tcPr>
          <w:p>
            <w:pPr>
              <w:pStyle w:val="Compact"/>
              <w:spacing w:before="0" w:after="60" w:line="240" w:lineRule="auto"/>
              <w:jc w:val="center"/>
            </w:pPr>
            <w:r>
              <w:rPr>
                <w:sz w:val="18"/>
              </w:rPr>
              <w:t xml:space="preserve">98.60 ± 1.39</w:t>
            </w:r>
          </w:p>
        </w:tc>
        <w:tc>
          <w:tcPr>
            <w:tcW w:w="1361" w:type="dxa"/>
          </w:tcPr>
          <w:p>
            <w:pPr>
              <w:pStyle w:val="Compact"/>
              <w:spacing w:before="0" w:after="60" w:line="240" w:lineRule="auto"/>
              <w:jc w:val="center"/>
            </w:pPr>
            <w:r>
              <w:rPr>
                <w:sz w:val="18"/>
              </w:rPr>
              <w:t xml:space="preserve">94.91 ± 2.89</w:t>
            </w:r>
          </w:p>
        </w:tc>
        <w:tc>
          <w:tcPr>
            <w:tcW w:w="1361" w:type="dxa"/>
          </w:tcPr>
          <w:p>
            <w:pPr>
              <w:pStyle w:val="Compact"/>
              <w:spacing w:before="0" w:after="60" w:line="240" w:lineRule="auto"/>
              <w:jc w:val="center"/>
            </w:pPr>
            <w:r>
              <w:rPr>
                <w:sz w:val="18"/>
              </w:rPr>
              <w:t xml:space="preserve">95.83 ± 4.17</w:t>
            </w:r>
          </w:p>
        </w:tc>
      </w:tr>
      <w:tr>
        <w:trPr>
          <w:cantSplit/>
        </w:trPr>
        <w:tc>
          <w:tcPr>
            <w:tcW w:w="3175" w:type="dxa"/>
          </w:tcPr>
          <w:p>
            <w:pPr>
              <w:pStyle w:val="Compact"/>
              <w:spacing w:before="0" w:after="60" w:line="240" w:lineRule="auto"/>
              <w:jc w:val="left"/>
            </w:pPr>
            <w:r>
              <w:rPr>
                <w:sz w:val="18"/>
              </w:rPr>
              <w:t xml:space="preserve">Plain multimodal</w:t>
            </w:r>
          </w:p>
        </w:tc>
        <w:tc>
          <w:tcPr>
            <w:tcW w:w="1361" w:type="dxa"/>
          </w:tcPr>
          <w:p>
            <w:pPr>
              <w:pStyle w:val="Compact"/>
              <w:spacing w:before="0" w:after="60" w:line="240" w:lineRule="auto"/>
              <w:jc w:val="center"/>
            </w:pPr>
            <w:r>
              <w:rPr>
                <w:sz w:val="18"/>
              </w:rPr>
              <w:t xml:space="preserve">94.10 ± 2.17</w:t>
            </w:r>
          </w:p>
        </w:tc>
        <w:tc>
          <w:tcPr>
            <w:tcW w:w="1361" w:type="dxa"/>
          </w:tcPr>
          <w:p>
            <w:pPr>
              <w:pStyle w:val="Compact"/>
              <w:spacing w:before="0" w:after="60" w:line="240" w:lineRule="auto"/>
              <w:jc w:val="center"/>
            </w:pPr>
            <w:r>
              <w:rPr>
                <w:sz w:val="18"/>
              </w:rPr>
              <w:t xml:space="preserve">93.75 ± 4.34</w:t>
            </w:r>
          </w:p>
        </w:tc>
        <w:tc>
          <w:tcPr>
            <w:tcW w:w="1361" w:type="dxa"/>
          </w:tcPr>
          <w:p>
            <w:pPr>
              <w:pStyle w:val="Compact"/>
              <w:spacing w:before="0" w:after="60" w:line="240" w:lineRule="auto"/>
              <w:jc w:val="center"/>
            </w:pPr>
            <w:r>
              <w:rPr>
                <w:sz w:val="18"/>
              </w:rPr>
              <w:t xml:space="preserve">0.984 ± 0.007</w:t>
            </w:r>
          </w:p>
        </w:tc>
        <w:tc>
          <w:tcPr>
            <w:tcW w:w="1361" w:type="dxa"/>
          </w:tcPr>
          <w:p>
            <w:pPr>
              <w:pStyle w:val="Compact"/>
              <w:spacing w:before="0" w:after="60" w:line="240" w:lineRule="auto"/>
              <w:jc w:val="center"/>
            </w:pPr>
            <w:r>
              <w:rPr>
                <w:sz w:val="18"/>
              </w:rPr>
              <w:t xml:space="preserve">0.960 ± 0.014</w:t>
            </w:r>
          </w:p>
        </w:tc>
        <w:tc>
          <w:tcPr>
            <w:tcW w:w="1361" w:type="dxa"/>
          </w:tcPr>
          <w:p>
            <w:pPr>
              <w:pStyle w:val="Compact"/>
              <w:spacing w:before="0" w:after="60" w:line="240" w:lineRule="auto"/>
              <w:jc w:val="center"/>
            </w:pPr>
            <w:r>
              <w:rPr>
                <w:sz w:val="18"/>
              </w:rPr>
              <w:t xml:space="preserve">97.67 ± 2.88</w:t>
            </w:r>
          </w:p>
        </w:tc>
        <w:tc>
          <w:tcPr>
            <w:tcW w:w="1361" w:type="dxa"/>
          </w:tcPr>
          <w:p>
            <w:pPr>
              <w:pStyle w:val="Compact"/>
              <w:spacing w:before="0" w:after="60" w:line="240" w:lineRule="auto"/>
              <w:jc w:val="center"/>
            </w:pPr>
            <w:r>
              <w:rPr>
                <w:sz w:val="18"/>
              </w:rPr>
              <w:t xml:space="preserve">94.44 ± 0.00</w:t>
            </w:r>
          </w:p>
        </w:tc>
        <w:tc>
          <w:tcPr>
            <w:tcW w:w="1361" w:type="dxa"/>
          </w:tcPr>
          <w:p>
            <w:pPr>
              <w:pStyle w:val="Compact"/>
              <w:spacing w:before="0" w:after="60" w:line="240" w:lineRule="auto"/>
              <w:jc w:val="center"/>
            </w:pPr>
            <w:r>
              <w:rPr>
                <w:sz w:val="18"/>
              </w:rPr>
              <w:t xml:space="preserve">93.06 ± 8.67</w:t>
            </w:r>
          </w:p>
        </w:tc>
      </w:tr>
      <w:tr>
        <w:trPr>
          <w:cantSplit/>
        </w:trPr>
        <w:tc>
          <w:tcPr>
            <w:tcW w:w="3175" w:type="dxa"/>
          </w:tcPr>
          <w:p>
            <w:pPr>
              <w:pStyle w:val="Compact"/>
              <w:spacing w:before="0" w:after="60" w:line="240" w:lineRule="auto"/>
              <w:jc w:val="left"/>
            </w:pPr>
            <w:r>
              <w:rPr>
                <w:sz w:val="18"/>
              </w:rPr>
              <w:t xml:space="preserve">RGB ResNet18</w:t>
            </w:r>
          </w:p>
        </w:tc>
        <w:tc>
          <w:tcPr>
            <w:tcW w:w="1361" w:type="dxa"/>
          </w:tcPr>
          <w:p>
            <w:pPr>
              <w:pStyle w:val="Compact"/>
              <w:spacing w:before="0" w:after="60" w:line="240" w:lineRule="auto"/>
              <w:jc w:val="center"/>
            </w:pPr>
            <w:r>
              <w:rPr>
                <w:sz w:val="18"/>
              </w:rPr>
              <w:t xml:space="preserve">94.79 ± 2.76</w:t>
            </w:r>
          </w:p>
        </w:tc>
        <w:tc>
          <w:tcPr>
            <w:tcW w:w="1361" w:type="dxa"/>
          </w:tcPr>
          <w:p>
            <w:pPr>
              <w:pStyle w:val="Compact"/>
              <w:spacing w:before="0" w:after="60" w:line="240" w:lineRule="auto"/>
              <w:jc w:val="center"/>
            </w:pPr>
            <w:r>
              <w:rPr>
                <w:sz w:val="18"/>
              </w:rPr>
              <w:t xml:space="preserve">95.14 ± 1.84</w:t>
            </w:r>
          </w:p>
        </w:tc>
        <w:tc>
          <w:tcPr>
            <w:tcW w:w="1361" w:type="dxa"/>
          </w:tcPr>
          <w:p>
            <w:pPr>
              <w:pStyle w:val="Compact"/>
              <w:spacing w:before="0" w:after="60" w:line="240" w:lineRule="auto"/>
              <w:jc w:val="center"/>
            </w:pPr>
            <w:r>
              <w:rPr>
                <w:sz w:val="18"/>
              </w:rPr>
              <w:t xml:space="preserve">0.994 ± 0.003</w:t>
            </w:r>
          </w:p>
        </w:tc>
        <w:tc>
          <w:tcPr>
            <w:tcW w:w="1361" w:type="dxa"/>
          </w:tcPr>
          <w:p>
            <w:pPr>
              <w:pStyle w:val="Compact"/>
              <w:spacing w:before="0" w:after="60" w:line="240" w:lineRule="auto"/>
              <w:jc w:val="center"/>
            </w:pPr>
            <w:r>
              <w:rPr>
                <w:sz w:val="18"/>
              </w:rPr>
              <w:t xml:space="preserve">0.964 ± 0.020</w:t>
            </w:r>
          </w:p>
        </w:tc>
        <w:tc>
          <w:tcPr>
            <w:tcW w:w="1361" w:type="dxa"/>
          </w:tcPr>
          <w:p>
            <w:pPr>
              <w:pStyle w:val="Compact"/>
              <w:spacing w:before="0" w:after="60" w:line="240" w:lineRule="auto"/>
              <w:jc w:val="center"/>
            </w:pPr>
            <w:r>
              <w:rPr>
                <w:sz w:val="18"/>
              </w:rPr>
              <w:t xml:space="preserve">98.55 ± 0.06</w:t>
            </w:r>
          </w:p>
        </w:tc>
        <w:tc>
          <w:tcPr>
            <w:tcW w:w="1361" w:type="dxa"/>
          </w:tcPr>
          <w:p>
            <w:pPr>
              <w:pStyle w:val="Compact"/>
              <w:spacing w:before="0" w:after="60" w:line="240" w:lineRule="auto"/>
              <w:jc w:val="center"/>
            </w:pPr>
            <w:r>
              <w:rPr>
                <w:sz w:val="18"/>
              </w:rPr>
              <w:t xml:space="preserve">94.44 ± 3.67</w:t>
            </w:r>
          </w:p>
        </w:tc>
        <w:tc>
          <w:tcPr>
            <w:tcW w:w="1361" w:type="dxa"/>
          </w:tcPr>
          <w:p>
            <w:pPr>
              <w:pStyle w:val="Compact"/>
              <w:spacing w:before="0" w:after="60" w:line="240" w:lineRule="auto"/>
              <w:jc w:val="center"/>
            </w:pPr>
            <w:r>
              <w:rPr>
                <w:sz w:val="18"/>
              </w:rPr>
              <w:t xml:space="preserve">95.83 ± 0.00</w:t>
            </w:r>
          </w:p>
        </w:tc>
      </w:tr>
      <w:tr>
        <w:trPr>
          <w:cantSplit/>
        </w:trPr>
        <w:tc>
          <w:tcPr>
            <w:tcW w:w="3175" w:type="dxa"/>
          </w:tcPr>
          <w:p>
            <w:pPr>
              <w:pStyle w:val="Compact"/>
              <w:spacing w:before="0" w:after="60" w:line="240" w:lineRule="auto"/>
              <w:jc w:val="left"/>
            </w:pPr>
            <w:r>
              <w:rPr>
                <w:sz w:val="18"/>
              </w:rPr>
              <w:t xml:space="preserve">RGB ResNet34</w:t>
            </w:r>
          </w:p>
        </w:tc>
        <w:tc>
          <w:tcPr>
            <w:tcW w:w="1361" w:type="dxa"/>
          </w:tcPr>
          <w:p>
            <w:pPr>
              <w:pStyle w:val="Compact"/>
              <w:spacing w:before="0" w:after="60" w:line="240" w:lineRule="auto"/>
              <w:jc w:val="center"/>
            </w:pPr>
            <w:r>
              <w:rPr>
                <w:sz w:val="18"/>
              </w:rPr>
              <w:t xml:space="preserve">93.75 ± 1.04</w:t>
            </w:r>
          </w:p>
        </w:tc>
        <w:tc>
          <w:tcPr>
            <w:tcW w:w="1361" w:type="dxa"/>
          </w:tcPr>
          <w:p>
            <w:pPr>
              <w:pStyle w:val="Compact"/>
              <w:spacing w:before="0" w:after="60" w:line="240" w:lineRule="auto"/>
              <w:jc w:val="center"/>
            </w:pPr>
            <w:r>
              <w:rPr>
                <w:sz w:val="18"/>
              </w:rPr>
              <w:t xml:space="preserve">91.20 ± 1.45</w:t>
            </w:r>
          </w:p>
        </w:tc>
        <w:tc>
          <w:tcPr>
            <w:tcW w:w="1361" w:type="dxa"/>
          </w:tcPr>
          <w:p>
            <w:pPr>
              <w:pStyle w:val="Compact"/>
              <w:spacing w:before="0" w:after="60" w:line="240" w:lineRule="auto"/>
              <w:jc w:val="center"/>
            </w:pPr>
            <w:r>
              <w:rPr>
                <w:sz w:val="18"/>
              </w:rPr>
              <w:t xml:space="preserve">0.984 ± 0.004</w:t>
            </w:r>
          </w:p>
        </w:tc>
        <w:tc>
          <w:tcPr>
            <w:tcW w:w="1361" w:type="dxa"/>
          </w:tcPr>
          <w:p>
            <w:pPr>
              <w:pStyle w:val="Compact"/>
              <w:spacing w:before="0" w:after="60" w:line="240" w:lineRule="auto"/>
              <w:jc w:val="center"/>
            </w:pPr>
            <w:r>
              <w:rPr>
                <w:sz w:val="18"/>
              </w:rPr>
              <w:t xml:space="preserve">0.958 ± 0.008</w:t>
            </w:r>
          </w:p>
        </w:tc>
        <w:tc>
          <w:tcPr>
            <w:tcW w:w="1361" w:type="dxa"/>
          </w:tcPr>
          <w:p>
            <w:pPr>
              <w:pStyle w:val="Compact"/>
              <w:spacing w:before="0" w:after="60" w:line="240" w:lineRule="auto"/>
              <w:jc w:val="center"/>
            </w:pPr>
            <w:r>
              <w:rPr>
                <w:sz w:val="18"/>
              </w:rPr>
              <w:t xml:space="preserve">95.48 ± 1.82</w:t>
            </w:r>
          </w:p>
        </w:tc>
        <w:tc>
          <w:tcPr>
            <w:tcW w:w="1361" w:type="dxa"/>
          </w:tcPr>
          <w:p>
            <w:pPr>
              <w:pStyle w:val="Compact"/>
              <w:spacing w:before="0" w:after="60" w:line="240" w:lineRule="auto"/>
              <w:jc w:val="center"/>
            </w:pPr>
            <w:r>
              <w:rPr>
                <w:sz w:val="18"/>
              </w:rPr>
              <w:t xml:space="preserve">96.30 ± 3.50</w:t>
            </w:r>
          </w:p>
        </w:tc>
        <w:tc>
          <w:tcPr>
            <w:tcW w:w="1361" w:type="dxa"/>
          </w:tcPr>
          <w:p>
            <w:pPr>
              <w:pStyle w:val="Compact"/>
              <w:spacing w:before="0" w:after="60" w:line="240" w:lineRule="auto"/>
              <w:jc w:val="center"/>
            </w:pPr>
            <w:r>
              <w:rPr>
                <w:sz w:val="18"/>
              </w:rPr>
              <w:t xml:space="preserve">86.11 ± 6.36</w:t>
            </w:r>
          </w:p>
        </w:tc>
      </w:tr>
      <w:tr>
        <w:trPr>
          <w:cantSplit/>
        </w:trPr>
        <w:tc>
          <w:tcPr>
            <w:tcW w:w="3175" w:type="dxa"/>
          </w:tcPr>
          <w:p>
            <w:pPr>
              <w:pStyle w:val="Compact"/>
              <w:spacing w:before="0" w:after="60" w:line="240" w:lineRule="auto"/>
              <w:jc w:val="left"/>
            </w:pPr>
            <w:r>
              <w:rPr>
                <w:sz w:val="18"/>
              </w:rPr>
              <w:t xml:space="preserve">HSI Transformer</w:t>
            </w:r>
          </w:p>
        </w:tc>
        <w:tc>
          <w:tcPr>
            <w:tcW w:w="1361" w:type="dxa"/>
          </w:tcPr>
          <w:p>
            <w:pPr>
              <w:pStyle w:val="Compact"/>
              <w:spacing w:before="0" w:after="60" w:line="240" w:lineRule="auto"/>
              <w:jc w:val="center"/>
            </w:pPr>
            <w:r>
              <w:rPr>
                <w:sz w:val="18"/>
              </w:rPr>
              <w:t xml:space="preserve">72.92 ± 2.08</w:t>
            </w:r>
          </w:p>
        </w:tc>
        <w:tc>
          <w:tcPr>
            <w:tcW w:w="1361" w:type="dxa"/>
          </w:tcPr>
          <w:p>
            <w:pPr>
              <w:pStyle w:val="Compact"/>
              <w:spacing w:before="0" w:after="60" w:line="240" w:lineRule="auto"/>
              <w:jc w:val="center"/>
            </w:pPr>
            <w:r>
              <w:rPr>
                <w:sz w:val="18"/>
              </w:rPr>
              <w:t xml:space="preserve">54.17 ± 5.01</w:t>
            </w:r>
          </w:p>
        </w:tc>
        <w:tc>
          <w:tcPr>
            <w:tcW w:w="1361" w:type="dxa"/>
          </w:tcPr>
          <w:p>
            <w:pPr>
              <w:pStyle w:val="Compact"/>
              <w:spacing w:before="0" w:after="60" w:line="240" w:lineRule="auto"/>
              <w:jc w:val="center"/>
            </w:pPr>
            <w:r>
              <w:rPr>
                <w:sz w:val="18"/>
              </w:rPr>
              <w:t xml:space="preserve">0.582 ± 0.053</w:t>
            </w:r>
          </w:p>
        </w:tc>
        <w:tc>
          <w:tcPr>
            <w:tcW w:w="1361" w:type="dxa"/>
          </w:tcPr>
          <w:p>
            <w:pPr>
              <w:pStyle w:val="Compact"/>
              <w:spacing w:before="0" w:after="60" w:line="240" w:lineRule="auto"/>
              <w:jc w:val="center"/>
            </w:pPr>
            <w:r>
              <w:rPr>
                <w:sz w:val="18"/>
              </w:rPr>
              <w:t xml:space="preserve">0.834 ± 0.025</w:t>
            </w:r>
          </w:p>
        </w:tc>
        <w:tc>
          <w:tcPr>
            <w:tcW w:w="1361" w:type="dxa"/>
          </w:tcPr>
          <w:p>
            <w:pPr>
              <w:pStyle w:val="Compact"/>
              <w:spacing w:before="0" w:after="60" w:line="240" w:lineRule="auto"/>
              <w:jc w:val="center"/>
            </w:pPr>
            <w:r>
              <w:rPr>
                <w:sz w:val="18"/>
              </w:rPr>
              <w:t xml:space="preserve">76.96 ± 2.47</w:t>
            </w:r>
          </w:p>
        </w:tc>
        <w:tc>
          <w:tcPr>
            <w:tcW w:w="1361" w:type="dxa"/>
          </w:tcPr>
          <w:p>
            <w:pPr>
              <w:pStyle w:val="Compact"/>
              <w:spacing w:before="0" w:after="60" w:line="240" w:lineRule="auto"/>
              <w:jc w:val="center"/>
            </w:pPr>
            <w:r>
              <w:rPr>
                <w:sz w:val="18"/>
              </w:rPr>
              <w:t xml:space="preserve">91.67 ± 9.11</w:t>
            </w:r>
          </w:p>
        </w:tc>
        <w:tc>
          <w:tcPr>
            <w:tcW w:w="1361" w:type="dxa"/>
          </w:tcPr>
          <w:p>
            <w:pPr>
              <w:pStyle w:val="Compact"/>
              <w:spacing w:before="0" w:after="60" w:line="240" w:lineRule="auto"/>
              <w:jc w:val="center"/>
            </w:pPr>
            <w:r>
              <w:rPr>
                <w:sz w:val="18"/>
              </w:rPr>
              <w:t xml:space="preserve">16.67 ± 19.09</w:t>
            </w:r>
          </w:p>
        </w:tc>
      </w:tr>
      <w:tr>
        <w:trPr>
          <w:cantSplit/>
        </w:trPr>
        <w:tc>
          <w:tcPr>
            <w:tcW w:w="3175" w:type="dxa"/>
          </w:tcPr>
          <w:p>
            <w:pPr>
              <w:pStyle w:val="Compact"/>
              <w:spacing w:before="0" w:after="60" w:line="240" w:lineRule="auto"/>
              <w:jc w:val="left"/>
            </w:pPr>
            <w:r>
              <w:rPr>
                <w:sz w:val="18"/>
              </w:rPr>
              <w:t xml:space="preserve">Spectral 1D CNN</w:t>
            </w:r>
          </w:p>
        </w:tc>
        <w:tc>
          <w:tcPr>
            <w:tcW w:w="1361" w:type="dxa"/>
          </w:tcPr>
          <w:p>
            <w:pPr>
              <w:pStyle w:val="Compact"/>
              <w:spacing w:before="0" w:after="60" w:line="240" w:lineRule="auto"/>
              <w:jc w:val="center"/>
            </w:pPr>
            <w:r>
              <w:rPr>
                <w:sz w:val="18"/>
              </w:rPr>
              <w:t xml:space="preserve">70.49 ± 7.82</w:t>
            </w:r>
          </w:p>
        </w:tc>
        <w:tc>
          <w:tcPr>
            <w:tcW w:w="1361" w:type="dxa"/>
          </w:tcPr>
          <w:p>
            <w:pPr>
              <w:pStyle w:val="Compact"/>
              <w:spacing w:before="0" w:after="60" w:line="240" w:lineRule="auto"/>
              <w:jc w:val="center"/>
            </w:pPr>
            <w:r>
              <w:rPr>
                <w:sz w:val="18"/>
              </w:rPr>
              <w:t xml:space="preserve">50.23 ± 0.40</w:t>
            </w:r>
          </w:p>
        </w:tc>
        <w:tc>
          <w:tcPr>
            <w:tcW w:w="1361" w:type="dxa"/>
          </w:tcPr>
          <w:p>
            <w:pPr>
              <w:pStyle w:val="Compact"/>
              <w:spacing w:before="0" w:after="60" w:line="240" w:lineRule="auto"/>
              <w:jc w:val="center"/>
            </w:pPr>
            <w:r>
              <w:rPr>
                <w:sz w:val="18"/>
              </w:rPr>
              <w:t xml:space="preserve">0.496 ± 0.009</w:t>
            </w:r>
          </w:p>
        </w:tc>
        <w:tc>
          <w:tcPr>
            <w:tcW w:w="1361" w:type="dxa"/>
          </w:tcPr>
          <w:p>
            <w:pPr>
              <w:pStyle w:val="Compact"/>
              <w:spacing w:before="0" w:after="60" w:line="240" w:lineRule="auto"/>
              <w:jc w:val="center"/>
            </w:pPr>
            <w:r>
              <w:rPr>
                <w:sz w:val="18"/>
              </w:rPr>
              <w:t xml:space="preserve">0.817 ± 0.069</w:t>
            </w:r>
          </w:p>
        </w:tc>
        <w:tc>
          <w:tcPr>
            <w:tcW w:w="1361" w:type="dxa"/>
          </w:tcPr>
          <w:p>
            <w:pPr>
              <w:pStyle w:val="Compact"/>
              <w:spacing w:before="0" w:after="60" w:line="240" w:lineRule="auto"/>
              <w:jc w:val="center"/>
            </w:pPr>
            <w:r>
              <w:rPr>
                <w:sz w:val="18"/>
              </w:rPr>
              <w:t xml:space="preserve">75.12 ± 0.21</w:t>
            </w:r>
          </w:p>
        </w:tc>
        <w:tc>
          <w:tcPr>
            <w:tcW w:w="1361" w:type="dxa"/>
          </w:tcPr>
          <w:p>
            <w:pPr>
              <w:pStyle w:val="Compact"/>
              <w:spacing w:before="0" w:after="60" w:line="240" w:lineRule="auto"/>
              <w:jc w:val="center"/>
            </w:pPr>
            <w:r>
              <w:rPr>
                <w:sz w:val="18"/>
              </w:rPr>
              <w:t xml:space="preserve">90.74 ± 16.04</w:t>
            </w:r>
          </w:p>
        </w:tc>
        <w:tc>
          <w:tcPr>
            <w:tcW w:w="1361" w:type="dxa"/>
          </w:tcPr>
          <w:p>
            <w:pPr>
              <w:pStyle w:val="Compact"/>
              <w:spacing w:before="0" w:after="60" w:line="240" w:lineRule="auto"/>
              <w:jc w:val="center"/>
            </w:pPr>
            <w:r>
              <w:rPr>
                <w:sz w:val="18"/>
              </w:rPr>
              <w:t xml:space="preserve">9.72 ± 16.84</w:t>
            </w:r>
          </w:p>
        </w:tc>
      </w:tr>
      <w:tr>
        <w:trPr>
          <w:cantSplit/>
        </w:trPr>
        <w:tc>
          <w:tcPr>
            <w:tcW w:w="3175" w:type="dxa"/>
          </w:tcPr>
          <w:p>
            <w:pPr>
              <w:pStyle w:val="Compact"/>
              <w:spacing w:before="0" w:after="60" w:line="240" w:lineRule="auto"/>
              <w:jc w:val="left"/>
            </w:pPr>
            <w:r>
              <w:rPr>
                <w:sz w:val="18"/>
              </w:rPr>
              <w:t xml:space="preserve">Compact 3D CNN</w:t>
            </w:r>
          </w:p>
        </w:tc>
        <w:tc>
          <w:tcPr>
            <w:tcW w:w="1361" w:type="dxa"/>
          </w:tcPr>
          <w:p>
            <w:pPr>
              <w:pStyle w:val="Compact"/>
              <w:spacing w:before="0" w:after="60" w:line="240" w:lineRule="auto"/>
              <w:jc w:val="center"/>
            </w:pPr>
            <w:r>
              <w:rPr>
                <w:sz w:val="18"/>
              </w:rPr>
              <w:t xml:space="preserve">75.00 ± 0.00</w:t>
            </w:r>
          </w:p>
        </w:tc>
        <w:tc>
          <w:tcPr>
            <w:tcW w:w="1361" w:type="dxa"/>
          </w:tcPr>
          <w:p>
            <w:pPr>
              <w:pStyle w:val="Compact"/>
              <w:spacing w:before="0" w:after="60" w:line="240" w:lineRule="auto"/>
              <w:jc w:val="center"/>
            </w:pPr>
            <w:r>
              <w:rPr>
                <w:sz w:val="18"/>
              </w:rPr>
              <w:t xml:space="preserve">50.00 ± 0.00</w:t>
            </w:r>
          </w:p>
        </w:tc>
        <w:tc>
          <w:tcPr>
            <w:tcW w:w="1361" w:type="dxa"/>
          </w:tcPr>
          <w:p>
            <w:pPr>
              <w:pStyle w:val="Compact"/>
              <w:spacing w:before="0" w:after="60" w:line="240" w:lineRule="auto"/>
              <w:jc w:val="center"/>
            </w:pPr>
            <w:r>
              <w:rPr>
                <w:sz w:val="18"/>
              </w:rPr>
              <w:t xml:space="preserve">0.594 ± 0.004</w:t>
            </w:r>
          </w:p>
        </w:tc>
        <w:tc>
          <w:tcPr>
            <w:tcW w:w="1361" w:type="dxa"/>
          </w:tcPr>
          <w:p>
            <w:pPr>
              <w:pStyle w:val="Compact"/>
              <w:spacing w:before="0" w:after="60" w:line="240" w:lineRule="auto"/>
              <w:jc w:val="center"/>
            </w:pPr>
            <w:r>
              <w:rPr>
                <w:sz w:val="18"/>
              </w:rPr>
              <w:t xml:space="preserve">0.857 ± 0.000</w:t>
            </w:r>
          </w:p>
        </w:tc>
        <w:tc>
          <w:tcPr>
            <w:tcW w:w="1361" w:type="dxa"/>
          </w:tcPr>
          <w:p>
            <w:pPr>
              <w:pStyle w:val="Compact"/>
              <w:spacing w:before="0" w:after="60" w:line="240" w:lineRule="auto"/>
              <w:jc w:val="center"/>
            </w:pPr>
            <w:r>
              <w:rPr>
                <w:sz w:val="18"/>
              </w:rPr>
              <w:t xml:space="preserve">75.00 ± 0.00</w:t>
            </w:r>
          </w:p>
        </w:tc>
        <w:tc>
          <w:tcPr>
            <w:tcW w:w="1361" w:type="dxa"/>
          </w:tcPr>
          <w:p>
            <w:pPr>
              <w:pStyle w:val="Compact"/>
              <w:spacing w:before="0" w:after="60" w:line="240" w:lineRule="auto"/>
              <w:jc w:val="center"/>
            </w:pPr>
            <w:r>
              <w:rPr>
                <w:sz w:val="18"/>
              </w:rPr>
              <w:t xml:space="preserve">100.00 ± 0.00</w:t>
            </w:r>
          </w:p>
        </w:tc>
        <w:tc>
          <w:tcPr>
            <w:tcW w:w="1361" w:type="dxa"/>
          </w:tcPr>
          <w:p>
            <w:pPr>
              <w:pStyle w:val="Compact"/>
              <w:spacing w:before="0" w:after="60" w:line="240" w:lineRule="auto"/>
              <w:jc w:val="center"/>
            </w:pPr>
            <w:r>
              <w:rPr>
                <w:sz w:val="18"/>
              </w:rPr>
              <w:t xml:space="preserve">0.00 ± 0.00</w:t>
            </w:r>
          </w:p>
        </w:tc>
      </w:tr>
      <w:tr>
        <w:trPr>
          <w:cantSplit/>
        </w:trPr>
        <w:tc>
          <w:tcPr>
            <w:tcW w:w="3175" w:type="dxa"/>
          </w:tcPr>
          <w:p>
            <w:pPr>
              <w:pStyle w:val="Compact"/>
              <w:spacing w:before="0" w:after="60" w:line="240" w:lineRule="auto"/>
              <w:jc w:val="left"/>
            </w:pPr>
            <w:r>
              <w:rPr>
                <w:sz w:val="18"/>
              </w:rPr>
              <w:t xml:space="preserve">Simple multimodal</w:t>
            </w:r>
          </w:p>
        </w:tc>
        <w:tc>
          <w:tcPr>
            <w:tcW w:w="1361" w:type="dxa"/>
          </w:tcPr>
          <w:p>
            <w:pPr>
              <w:pStyle w:val="Compact"/>
              <w:spacing w:before="0" w:after="60" w:line="240" w:lineRule="auto"/>
              <w:jc w:val="center"/>
            </w:pPr>
            <w:r>
              <w:rPr>
                <w:sz w:val="18"/>
              </w:rPr>
              <w:t xml:space="preserve">97.22 ± 1.59</w:t>
            </w:r>
          </w:p>
        </w:tc>
        <w:tc>
          <w:tcPr>
            <w:tcW w:w="1361" w:type="dxa"/>
          </w:tcPr>
          <w:p>
            <w:pPr>
              <w:pStyle w:val="Compact"/>
              <w:spacing w:before="0" w:after="60" w:line="240" w:lineRule="auto"/>
              <w:jc w:val="center"/>
            </w:pPr>
            <w:r>
              <w:rPr>
                <w:sz w:val="18"/>
              </w:rPr>
              <w:t xml:space="preserve">96.30 ± 2.81</w:t>
            </w:r>
          </w:p>
        </w:tc>
        <w:tc>
          <w:tcPr>
            <w:tcW w:w="1361" w:type="dxa"/>
          </w:tcPr>
          <w:p>
            <w:pPr>
              <w:pStyle w:val="Compact"/>
              <w:spacing w:before="0" w:after="60" w:line="240" w:lineRule="auto"/>
              <w:jc w:val="center"/>
            </w:pPr>
            <w:r>
              <w:rPr>
                <w:sz w:val="18"/>
              </w:rPr>
              <w:t xml:space="preserve">0.996 ± 0.004</w:t>
            </w:r>
          </w:p>
        </w:tc>
        <w:tc>
          <w:tcPr>
            <w:tcW w:w="1361" w:type="dxa"/>
          </w:tcPr>
          <w:p>
            <w:pPr>
              <w:pStyle w:val="Compact"/>
              <w:spacing w:before="0" w:after="60" w:line="240" w:lineRule="auto"/>
              <w:jc w:val="center"/>
            </w:pPr>
            <w:r>
              <w:rPr>
                <w:sz w:val="18"/>
              </w:rPr>
              <w:t xml:space="preserve">0.981 ± 0.011</w:t>
            </w:r>
          </w:p>
        </w:tc>
        <w:tc>
          <w:tcPr>
            <w:tcW w:w="1361" w:type="dxa"/>
          </w:tcPr>
          <w:p>
            <w:pPr>
              <w:pStyle w:val="Compact"/>
              <w:spacing w:before="0" w:after="60" w:line="240" w:lineRule="auto"/>
              <w:jc w:val="center"/>
            </w:pPr>
            <w:r>
              <w:rPr>
                <w:sz w:val="18"/>
              </w:rPr>
              <w:t xml:space="preserve">98.19 ± 2.03</w:t>
            </w:r>
          </w:p>
        </w:tc>
        <w:tc>
          <w:tcPr>
            <w:tcW w:w="1361" w:type="dxa"/>
          </w:tcPr>
          <w:p>
            <w:pPr>
              <w:pStyle w:val="Compact"/>
              <w:spacing w:before="0" w:after="60" w:line="240" w:lineRule="auto"/>
              <w:jc w:val="center"/>
            </w:pPr>
            <w:r>
              <w:rPr>
                <w:sz w:val="18"/>
              </w:rPr>
              <w:t xml:space="preserve">98.15 ± 2.12</w:t>
            </w:r>
          </w:p>
        </w:tc>
        <w:tc>
          <w:tcPr>
            <w:tcW w:w="1361" w:type="dxa"/>
          </w:tcPr>
          <w:p>
            <w:pPr>
              <w:pStyle w:val="Compact"/>
              <w:spacing w:before="0" w:after="60" w:line="240" w:lineRule="auto"/>
              <w:jc w:val="center"/>
            </w:pPr>
            <w:r>
              <w:rPr>
                <w:sz w:val="18"/>
              </w:rPr>
              <w:t xml:space="preserve">94.44 ± 6.36</w:t>
            </w:r>
          </w:p>
        </w:tc>
      </w:tr>
      <w:tr>
        <w:trPr>
          <w:cantSplit/>
        </w:trPr>
        <w:tc>
          <w:tcPr>
            <w:tcW w:w="3175" w:type="dxa"/>
          </w:tcPr>
          <w:p>
            <w:pPr>
              <w:pStyle w:val="Compact"/>
              <w:spacing w:before="0" w:after="60" w:line="240" w:lineRule="auto"/>
              <w:jc w:val="left"/>
            </w:pPr>
            <w:r>
              <w:rPr>
                <w:sz w:val="18"/>
              </w:rPr>
              <w:t xml:space="preserve">CAF disabled</w:t>
            </w:r>
          </w:p>
        </w:tc>
        <w:tc>
          <w:tcPr>
            <w:tcW w:w="1361" w:type="dxa"/>
          </w:tcPr>
          <w:p>
            <w:pPr>
              <w:pStyle w:val="Compact"/>
              <w:spacing w:before="0" w:after="60" w:line="240" w:lineRule="auto"/>
              <w:jc w:val="center"/>
            </w:pPr>
            <w:r>
              <w:rPr>
                <w:sz w:val="18"/>
              </w:rPr>
              <w:t xml:space="preserve">94.79 ± 2.08</w:t>
            </w:r>
          </w:p>
        </w:tc>
        <w:tc>
          <w:tcPr>
            <w:tcW w:w="1361" w:type="dxa"/>
          </w:tcPr>
          <w:p>
            <w:pPr>
              <w:pStyle w:val="Compact"/>
              <w:spacing w:before="0" w:after="60" w:line="240" w:lineRule="auto"/>
              <w:jc w:val="center"/>
            </w:pPr>
            <w:r>
              <w:rPr>
                <w:sz w:val="18"/>
              </w:rPr>
              <w:t xml:space="preserve">93.29 ± 3.50</w:t>
            </w:r>
          </w:p>
        </w:tc>
        <w:tc>
          <w:tcPr>
            <w:tcW w:w="1361" w:type="dxa"/>
          </w:tcPr>
          <w:p>
            <w:pPr>
              <w:pStyle w:val="Compact"/>
              <w:spacing w:before="0" w:after="60" w:line="240" w:lineRule="auto"/>
              <w:jc w:val="center"/>
            </w:pPr>
            <w:r>
              <w:rPr>
                <w:sz w:val="18"/>
              </w:rPr>
              <w:t xml:space="preserve">0.985 ± 0.009</w:t>
            </w:r>
          </w:p>
        </w:tc>
        <w:tc>
          <w:tcPr>
            <w:tcW w:w="1361" w:type="dxa"/>
          </w:tcPr>
          <w:p>
            <w:pPr>
              <w:pStyle w:val="Compact"/>
              <w:spacing w:before="0" w:after="60" w:line="240" w:lineRule="auto"/>
              <w:jc w:val="center"/>
            </w:pPr>
            <w:r>
              <w:rPr>
                <w:sz w:val="18"/>
              </w:rPr>
              <w:t xml:space="preserve">0.965 ± 0.014</w:t>
            </w:r>
          </w:p>
        </w:tc>
        <w:tc>
          <w:tcPr>
            <w:tcW w:w="1361" w:type="dxa"/>
          </w:tcPr>
          <w:p>
            <w:pPr>
              <w:pStyle w:val="Compact"/>
              <w:spacing w:before="0" w:after="60" w:line="240" w:lineRule="auto"/>
              <w:jc w:val="center"/>
            </w:pPr>
            <w:r>
              <w:rPr>
                <w:sz w:val="18"/>
              </w:rPr>
              <w:t xml:space="preserve">96.77 ± 2.07</w:t>
            </w:r>
          </w:p>
        </w:tc>
        <w:tc>
          <w:tcPr>
            <w:tcW w:w="1361" w:type="dxa"/>
          </w:tcPr>
          <w:p>
            <w:pPr>
              <w:pStyle w:val="Compact"/>
              <w:spacing w:before="0" w:after="60" w:line="240" w:lineRule="auto"/>
              <w:jc w:val="center"/>
            </w:pPr>
            <w:r>
              <w:rPr>
                <w:sz w:val="18"/>
              </w:rPr>
              <w:t xml:space="preserve">96.30 ± 0.80</w:t>
            </w:r>
          </w:p>
        </w:tc>
        <w:tc>
          <w:tcPr>
            <w:tcW w:w="1361" w:type="dxa"/>
          </w:tcPr>
          <w:p>
            <w:pPr>
              <w:pStyle w:val="Compact"/>
              <w:spacing w:before="0" w:after="60" w:line="240" w:lineRule="auto"/>
              <w:jc w:val="center"/>
            </w:pPr>
            <w:r>
              <w:rPr>
                <w:sz w:val="18"/>
              </w:rPr>
              <w:t xml:space="preserve">90.28 ± 6.36</w:t>
            </w:r>
          </w:p>
        </w:tc>
      </w:tr>
      <w:tr>
        <w:trPr>
          <w:cantSplit/>
        </w:trPr>
        <w:tc>
          <w:tcPr>
            <w:tcW w:w="3175" w:type="dxa"/>
          </w:tcPr>
          <w:p>
            <w:pPr>
              <w:pStyle w:val="Compact"/>
              <w:spacing w:before="0" w:after="60" w:line="240" w:lineRule="auto"/>
              <w:jc w:val="left"/>
            </w:pPr>
            <w:r>
              <w:rPr>
                <w:sz w:val="18"/>
              </w:rPr>
              <w:t xml:space="preserve">Mean patch token (replaces wavelet token)</w:t>
            </w:r>
          </w:p>
        </w:tc>
        <w:tc>
          <w:tcPr>
            <w:tcW w:w="1361" w:type="dxa"/>
          </w:tcPr>
          <w:p>
            <w:pPr>
              <w:pStyle w:val="Compact"/>
              <w:spacing w:before="0" w:after="60" w:line="240" w:lineRule="auto"/>
              <w:jc w:val="center"/>
            </w:pPr>
            <w:r>
              <w:rPr>
                <w:sz w:val="18"/>
              </w:rPr>
              <w:t xml:space="preserve">95.49 ± 1.59</w:t>
            </w:r>
          </w:p>
        </w:tc>
        <w:tc>
          <w:tcPr>
            <w:tcW w:w="1361" w:type="dxa"/>
          </w:tcPr>
          <w:p>
            <w:pPr>
              <w:pStyle w:val="Compact"/>
              <w:spacing w:before="0" w:after="60" w:line="240" w:lineRule="auto"/>
              <w:jc w:val="center"/>
            </w:pPr>
            <w:r>
              <w:rPr>
                <w:sz w:val="18"/>
              </w:rPr>
              <w:t xml:space="preserve">96.06 ± 2.63</w:t>
            </w:r>
          </w:p>
        </w:tc>
        <w:tc>
          <w:tcPr>
            <w:tcW w:w="1361" w:type="dxa"/>
          </w:tcPr>
          <w:p>
            <w:pPr>
              <w:pStyle w:val="Compact"/>
              <w:spacing w:before="0" w:after="60" w:line="240" w:lineRule="auto"/>
              <w:jc w:val="center"/>
            </w:pPr>
            <w:r>
              <w:rPr>
                <w:sz w:val="18"/>
              </w:rPr>
              <w:t xml:space="preserve">0.987 ± 0.010</w:t>
            </w:r>
          </w:p>
        </w:tc>
        <w:tc>
          <w:tcPr>
            <w:tcW w:w="1361" w:type="dxa"/>
          </w:tcPr>
          <w:p>
            <w:pPr>
              <w:pStyle w:val="Compact"/>
              <w:spacing w:before="0" w:after="60" w:line="240" w:lineRule="auto"/>
              <w:jc w:val="center"/>
            </w:pPr>
            <w:r>
              <w:rPr>
                <w:sz w:val="18"/>
              </w:rPr>
              <w:t xml:space="preserve">0.969 ± 0.011</w:t>
            </w:r>
          </w:p>
        </w:tc>
        <w:tc>
          <w:tcPr>
            <w:tcW w:w="1361" w:type="dxa"/>
          </w:tcPr>
          <w:p>
            <w:pPr>
              <w:pStyle w:val="Compact"/>
              <w:spacing w:before="0" w:after="60" w:line="240" w:lineRule="auto"/>
              <w:jc w:val="center"/>
            </w:pPr>
            <w:r>
              <w:rPr>
                <w:sz w:val="18"/>
              </w:rPr>
              <w:t xml:space="preserve">99.05 ± 1.65</w:t>
            </w:r>
          </w:p>
        </w:tc>
        <w:tc>
          <w:tcPr>
            <w:tcW w:w="1361" w:type="dxa"/>
          </w:tcPr>
          <w:p>
            <w:pPr>
              <w:pStyle w:val="Compact"/>
              <w:spacing w:before="0" w:after="60" w:line="240" w:lineRule="auto"/>
              <w:jc w:val="center"/>
            </w:pPr>
            <w:r>
              <w:rPr>
                <w:sz w:val="18"/>
              </w:rPr>
              <w:t xml:space="preserve">94.91 ± 0.80</w:t>
            </w:r>
          </w:p>
        </w:tc>
        <w:tc>
          <w:tcPr>
            <w:tcW w:w="1361" w:type="dxa"/>
          </w:tcPr>
          <w:p>
            <w:pPr>
              <w:pStyle w:val="Compact"/>
              <w:spacing w:before="0" w:after="60" w:line="240" w:lineRule="auto"/>
              <w:jc w:val="center"/>
            </w:pPr>
            <w:r>
              <w:rPr>
                <w:sz w:val="18"/>
              </w:rPr>
              <w:t xml:space="preserve">97.22 ± 4.81</w:t>
            </w:r>
          </w:p>
        </w:tc>
      </w:tr>
      <w:tr>
        <w:trPr>
          <w:cantSplit/>
        </w:trPr>
        <w:tc>
          <w:tcPr>
            <w:tcW w:w="3175" w:type="dxa"/>
          </w:tcPr>
          <w:p>
            <w:pPr>
              <w:pStyle w:val="Compact"/>
              <w:spacing w:before="0" w:after="60" w:line="240" w:lineRule="auto"/>
              <w:jc w:val="left"/>
            </w:pPr>
            <w:r>
              <w:rPr>
                <w:sz w:val="18"/>
              </w:rPr>
              <w:t xml:space="preserve">Alternative 2D tokenisation</w:t>
            </w:r>
          </w:p>
        </w:tc>
        <w:tc>
          <w:tcPr>
            <w:tcW w:w="1361" w:type="dxa"/>
          </w:tcPr>
          <w:p>
            <w:pPr>
              <w:pStyle w:val="Compact"/>
              <w:spacing w:before="0" w:after="60" w:line="240" w:lineRule="auto"/>
              <w:jc w:val="center"/>
            </w:pPr>
            <w:r>
              <w:rPr>
                <w:sz w:val="18"/>
              </w:rPr>
              <w:t xml:space="preserve">96.88 ± 1.04</w:t>
            </w:r>
          </w:p>
        </w:tc>
        <w:tc>
          <w:tcPr>
            <w:tcW w:w="1361" w:type="dxa"/>
          </w:tcPr>
          <w:p>
            <w:pPr>
              <w:pStyle w:val="Compact"/>
              <w:spacing w:before="0" w:after="60" w:line="240" w:lineRule="auto"/>
              <w:jc w:val="center"/>
            </w:pPr>
            <w:r>
              <w:rPr>
                <w:sz w:val="18"/>
              </w:rPr>
              <w:t xml:space="preserve">95.14 ± 1.84</w:t>
            </w:r>
          </w:p>
        </w:tc>
        <w:tc>
          <w:tcPr>
            <w:tcW w:w="1361" w:type="dxa"/>
          </w:tcPr>
          <w:p>
            <w:pPr>
              <w:pStyle w:val="Compact"/>
              <w:spacing w:before="0" w:after="60" w:line="240" w:lineRule="auto"/>
              <w:jc w:val="center"/>
            </w:pPr>
            <w:r>
              <w:rPr>
                <w:sz w:val="18"/>
              </w:rPr>
              <w:t xml:space="preserve">0.986 ± 0.017</w:t>
            </w:r>
          </w:p>
        </w:tc>
        <w:tc>
          <w:tcPr>
            <w:tcW w:w="1361" w:type="dxa"/>
          </w:tcPr>
          <w:p>
            <w:pPr>
              <w:pStyle w:val="Compact"/>
              <w:spacing w:before="0" w:after="60" w:line="240" w:lineRule="auto"/>
              <w:jc w:val="center"/>
            </w:pPr>
            <w:r>
              <w:rPr>
                <w:sz w:val="18"/>
              </w:rPr>
              <w:t xml:space="preserve">0.979 ± 0.007</w:t>
            </w:r>
          </w:p>
        </w:tc>
        <w:tc>
          <w:tcPr>
            <w:tcW w:w="1361" w:type="dxa"/>
          </w:tcPr>
          <w:p>
            <w:pPr>
              <w:pStyle w:val="Compact"/>
              <w:spacing w:before="0" w:after="60" w:line="240" w:lineRule="auto"/>
              <w:jc w:val="center"/>
            </w:pPr>
            <w:r>
              <w:rPr>
                <w:sz w:val="18"/>
              </w:rPr>
              <w:t xml:space="preserve">97.28 ± 1.31</w:t>
            </w:r>
          </w:p>
        </w:tc>
        <w:tc>
          <w:tcPr>
            <w:tcW w:w="1361" w:type="dxa"/>
          </w:tcPr>
          <w:p>
            <w:pPr>
              <w:pStyle w:val="Compact"/>
              <w:spacing w:before="0" w:after="60" w:line="240" w:lineRule="auto"/>
              <w:jc w:val="center"/>
            </w:pPr>
            <w:r>
              <w:rPr>
                <w:sz w:val="18"/>
              </w:rPr>
              <w:t xml:space="preserve">98.61 ± 1.39</w:t>
            </w:r>
          </w:p>
        </w:tc>
        <w:tc>
          <w:tcPr>
            <w:tcW w:w="1361" w:type="dxa"/>
          </w:tcPr>
          <w:p>
            <w:pPr>
              <w:pStyle w:val="Compact"/>
              <w:spacing w:before="0" w:after="60" w:line="240" w:lineRule="auto"/>
              <w:jc w:val="center"/>
            </w:pPr>
            <w:r>
              <w:rPr>
                <w:sz w:val="18"/>
              </w:rPr>
              <w:t xml:space="preserve">91.67 ± 4.17</w:t>
            </w:r>
          </w:p>
        </w:tc>
      </w:tr>
      <w:tr>
        <w:trPr>
          <w:cantSplit/>
        </w:trPr>
        <w:tc>
          <w:tcPr>
            <w:tcW w:w="3175" w:type="dxa"/>
          </w:tcPr>
          <w:p>
            <w:pPr>
              <w:pStyle w:val="Compact"/>
              <w:spacing w:before="0" w:after="60" w:line="240" w:lineRule="auto"/>
              <w:jc w:val="left"/>
            </w:pPr>
            <w:r>
              <w:rPr>
                <w:sz w:val="18"/>
              </w:rPr>
              <w:t xml:space="preserve">Learnable CLS token</w:t>
            </w:r>
          </w:p>
        </w:tc>
        <w:tc>
          <w:tcPr>
            <w:tcW w:w="1361" w:type="dxa"/>
          </w:tcPr>
          <w:p>
            <w:pPr>
              <w:pStyle w:val="Compact"/>
              <w:spacing w:before="0" w:after="60" w:line="240" w:lineRule="auto"/>
              <w:jc w:val="center"/>
            </w:pPr>
            <w:r>
              <w:rPr>
                <w:sz w:val="18"/>
              </w:rPr>
              <w:t xml:space="preserve">96.88 ± 1.04</w:t>
            </w:r>
          </w:p>
        </w:tc>
        <w:tc>
          <w:tcPr>
            <w:tcW w:w="1361" w:type="dxa"/>
          </w:tcPr>
          <w:p>
            <w:pPr>
              <w:pStyle w:val="Compact"/>
              <w:spacing w:before="0" w:after="60" w:line="240" w:lineRule="auto"/>
              <w:jc w:val="center"/>
            </w:pPr>
            <w:r>
              <w:rPr>
                <w:sz w:val="18"/>
              </w:rPr>
              <w:t xml:space="preserve">97.45 ± 1.06</w:t>
            </w:r>
          </w:p>
        </w:tc>
        <w:tc>
          <w:tcPr>
            <w:tcW w:w="1361" w:type="dxa"/>
          </w:tcPr>
          <w:p>
            <w:pPr>
              <w:pStyle w:val="Compact"/>
              <w:spacing w:before="0" w:after="60" w:line="240" w:lineRule="auto"/>
              <w:jc w:val="center"/>
            </w:pPr>
            <w:r>
              <w:rPr>
                <w:sz w:val="18"/>
              </w:rPr>
              <w:t xml:space="preserve">0.996 ± 0.003</w:t>
            </w:r>
          </w:p>
        </w:tc>
        <w:tc>
          <w:tcPr>
            <w:tcW w:w="1361" w:type="dxa"/>
          </w:tcPr>
          <w:p>
            <w:pPr>
              <w:pStyle w:val="Compact"/>
              <w:spacing w:before="0" w:after="60" w:line="240" w:lineRule="auto"/>
              <w:jc w:val="center"/>
            </w:pPr>
            <w:r>
              <w:rPr>
                <w:sz w:val="18"/>
              </w:rPr>
              <w:t xml:space="preserve">0.979 ± 0.007</w:t>
            </w:r>
          </w:p>
        </w:tc>
        <w:tc>
          <w:tcPr>
            <w:tcW w:w="1361" w:type="dxa"/>
          </w:tcPr>
          <w:p>
            <w:pPr>
              <w:pStyle w:val="Compact"/>
              <w:spacing w:before="0" w:after="60" w:line="240" w:lineRule="auto"/>
              <w:jc w:val="center"/>
            </w:pPr>
            <w:r>
              <w:rPr>
                <w:sz w:val="18"/>
              </w:rPr>
              <w:t xml:space="preserve">99.53 ± 0.81</w:t>
            </w:r>
          </w:p>
        </w:tc>
        <w:tc>
          <w:tcPr>
            <w:tcW w:w="1361" w:type="dxa"/>
          </w:tcPr>
          <w:p>
            <w:pPr>
              <w:pStyle w:val="Compact"/>
              <w:spacing w:before="0" w:after="60" w:line="240" w:lineRule="auto"/>
              <w:jc w:val="center"/>
            </w:pPr>
            <w:r>
              <w:rPr>
                <w:sz w:val="18"/>
              </w:rPr>
              <w:t xml:space="preserve">96.30 ± 1.60</w:t>
            </w:r>
          </w:p>
        </w:tc>
        <w:tc>
          <w:tcPr>
            <w:tcW w:w="1361" w:type="dxa"/>
          </w:tcPr>
          <w:p>
            <w:pPr>
              <w:pStyle w:val="Compact"/>
              <w:spacing w:before="0" w:after="60" w:line="240" w:lineRule="auto"/>
              <w:jc w:val="center"/>
            </w:pPr>
            <w:r>
              <w:rPr>
                <w:sz w:val="18"/>
              </w:rPr>
              <w:t xml:space="preserve">98.61 ± 2.41</w:t>
            </w:r>
          </w:p>
        </w:tc>
      </w:tr>
    </w:tbl>
    <w:p/>
    <w:p>
      <w:pPr>
        <w:pStyle w:val="TableCaption"/>
      </w:pPr>
      <w:r>
        <w:rPr>
          <w:bCs/>
          <w:b/>
        </w:rPr>
        <w:t xml:space="preserve">Table S4.</w:t>
      </w:r>
      <w:r>
        <w:rPr/>
        <w:t xml:space="preserve"> </w:t>
      </w:r>
      <w:r>
        <w:rPr/>
        <w:t xml:space="preserve">Joint 2+4 dpi task. Configurations with three complete seeds are shown as mean ± SD. The plain multimodal model has two complete seeds only (seed 357 contains a single fold); these are shown individually and are not summarised over seeds.</w:t>
      </w:r>
    </w:p>
    <w:tbl>
      <w:tblPr>
        <w:tblCaption w:val="Table S4. Joint 2+4 dpi task. Configurations with three complete seeds are shown as mean ± SD. The plain multimodal model has two complete seeds only (seed 357 contains a single fold); these are shown individually and are not summarised over seeds."/>
        <w:tblW w:w="12702" w:type="dxa"/>
        <w:jc w:val="center"/>
        <w:tblBorders>
          <w:top w:val="single" w:sz="10" w:space="0" w:color="000000"/>
          <w:left w:val="nil"/>
          <w:bottom w:val="single" w:sz="10" w:space="0" w:color="000000"/>
          <w:right w:val="nil"/>
          <w:insideH w:val="nil"/>
          <w:insideV w:val="nil"/>
        </w:tblBorders>
        <w:tblLayout w:type="fixed"/>
        <w:tblCellMar>
          <w:top w:w="35" w:type="dxa"/>
          <w:left w:w="70" w:type="dxa"/>
          <w:bottom w:w="35" w:type="dxa"/>
          <w:right w:w="70" w:type="dxa"/>
        </w:tblCellMar>
      </w:tblPr>
      <w:tblGrid>
        <w:gridCol w:w="3175"/>
        <w:gridCol w:w="1361"/>
        <w:gridCol w:w="1361"/>
        <w:gridCol w:w="1361"/>
        <w:gridCol w:w="1361"/>
        <w:gridCol w:w="1361"/>
        <w:gridCol w:w="1361"/>
        <w:gridCol w:w="1361"/>
      </w:tblGrid>
      <w:tr>
        <w:trPr>
          <w:tblHeader w:val="true"/>
          <w:cantSplit/>
          <w:tblHeader/>
        </w:trPr>
        <w:tc>
          <w:tcPr>
            <w:tcW w:w="3175" w:type="dxa"/>
            <w:tcBorders>
              <w:bottom w:val="single" w:sz="5" w:space="0" w:color="000000"/>
            </w:tcBorders>
            <w:vAlign w:val="center"/>
          </w:tcPr>
          <w:p>
            <w:pPr>
              <w:pStyle w:val="Compact"/>
              <w:spacing w:before="0" w:after="60" w:line="240" w:lineRule="auto"/>
              <w:jc w:val="left"/>
            </w:pPr>
            <w:r>
              <w:rPr>
                <w:b/>
                <w:sz w:val="18"/>
              </w:rPr>
              <w:t xml:space="preserve">Configuration</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Accuracy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BA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AUROC</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F1</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Precision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Sensitivity (%)</w:t>
            </w:r>
          </w:p>
        </w:tc>
        <w:tc>
          <w:tcPr>
            <w:tcW w:w="1361" w:type="dxa"/>
            <w:tcBorders>
              <w:bottom w:val="single" w:sz="5" w:space="0" w:color="000000"/>
            </w:tcBorders>
            <w:vAlign w:val="center"/>
          </w:tcPr>
          <w:p>
            <w:pPr>
              <w:pStyle w:val="Compact"/>
              <w:spacing w:before="0" w:after="60" w:line="240" w:lineRule="auto"/>
              <w:jc w:val="center"/>
            </w:pPr>
            <w:r>
              <w:rPr>
                <w:b/>
                <w:sz w:val="18"/>
              </w:rPr>
              <w:t xml:space="preserve">Specificity (%)</w:t>
            </w:r>
          </w:p>
        </w:tc>
      </w:tr>
      <w:tr>
        <w:trPr>
          <w:cantSplit/>
        </w:trPr>
        <w:tc>
          <w:tcPr>
            <w:tcW w:w="3175" w:type="dxa"/>
          </w:tcPr>
          <w:p>
            <w:pPr>
              <w:pStyle w:val="Compact"/>
              <w:spacing w:before="0" w:after="60" w:line="240" w:lineRule="auto"/>
              <w:jc w:val="left"/>
            </w:pPr>
            <w:r>
              <w:rPr>
                <w:sz w:val="18"/>
              </w:rPr>
              <w:t xml:space="preserve">PSNet</w:t>
            </w:r>
          </w:p>
        </w:tc>
        <w:tc>
          <w:tcPr>
            <w:tcW w:w="1361" w:type="dxa"/>
          </w:tcPr>
          <w:p>
            <w:pPr>
              <w:pStyle w:val="Compact"/>
              <w:spacing w:before="0" w:after="60" w:line="240" w:lineRule="auto"/>
              <w:jc w:val="center"/>
            </w:pPr>
            <w:r>
              <w:rPr>
                <w:sz w:val="18"/>
              </w:rPr>
              <w:t xml:space="preserve">78.47 ± 5.92</w:t>
            </w:r>
          </w:p>
        </w:tc>
        <w:tc>
          <w:tcPr>
            <w:tcW w:w="1361" w:type="dxa"/>
          </w:tcPr>
          <w:p>
            <w:pPr>
              <w:pStyle w:val="Compact"/>
              <w:spacing w:before="0" w:after="60" w:line="240" w:lineRule="auto"/>
              <w:jc w:val="center"/>
            </w:pPr>
            <w:r>
              <w:rPr>
                <w:sz w:val="18"/>
              </w:rPr>
              <w:t xml:space="preserve">74.07 ± 5.21</w:t>
            </w:r>
          </w:p>
        </w:tc>
        <w:tc>
          <w:tcPr>
            <w:tcW w:w="1361" w:type="dxa"/>
          </w:tcPr>
          <w:p>
            <w:pPr>
              <w:pStyle w:val="Compact"/>
              <w:spacing w:before="0" w:after="60" w:line="240" w:lineRule="auto"/>
              <w:jc w:val="center"/>
            </w:pPr>
            <w:r>
              <w:rPr>
                <w:sz w:val="18"/>
              </w:rPr>
              <w:t xml:space="preserve">0.821 ± 0.064</w:t>
            </w:r>
          </w:p>
        </w:tc>
        <w:tc>
          <w:tcPr>
            <w:tcW w:w="1361" w:type="dxa"/>
          </w:tcPr>
          <w:p>
            <w:pPr>
              <w:pStyle w:val="Compact"/>
              <w:spacing w:before="0" w:after="60" w:line="240" w:lineRule="auto"/>
              <w:jc w:val="center"/>
            </w:pPr>
            <w:r>
              <w:rPr>
                <w:sz w:val="18"/>
              </w:rPr>
              <w:t xml:space="preserve">0.851 ± 0.046</w:t>
            </w:r>
          </w:p>
        </w:tc>
        <w:tc>
          <w:tcPr>
            <w:tcW w:w="1361" w:type="dxa"/>
          </w:tcPr>
          <w:p>
            <w:pPr>
              <w:pStyle w:val="Compact"/>
              <w:spacing w:before="0" w:after="60" w:line="240" w:lineRule="auto"/>
              <w:jc w:val="center"/>
            </w:pPr>
            <w:r>
              <w:rPr>
                <w:sz w:val="18"/>
              </w:rPr>
              <w:t xml:space="preserve">87.68 ± 2.16</w:t>
            </w:r>
          </w:p>
        </w:tc>
        <w:tc>
          <w:tcPr>
            <w:tcW w:w="1361" w:type="dxa"/>
          </w:tcPr>
          <w:p>
            <w:pPr>
              <w:pStyle w:val="Compact"/>
              <w:spacing w:before="0" w:after="60" w:line="240" w:lineRule="auto"/>
              <w:jc w:val="center"/>
            </w:pPr>
            <w:r>
              <w:rPr>
                <w:sz w:val="18"/>
              </w:rPr>
              <w:t xml:space="preserve">82.87 ± 6.85</w:t>
            </w:r>
          </w:p>
        </w:tc>
        <w:tc>
          <w:tcPr>
            <w:tcW w:w="1361" w:type="dxa"/>
          </w:tcPr>
          <w:p>
            <w:pPr>
              <w:pStyle w:val="Compact"/>
              <w:spacing w:before="0" w:after="60" w:line="240" w:lineRule="auto"/>
              <w:jc w:val="center"/>
            </w:pPr>
            <w:r>
              <w:rPr>
                <w:sz w:val="18"/>
              </w:rPr>
              <w:t xml:space="preserve">65.28 ± 4.81</w:t>
            </w:r>
          </w:p>
        </w:tc>
      </w:tr>
      <w:tr>
        <w:trPr>
          <w:cantSplit/>
        </w:trPr>
        <w:tc>
          <w:tcPr>
            <w:tcW w:w="3175" w:type="dxa"/>
          </w:tcPr>
          <w:p>
            <w:pPr>
              <w:pStyle w:val="Compact"/>
              <w:spacing w:before="0" w:after="60" w:line="240" w:lineRule="auto"/>
              <w:jc w:val="left"/>
            </w:pPr>
            <w:r>
              <w:rPr>
                <w:sz w:val="18"/>
              </w:rPr>
              <w:t xml:space="preserve">CAF disabled</w:t>
            </w:r>
          </w:p>
        </w:tc>
        <w:tc>
          <w:tcPr>
            <w:tcW w:w="1361" w:type="dxa"/>
          </w:tcPr>
          <w:p>
            <w:pPr>
              <w:pStyle w:val="Compact"/>
              <w:spacing w:before="0" w:after="60" w:line="240" w:lineRule="auto"/>
              <w:jc w:val="center"/>
            </w:pPr>
            <w:r>
              <w:rPr>
                <w:sz w:val="18"/>
              </w:rPr>
              <w:t xml:space="preserve">79.17 ± 2.08</w:t>
            </w:r>
          </w:p>
        </w:tc>
        <w:tc>
          <w:tcPr>
            <w:tcW w:w="1361" w:type="dxa"/>
          </w:tcPr>
          <w:p>
            <w:pPr>
              <w:pStyle w:val="Compact"/>
              <w:spacing w:before="0" w:after="60" w:line="240" w:lineRule="auto"/>
              <w:jc w:val="center"/>
            </w:pPr>
            <w:r>
              <w:rPr>
                <w:sz w:val="18"/>
              </w:rPr>
              <w:t xml:space="preserve">79.17 ± 1.39</w:t>
            </w:r>
          </w:p>
        </w:tc>
        <w:tc>
          <w:tcPr>
            <w:tcW w:w="1361" w:type="dxa"/>
          </w:tcPr>
          <w:p>
            <w:pPr>
              <w:pStyle w:val="Compact"/>
              <w:spacing w:before="0" w:after="60" w:line="240" w:lineRule="auto"/>
              <w:jc w:val="center"/>
            </w:pPr>
            <w:r>
              <w:rPr>
                <w:sz w:val="18"/>
              </w:rPr>
              <w:t xml:space="preserve">0.865 ± 0.033</w:t>
            </w:r>
          </w:p>
        </w:tc>
        <w:tc>
          <w:tcPr>
            <w:tcW w:w="1361" w:type="dxa"/>
          </w:tcPr>
          <w:p>
            <w:pPr>
              <w:pStyle w:val="Compact"/>
              <w:spacing w:before="0" w:after="60" w:line="240" w:lineRule="auto"/>
              <w:jc w:val="center"/>
            </w:pPr>
            <w:r>
              <w:rPr>
                <w:sz w:val="18"/>
              </w:rPr>
              <w:t xml:space="preserve">0.850 ± 0.020</w:t>
            </w:r>
          </w:p>
        </w:tc>
        <w:tc>
          <w:tcPr>
            <w:tcW w:w="1361" w:type="dxa"/>
          </w:tcPr>
          <w:p>
            <w:pPr>
              <w:pStyle w:val="Compact"/>
              <w:spacing w:before="0" w:after="60" w:line="240" w:lineRule="auto"/>
              <w:jc w:val="center"/>
            </w:pPr>
            <w:r>
              <w:rPr>
                <w:sz w:val="18"/>
              </w:rPr>
              <w:t xml:space="preserve">92.05 ± 2.03</w:t>
            </w:r>
          </w:p>
        </w:tc>
        <w:tc>
          <w:tcPr>
            <w:tcW w:w="1361" w:type="dxa"/>
          </w:tcPr>
          <w:p>
            <w:pPr>
              <w:pStyle w:val="Compact"/>
              <w:spacing w:before="0" w:after="60" w:line="240" w:lineRule="auto"/>
              <w:jc w:val="center"/>
            </w:pPr>
            <w:r>
              <w:rPr>
                <w:sz w:val="18"/>
              </w:rPr>
              <w:t xml:space="preserve">79.17 ± 5.01</w:t>
            </w:r>
          </w:p>
        </w:tc>
        <w:tc>
          <w:tcPr>
            <w:tcW w:w="1361" w:type="dxa"/>
          </w:tcPr>
          <w:p>
            <w:pPr>
              <w:pStyle w:val="Compact"/>
              <w:spacing w:before="0" w:after="60" w:line="240" w:lineRule="auto"/>
              <w:jc w:val="center"/>
            </w:pPr>
            <w:r>
              <w:rPr>
                <w:sz w:val="18"/>
              </w:rPr>
              <w:t xml:space="preserve">79.17 ± 7.22</w:t>
            </w:r>
          </w:p>
        </w:tc>
      </w:tr>
      <w:tr>
        <w:trPr>
          <w:cantSplit/>
        </w:trPr>
        <w:tc>
          <w:tcPr>
            <w:tcW w:w="3175" w:type="dxa"/>
          </w:tcPr>
          <w:p>
            <w:pPr>
              <w:pStyle w:val="Compact"/>
              <w:spacing w:before="0" w:after="60" w:line="240" w:lineRule="auto"/>
              <w:jc w:val="left"/>
            </w:pPr>
            <w:r>
              <w:rPr>
                <w:sz w:val="18"/>
              </w:rPr>
              <w:t xml:space="preserve">Mean patch token (replaces wavelet token)</w:t>
            </w:r>
          </w:p>
        </w:tc>
        <w:tc>
          <w:tcPr>
            <w:tcW w:w="1361" w:type="dxa"/>
          </w:tcPr>
          <w:p>
            <w:pPr>
              <w:pStyle w:val="Compact"/>
              <w:spacing w:before="0" w:after="60" w:line="240" w:lineRule="auto"/>
              <w:jc w:val="center"/>
            </w:pPr>
            <w:r>
              <w:rPr>
                <w:sz w:val="18"/>
              </w:rPr>
              <w:t xml:space="preserve">79.86 ± 6.28</w:t>
            </w:r>
          </w:p>
        </w:tc>
        <w:tc>
          <w:tcPr>
            <w:tcW w:w="1361" w:type="dxa"/>
          </w:tcPr>
          <w:p>
            <w:pPr>
              <w:pStyle w:val="Compact"/>
              <w:spacing w:before="0" w:after="60" w:line="240" w:lineRule="auto"/>
              <w:jc w:val="center"/>
            </w:pPr>
            <w:r>
              <w:rPr>
                <w:sz w:val="18"/>
              </w:rPr>
              <w:t xml:space="preserve">75.46 ± 3.13</w:t>
            </w:r>
          </w:p>
        </w:tc>
        <w:tc>
          <w:tcPr>
            <w:tcW w:w="1361" w:type="dxa"/>
          </w:tcPr>
          <w:p>
            <w:pPr>
              <w:pStyle w:val="Compact"/>
              <w:spacing w:before="0" w:after="60" w:line="240" w:lineRule="auto"/>
              <w:jc w:val="center"/>
            </w:pPr>
            <w:r>
              <w:rPr>
                <w:sz w:val="18"/>
              </w:rPr>
              <w:t xml:space="preserve">0.863 ± 0.042</w:t>
            </w:r>
          </w:p>
        </w:tc>
        <w:tc>
          <w:tcPr>
            <w:tcW w:w="1361" w:type="dxa"/>
          </w:tcPr>
          <w:p>
            <w:pPr>
              <w:pStyle w:val="Compact"/>
              <w:spacing w:before="0" w:after="60" w:line="240" w:lineRule="auto"/>
              <w:jc w:val="center"/>
            </w:pPr>
            <w:r>
              <w:rPr>
                <w:sz w:val="18"/>
              </w:rPr>
              <w:t xml:space="preserve">0.860 ± 0.053</w:t>
            </w:r>
          </w:p>
        </w:tc>
        <w:tc>
          <w:tcPr>
            <w:tcW w:w="1361" w:type="dxa"/>
          </w:tcPr>
          <w:p>
            <w:pPr>
              <w:pStyle w:val="Compact"/>
              <w:spacing w:before="0" w:after="60" w:line="240" w:lineRule="auto"/>
              <w:jc w:val="center"/>
            </w:pPr>
            <w:r>
              <w:rPr>
                <w:sz w:val="18"/>
              </w:rPr>
              <w:t xml:space="preserve">88.55 ± 2.57</w:t>
            </w:r>
          </w:p>
        </w:tc>
        <w:tc>
          <w:tcPr>
            <w:tcW w:w="1361" w:type="dxa"/>
          </w:tcPr>
          <w:p>
            <w:pPr>
              <w:pStyle w:val="Compact"/>
              <w:spacing w:before="0" w:after="60" w:line="240" w:lineRule="auto"/>
              <w:jc w:val="center"/>
            </w:pPr>
            <w:r>
              <w:rPr>
                <w:sz w:val="18"/>
              </w:rPr>
              <w:t xml:space="preserve">84.26 ± 11.23</w:t>
            </w:r>
          </w:p>
        </w:tc>
        <w:tc>
          <w:tcPr>
            <w:tcW w:w="1361" w:type="dxa"/>
          </w:tcPr>
          <w:p>
            <w:pPr>
              <w:pStyle w:val="Compact"/>
              <w:spacing w:before="0" w:after="60" w:line="240" w:lineRule="auto"/>
              <w:jc w:val="center"/>
            </w:pPr>
            <w:r>
              <w:rPr>
                <w:sz w:val="18"/>
              </w:rPr>
              <w:t xml:space="preserve">66.67 ± 11.02</w:t>
            </w:r>
          </w:p>
        </w:tc>
      </w:tr>
      <w:tr>
        <w:trPr>
          <w:cantSplit/>
        </w:trPr>
        <w:tc>
          <w:tcPr>
            <w:tcW w:w="3175" w:type="dxa"/>
          </w:tcPr>
          <w:p>
            <w:pPr>
              <w:pStyle w:val="Compact"/>
              <w:spacing w:before="0" w:after="60" w:line="240" w:lineRule="auto"/>
              <w:jc w:val="left"/>
            </w:pPr>
            <w:r>
              <w:rPr>
                <w:sz w:val="18"/>
              </w:rPr>
              <w:t xml:space="preserve">Alternative 2D tokenisation</w:t>
            </w:r>
          </w:p>
        </w:tc>
        <w:tc>
          <w:tcPr>
            <w:tcW w:w="1361" w:type="dxa"/>
          </w:tcPr>
          <w:p>
            <w:pPr>
              <w:pStyle w:val="Compact"/>
              <w:spacing w:before="0" w:after="60" w:line="240" w:lineRule="auto"/>
              <w:jc w:val="center"/>
            </w:pPr>
            <w:r>
              <w:rPr>
                <w:sz w:val="18"/>
              </w:rPr>
              <w:t xml:space="preserve">77.08 ± 4.54</w:t>
            </w:r>
          </w:p>
        </w:tc>
        <w:tc>
          <w:tcPr>
            <w:tcW w:w="1361" w:type="dxa"/>
          </w:tcPr>
          <w:p>
            <w:pPr>
              <w:pStyle w:val="Compact"/>
              <w:spacing w:before="0" w:after="60" w:line="240" w:lineRule="auto"/>
              <w:jc w:val="center"/>
            </w:pPr>
            <w:r>
              <w:rPr>
                <w:sz w:val="18"/>
              </w:rPr>
              <w:t xml:space="preserve">79.17 ± 4.34</w:t>
            </w:r>
          </w:p>
        </w:tc>
        <w:tc>
          <w:tcPr>
            <w:tcW w:w="1361" w:type="dxa"/>
          </w:tcPr>
          <w:p>
            <w:pPr>
              <w:pStyle w:val="Compact"/>
              <w:spacing w:before="0" w:after="60" w:line="240" w:lineRule="auto"/>
              <w:jc w:val="center"/>
            </w:pPr>
            <w:r>
              <w:rPr>
                <w:sz w:val="18"/>
              </w:rPr>
              <w:t xml:space="preserve">0.859 ± 0.039</w:t>
            </w:r>
          </w:p>
        </w:tc>
        <w:tc>
          <w:tcPr>
            <w:tcW w:w="1361" w:type="dxa"/>
          </w:tcPr>
          <w:p>
            <w:pPr>
              <w:pStyle w:val="Compact"/>
              <w:spacing w:before="0" w:after="60" w:line="240" w:lineRule="auto"/>
              <w:jc w:val="center"/>
            </w:pPr>
            <w:r>
              <w:rPr>
                <w:sz w:val="18"/>
              </w:rPr>
              <w:t xml:space="preserve">0.830 ± 0.040</w:t>
            </w:r>
          </w:p>
        </w:tc>
        <w:tc>
          <w:tcPr>
            <w:tcW w:w="1361" w:type="dxa"/>
          </w:tcPr>
          <w:p>
            <w:pPr>
              <w:pStyle w:val="Compact"/>
              <w:spacing w:before="0" w:after="60" w:line="240" w:lineRule="auto"/>
              <w:jc w:val="center"/>
            </w:pPr>
            <w:r>
              <w:rPr>
                <w:sz w:val="18"/>
              </w:rPr>
              <w:t xml:space="preserve">93.19 ± 3.00</w:t>
            </w:r>
          </w:p>
        </w:tc>
        <w:tc>
          <w:tcPr>
            <w:tcW w:w="1361" w:type="dxa"/>
          </w:tcPr>
          <w:p>
            <w:pPr>
              <w:pStyle w:val="Compact"/>
              <w:spacing w:before="0" w:after="60" w:line="240" w:lineRule="auto"/>
              <w:jc w:val="center"/>
            </w:pPr>
            <w:r>
              <w:rPr>
                <w:sz w:val="18"/>
              </w:rPr>
              <w:t xml:space="preserve">75.00 ± 6.36</w:t>
            </w:r>
          </w:p>
        </w:tc>
        <w:tc>
          <w:tcPr>
            <w:tcW w:w="1361" w:type="dxa"/>
          </w:tcPr>
          <w:p>
            <w:pPr>
              <w:pStyle w:val="Compact"/>
              <w:spacing w:before="0" w:after="60" w:line="240" w:lineRule="auto"/>
              <w:jc w:val="center"/>
            </w:pPr>
            <w:r>
              <w:rPr>
                <w:sz w:val="18"/>
              </w:rPr>
              <w:t xml:space="preserve">83.33 ± 8.33</w:t>
            </w:r>
          </w:p>
        </w:tc>
      </w:tr>
      <w:tr>
        <w:trPr>
          <w:cantSplit/>
        </w:trPr>
        <w:tc>
          <w:tcPr>
            <w:tcW w:w="3175" w:type="dxa"/>
          </w:tcPr>
          <w:p>
            <w:pPr>
              <w:pStyle w:val="Compact"/>
              <w:spacing w:before="0" w:after="60" w:line="240" w:lineRule="auto"/>
              <w:jc w:val="left"/>
            </w:pPr>
            <w:r>
              <w:rPr>
                <w:sz w:val="18"/>
              </w:rPr>
              <w:t xml:space="preserve">Learnable CLS token</w:t>
            </w:r>
          </w:p>
        </w:tc>
        <w:tc>
          <w:tcPr>
            <w:tcW w:w="1361" w:type="dxa"/>
          </w:tcPr>
          <w:p>
            <w:pPr>
              <w:pStyle w:val="Compact"/>
              <w:spacing w:before="0" w:after="60" w:line="240" w:lineRule="auto"/>
              <w:jc w:val="center"/>
            </w:pPr>
            <w:r>
              <w:rPr>
                <w:sz w:val="18"/>
              </w:rPr>
              <w:t xml:space="preserve">81.60 ± 3.66</w:t>
            </w:r>
          </w:p>
        </w:tc>
        <w:tc>
          <w:tcPr>
            <w:tcW w:w="1361" w:type="dxa"/>
          </w:tcPr>
          <w:p>
            <w:pPr>
              <w:pStyle w:val="Compact"/>
              <w:spacing w:before="0" w:after="60" w:line="240" w:lineRule="auto"/>
              <w:jc w:val="center"/>
            </w:pPr>
            <w:r>
              <w:rPr>
                <w:sz w:val="18"/>
              </w:rPr>
              <w:t xml:space="preserve">74.31 ± 4.34</w:t>
            </w:r>
          </w:p>
        </w:tc>
        <w:tc>
          <w:tcPr>
            <w:tcW w:w="1361" w:type="dxa"/>
          </w:tcPr>
          <w:p>
            <w:pPr>
              <w:pStyle w:val="Compact"/>
              <w:spacing w:before="0" w:after="60" w:line="240" w:lineRule="auto"/>
              <w:jc w:val="center"/>
            </w:pPr>
            <w:r>
              <w:rPr>
                <w:sz w:val="18"/>
              </w:rPr>
              <w:t xml:space="preserve">0.840 ± 0.073</w:t>
            </w:r>
          </w:p>
        </w:tc>
        <w:tc>
          <w:tcPr>
            <w:tcW w:w="1361" w:type="dxa"/>
          </w:tcPr>
          <w:p>
            <w:pPr>
              <w:pStyle w:val="Compact"/>
              <w:spacing w:before="0" w:after="60" w:line="240" w:lineRule="auto"/>
              <w:jc w:val="center"/>
            </w:pPr>
            <w:r>
              <w:rPr>
                <w:sz w:val="18"/>
              </w:rPr>
              <w:t xml:space="preserve">0.878 ± 0.027</w:t>
            </w:r>
          </w:p>
        </w:tc>
        <w:tc>
          <w:tcPr>
            <w:tcW w:w="1361" w:type="dxa"/>
          </w:tcPr>
          <w:p>
            <w:pPr>
              <w:pStyle w:val="Compact"/>
              <w:spacing w:before="0" w:after="60" w:line="240" w:lineRule="auto"/>
              <w:jc w:val="center"/>
            </w:pPr>
            <w:r>
              <w:rPr>
                <w:sz w:val="18"/>
              </w:rPr>
              <w:t xml:space="preserve">86.92 ± 2.29</w:t>
            </w:r>
          </w:p>
        </w:tc>
        <w:tc>
          <w:tcPr>
            <w:tcW w:w="1361" w:type="dxa"/>
          </w:tcPr>
          <w:p>
            <w:pPr>
              <w:pStyle w:val="Compact"/>
              <w:spacing w:before="0" w:after="60" w:line="240" w:lineRule="auto"/>
              <w:jc w:val="center"/>
            </w:pPr>
            <w:r>
              <w:rPr>
                <w:sz w:val="18"/>
              </w:rPr>
              <w:t xml:space="preserve">88.89 ± 4.81</w:t>
            </w:r>
          </w:p>
        </w:tc>
        <w:tc>
          <w:tcPr>
            <w:tcW w:w="1361" w:type="dxa"/>
          </w:tcPr>
          <w:p>
            <w:pPr>
              <w:pStyle w:val="Compact"/>
              <w:spacing w:before="0" w:after="60" w:line="240" w:lineRule="auto"/>
              <w:jc w:val="center"/>
            </w:pPr>
            <w:r>
              <w:rPr>
                <w:sz w:val="18"/>
              </w:rPr>
              <w:t xml:space="preserve">59.72 ± 8.67</w:t>
            </w:r>
          </w:p>
        </w:tc>
      </w:tr>
      <w:tr>
        <w:trPr>
          <w:cantSplit/>
        </w:trPr>
        <w:tc>
          <w:tcPr>
            <w:tcW w:w="3175" w:type="dxa"/>
          </w:tcPr>
          <w:p>
            <w:pPr>
              <w:pStyle w:val="Compact"/>
              <w:spacing w:before="0" w:after="60" w:line="240" w:lineRule="auto"/>
              <w:jc w:val="left"/>
            </w:pPr>
            <w:r>
              <w:rPr>
                <w:sz w:val="18"/>
              </w:rPr>
              <w:t xml:space="preserve">Plain multimodal, seed 157 only</w:t>
            </w:r>
          </w:p>
        </w:tc>
        <w:tc>
          <w:tcPr>
            <w:tcW w:w="1361" w:type="dxa"/>
          </w:tcPr>
          <w:p>
            <w:pPr>
              <w:pStyle w:val="Compact"/>
              <w:spacing w:before="0" w:after="60" w:line="240" w:lineRule="auto"/>
              <w:jc w:val="center"/>
            </w:pPr>
            <w:r>
              <w:rPr>
                <w:sz w:val="18"/>
              </w:rPr>
              <w:t xml:space="preserve">78.12</w:t>
            </w:r>
          </w:p>
        </w:tc>
        <w:tc>
          <w:tcPr>
            <w:tcW w:w="1361" w:type="dxa"/>
          </w:tcPr>
          <w:p>
            <w:pPr>
              <w:pStyle w:val="Compact"/>
              <w:spacing w:before="0" w:after="60" w:line="240" w:lineRule="auto"/>
              <w:jc w:val="center"/>
            </w:pPr>
            <w:r>
              <w:rPr>
                <w:sz w:val="18"/>
              </w:rPr>
              <w:t xml:space="preserve">72.92</w:t>
            </w:r>
          </w:p>
        </w:tc>
        <w:tc>
          <w:tcPr>
            <w:tcW w:w="1361" w:type="dxa"/>
          </w:tcPr>
          <w:p>
            <w:pPr>
              <w:pStyle w:val="Compact"/>
              <w:spacing w:before="0" w:after="60" w:line="240" w:lineRule="auto"/>
              <w:jc w:val="center"/>
            </w:pPr>
            <w:r>
              <w:rPr>
                <w:sz w:val="18"/>
              </w:rPr>
              <w:t xml:space="preserve">0.782</w:t>
            </w:r>
          </w:p>
        </w:tc>
        <w:tc>
          <w:tcPr>
            <w:tcW w:w="1361" w:type="dxa"/>
          </w:tcPr>
          <w:p>
            <w:pPr>
              <w:pStyle w:val="Compact"/>
              <w:spacing w:before="0" w:after="60" w:line="240" w:lineRule="auto"/>
              <w:jc w:val="center"/>
            </w:pPr>
            <w:r>
              <w:rPr>
                <w:sz w:val="18"/>
              </w:rPr>
              <w:t xml:space="preserve">0.851</w:t>
            </w:r>
          </w:p>
        </w:tc>
        <w:tc>
          <w:tcPr>
            <w:tcW w:w="1361" w:type="dxa"/>
          </w:tcPr>
          <w:p>
            <w:pPr>
              <w:pStyle w:val="Compact"/>
              <w:spacing w:before="0" w:after="60" w:line="240" w:lineRule="auto"/>
              <w:jc w:val="center"/>
            </w:pPr>
            <w:r>
              <w:rPr>
                <w:sz w:val="18"/>
              </w:rPr>
              <w:t xml:space="preserve">86.96</w:t>
            </w:r>
          </w:p>
        </w:tc>
        <w:tc>
          <w:tcPr>
            <w:tcW w:w="1361" w:type="dxa"/>
          </w:tcPr>
          <w:p>
            <w:pPr>
              <w:pStyle w:val="Compact"/>
              <w:spacing w:before="0" w:after="60" w:line="240" w:lineRule="auto"/>
              <w:jc w:val="center"/>
            </w:pPr>
            <w:r>
              <w:rPr>
                <w:sz w:val="18"/>
              </w:rPr>
              <w:t xml:space="preserve">83.33</w:t>
            </w:r>
          </w:p>
        </w:tc>
        <w:tc>
          <w:tcPr>
            <w:tcW w:w="1361" w:type="dxa"/>
          </w:tcPr>
          <w:p>
            <w:pPr>
              <w:pStyle w:val="Compact"/>
              <w:spacing w:before="0" w:after="60" w:line="240" w:lineRule="auto"/>
              <w:jc w:val="center"/>
            </w:pPr>
            <w:r>
              <w:rPr>
                <w:sz w:val="18"/>
              </w:rPr>
              <w:t xml:space="preserve">62.50</w:t>
            </w:r>
          </w:p>
        </w:tc>
      </w:tr>
      <w:tr>
        <w:trPr>
          <w:cantSplit/>
        </w:trPr>
        <w:tc>
          <w:tcPr>
            <w:tcW w:w="3175" w:type="dxa"/>
          </w:tcPr>
          <w:p>
            <w:pPr>
              <w:pStyle w:val="Compact"/>
              <w:spacing w:before="0" w:after="60" w:line="240" w:lineRule="auto"/>
              <w:jc w:val="left"/>
            </w:pPr>
            <w:r>
              <w:rPr>
                <w:sz w:val="18"/>
              </w:rPr>
              <w:t xml:space="preserve">Plain multimodal, seed 257 only</w:t>
            </w:r>
          </w:p>
        </w:tc>
        <w:tc>
          <w:tcPr>
            <w:tcW w:w="1361" w:type="dxa"/>
          </w:tcPr>
          <w:p>
            <w:pPr>
              <w:pStyle w:val="Compact"/>
              <w:spacing w:before="0" w:after="60" w:line="240" w:lineRule="auto"/>
              <w:jc w:val="center"/>
            </w:pPr>
            <w:r>
              <w:rPr>
                <w:sz w:val="18"/>
              </w:rPr>
              <w:t xml:space="preserve">81.25</w:t>
            </w:r>
          </w:p>
        </w:tc>
        <w:tc>
          <w:tcPr>
            <w:tcW w:w="1361" w:type="dxa"/>
          </w:tcPr>
          <w:p>
            <w:pPr>
              <w:pStyle w:val="Compact"/>
              <w:spacing w:before="0" w:after="60" w:line="240" w:lineRule="auto"/>
              <w:jc w:val="center"/>
            </w:pPr>
            <w:r>
              <w:rPr>
                <w:sz w:val="18"/>
              </w:rPr>
              <w:t xml:space="preserve">75.00</w:t>
            </w:r>
          </w:p>
        </w:tc>
        <w:tc>
          <w:tcPr>
            <w:tcW w:w="1361" w:type="dxa"/>
          </w:tcPr>
          <w:p>
            <w:pPr>
              <w:pStyle w:val="Compact"/>
              <w:spacing w:before="0" w:after="60" w:line="240" w:lineRule="auto"/>
              <w:jc w:val="center"/>
            </w:pPr>
            <w:r>
              <w:rPr>
                <w:sz w:val="18"/>
              </w:rPr>
              <w:t xml:space="preserve">0.830</w:t>
            </w:r>
          </w:p>
        </w:tc>
        <w:tc>
          <w:tcPr>
            <w:tcW w:w="1361" w:type="dxa"/>
          </w:tcPr>
          <w:p>
            <w:pPr>
              <w:pStyle w:val="Compact"/>
              <w:spacing w:before="0" w:after="60" w:line="240" w:lineRule="auto"/>
              <w:jc w:val="center"/>
            </w:pPr>
            <w:r>
              <w:rPr>
                <w:sz w:val="18"/>
              </w:rPr>
              <w:t xml:space="preserve">0.875</w:t>
            </w:r>
          </w:p>
        </w:tc>
        <w:tc>
          <w:tcPr>
            <w:tcW w:w="1361" w:type="dxa"/>
          </w:tcPr>
          <w:p>
            <w:pPr>
              <w:pStyle w:val="Compact"/>
              <w:spacing w:before="0" w:after="60" w:line="240" w:lineRule="auto"/>
              <w:jc w:val="center"/>
            </w:pPr>
            <w:r>
              <w:rPr>
                <w:sz w:val="18"/>
              </w:rPr>
              <w:t xml:space="preserve">87.50</w:t>
            </w:r>
          </w:p>
        </w:tc>
        <w:tc>
          <w:tcPr>
            <w:tcW w:w="1361" w:type="dxa"/>
          </w:tcPr>
          <w:p>
            <w:pPr>
              <w:pStyle w:val="Compact"/>
              <w:spacing w:before="0" w:after="60" w:line="240" w:lineRule="auto"/>
              <w:jc w:val="center"/>
            </w:pPr>
            <w:r>
              <w:rPr>
                <w:sz w:val="18"/>
              </w:rPr>
              <w:t xml:space="preserve">87.50</w:t>
            </w:r>
          </w:p>
        </w:tc>
        <w:tc>
          <w:tcPr>
            <w:tcW w:w="1361" w:type="dxa"/>
          </w:tcPr>
          <w:p>
            <w:pPr>
              <w:pStyle w:val="Compact"/>
              <w:spacing w:before="0" w:after="60" w:line="240" w:lineRule="auto"/>
              <w:jc w:val="center"/>
            </w:pPr>
            <w:r>
              <w:rPr>
                <w:sz w:val="18"/>
              </w:rPr>
              <w:t xml:space="preserve">62.50</w:t>
            </w:r>
          </w:p>
        </w:tc>
      </w:tr>
    </w:tbl>
    <w:p/>
    <w:p>
      <w:pPr>
        <w:pStyle w:val="TableCaption"/>
      </w:pPr>
      <w:r>
        <w:rPr/>
        <w:t>Table S5. PSNet plant-level confusion counts per seed (positive class: inoculated). Counts for all listed tasks were recomputed from complete five-fold archived predictions, after averaging probabilities within plants and thresholding at 0.5. TP, inoculated plants correctly classified; FN, inoculated plants missed; TN, mock plants correctly classified; FP, mock plants classified as inoculated.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pPr>
              <w:spacing w:after="60" w:line="240" w:lineRule="auto"/>
            </w:pPr>
            <w:r>
              <w:rPr>
                <w:b/>
                <w:sz w:val="18"/>
              </w:rPr>
              <w:t>Task</w:t>
            </w:r>
          </w:p>
        </w:tc>
        <w:tc>
          <w:tcPr>
            <w:tcW w:type="dxa" w:w="1440"/>
          </w:tcPr>
          <w:p>
            <w:pPr>
              <w:spacing w:after="60" w:line="240" w:lineRule="auto"/>
            </w:pPr>
            <w:r>
              <w:rPr>
                <w:b/>
                <w:sz w:val="18"/>
              </w:rPr>
              <w:t>Seed</w:t>
            </w:r>
          </w:p>
        </w:tc>
        <w:tc>
          <w:tcPr>
            <w:tcW w:type="dxa" w:w="1440"/>
          </w:tcPr>
          <w:p>
            <w:pPr>
              <w:spacing w:after="60" w:line="240" w:lineRule="auto"/>
            </w:pPr>
            <w:r>
              <w:rPr>
                <w:b/>
                <w:sz w:val="18"/>
              </w:rPr>
              <w:t>TP</w:t>
            </w:r>
          </w:p>
        </w:tc>
        <w:tc>
          <w:tcPr>
            <w:tcW w:type="dxa" w:w="1440"/>
          </w:tcPr>
          <w:p>
            <w:pPr>
              <w:spacing w:after="60" w:line="240" w:lineRule="auto"/>
            </w:pPr>
            <w:r>
              <w:rPr>
                <w:b/>
                <w:sz w:val="18"/>
              </w:rPr>
              <w:t>FN</w:t>
            </w:r>
          </w:p>
        </w:tc>
        <w:tc>
          <w:tcPr>
            <w:tcW w:type="dxa" w:w="1440"/>
          </w:tcPr>
          <w:p>
            <w:pPr>
              <w:spacing w:after="60" w:line="240" w:lineRule="auto"/>
            </w:pPr>
            <w:r>
              <w:rPr>
                <w:b/>
                <w:sz w:val="18"/>
              </w:rPr>
              <w:t>TN</w:t>
            </w:r>
          </w:p>
        </w:tc>
        <w:tc>
          <w:tcPr>
            <w:tcW w:type="dxa" w:w="1440"/>
          </w:tcPr>
          <w:p>
            <w:pPr>
              <w:spacing w:after="60" w:line="240" w:lineRule="auto"/>
            </w:pPr>
            <w:r>
              <w:rPr>
                <w:b/>
                <w:sz w:val="18"/>
              </w:rPr>
              <w:t>FP</w:t>
            </w:r>
          </w:p>
        </w:tc>
      </w:tr>
      <w:tr>
        <w:tc>
          <w:tcPr>
            <w:tcW w:type="dxa" w:w="1440"/>
          </w:tcPr>
          <w:p>
            <w:pPr>
              <w:spacing w:after="60" w:line="240" w:lineRule="auto"/>
            </w:pPr>
            <w:r>
              <w:rPr>
                <w:b w:val="0"/>
                <w:sz w:val="18"/>
              </w:rPr>
              <w:t>2 dpi</w:t>
            </w:r>
          </w:p>
        </w:tc>
        <w:tc>
          <w:tcPr>
            <w:tcW w:type="dxa" w:w="1440"/>
          </w:tcPr>
          <w:p>
            <w:pPr>
              <w:spacing w:after="60" w:line="240" w:lineRule="auto"/>
            </w:pPr>
            <w:r>
              <w:rPr>
                <w:b w:val="0"/>
                <w:sz w:val="18"/>
              </w:rPr>
              <w:t>157</w:t>
            </w:r>
          </w:p>
        </w:tc>
        <w:tc>
          <w:tcPr>
            <w:tcW w:type="dxa" w:w="1440"/>
          </w:tcPr>
          <w:p>
            <w:pPr>
              <w:spacing w:after="60" w:line="240" w:lineRule="auto"/>
            </w:pPr>
            <w:r>
              <w:rPr>
                <w:b w:val="0"/>
                <w:sz w:val="18"/>
              </w:rPr>
              <w:t>53</w:t>
            </w:r>
          </w:p>
        </w:tc>
        <w:tc>
          <w:tcPr>
            <w:tcW w:type="dxa" w:w="1440"/>
          </w:tcPr>
          <w:p>
            <w:pPr>
              <w:spacing w:after="60" w:line="240" w:lineRule="auto"/>
            </w:pPr>
            <w:r>
              <w:rPr>
                <w:b w:val="0"/>
                <w:sz w:val="18"/>
              </w:rPr>
              <w:t>16</w:t>
            </w:r>
          </w:p>
        </w:tc>
        <w:tc>
          <w:tcPr>
            <w:tcW w:type="dxa" w:w="1440"/>
          </w:tcPr>
          <w:p>
            <w:pPr>
              <w:spacing w:after="60" w:line="240" w:lineRule="auto"/>
            </w:pPr>
            <w:r>
              <w:rPr>
                <w:b w:val="0"/>
                <w:sz w:val="18"/>
              </w:rPr>
              <w:t>7</w:t>
            </w:r>
          </w:p>
        </w:tc>
        <w:tc>
          <w:tcPr>
            <w:tcW w:type="dxa" w:w="1440"/>
          </w:tcPr>
          <w:p>
            <w:pPr>
              <w:spacing w:after="60" w:line="240" w:lineRule="auto"/>
            </w:pPr>
            <w:r>
              <w:rPr>
                <w:b w:val="0"/>
                <w:sz w:val="18"/>
              </w:rPr>
              <w:t>17</w:t>
            </w:r>
          </w:p>
        </w:tc>
      </w:tr>
      <w:tr>
        <w:tc>
          <w:tcPr>
            <w:tcW w:type="dxa" w:w="1440"/>
          </w:tcPr>
          <w:p>
            <w:pPr>
              <w:spacing w:after="60" w:line="240" w:lineRule="auto"/>
            </w:pPr>
            <w:r>
              <w:rPr>
                <w:b w:val="0"/>
                <w:sz w:val="18"/>
              </w:rPr>
              <w:t>2 dpi</w:t>
            </w:r>
          </w:p>
        </w:tc>
        <w:tc>
          <w:tcPr>
            <w:tcW w:type="dxa" w:w="1440"/>
          </w:tcPr>
          <w:p>
            <w:pPr>
              <w:spacing w:after="60" w:line="240" w:lineRule="auto"/>
            </w:pPr>
            <w:r>
              <w:rPr>
                <w:b w:val="0"/>
                <w:sz w:val="18"/>
              </w:rPr>
              <w:t>257</w:t>
            </w:r>
          </w:p>
        </w:tc>
        <w:tc>
          <w:tcPr>
            <w:tcW w:type="dxa" w:w="1440"/>
          </w:tcPr>
          <w:p>
            <w:pPr>
              <w:spacing w:after="60" w:line="240" w:lineRule="auto"/>
            </w:pPr>
            <w:r>
              <w:rPr>
                <w:b w:val="0"/>
                <w:sz w:val="18"/>
              </w:rPr>
              <w:t>64</w:t>
            </w:r>
          </w:p>
        </w:tc>
        <w:tc>
          <w:tcPr>
            <w:tcW w:type="dxa" w:w="1440"/>
          </w:tcPr>
          <w:p>
            <w:pPr>
              <w:spacing w:after="60" w:line="240" w:lineRule="auto"/>
            </w:pPr>
            <w:r>
              <w:rPr>
                <w:b w:val="0"/>
                <w:sz w:val="18"/>
              </w:rPr>
              <w:t>5</w:t>
            </w:r>
          </w:p>
        </w:tc>
        <w:tc>
          <w:tcPr>
            <w:tcW w:type="dxa" w:w="1440"/>
          </w:tcPr>
          <w:p>
            <w:pPr>
              <w:spacing w:after="60" w:line="240" w:lineRule="auto"/>
            </w:pPr>
            <w:r>
              <w:rPr>
                <w:b w:val="0"/>
                <w:sz w:val="18"/>
              </w:rPr>
              <w:t>4</w:t>
            </w:r>
          </w:p>
        </w:tc>
        <w:tc>
          <w:tcPr>
            <w:tcW w:type="dxa" w:w="1440"/>
          </w:tcPr>
          <w:p>
            <w:pPr>
              <w:spacing w:after="60" w:line="240" w:lineRule="auto"/>
            </w:pPr>
            <w:r>
              <w:rPr>
                <w:b w:val="0"/>
                <w:sz w:val="18"/>
              </w:rPr>
              <w:t>20</w:t>
            </w:r>
          </w:p>
        </w:tc>
      </w:tr>
      <w:tr>
        <w:tc>
          <w:tcPr>
            <w:tcW w:type="dxa" w:w="1440"/>
          </w:tcPr>
          <w:p>
            <w:pPr>
              <w:spacing w:after="60" w:line="240" w:lineRule="auto"/>
            </w:pPr>
            <w:r>
              <w:rPr>
                <w:b w:val="0"/>
                <w:sz w:val="18"/>
              </w:rPr>
              <w:t>2 dpi</w:t>
            </w:r>
          </w:p>
        </w:tc>
        <w:tc>
          <w:tcPr>
            <w:tcW w:type="dxa" w:w="1440"/>
          </w:tcPr>
          <w:p>
            <w:pPr>
              <w:spacing w:after="60" w:line="240" w:lineRule="auto"/>
            </w:pPr>
            <w:r>
              <w:rPr>
                <w:b w:val="0"/>
                <w:sz w:val="18"/>
              </w:rPr>
              <w:t>357</w:t>
            </w:r>
          </w:p>
        </w:tc>
        <w:tc>
          <w:tcPr>
            <w:tcW w:type="dxa" w:w="1440"/>
          </w:tcPr>
          <w:p>
            <w:pPr>
              <w:spacing w:after="60" w:line="240" w:lineRule="auto"/>
            </w:pPr>
            <w:r>
              <w:rPr>
                <w:b w:val="0"/>
                <w:sz w:val="18"/>
              </w:rPr>
              <w:t>58</w:t>
            </w:r>
          </w:p>
        </w:tc>
        <w:tc>
          <w:tcPr>
            <w:tcW w:type="dxa" w:w="1440"/>
          </w:tcPr>
          <w:p>
            <w:pPr>
              <w:spacing w:after="60" w:line="240" w:lineRule="auto"/>
            </w:pPr>
            <w:r>
              <w:rPr>
                <w:b w:val="0"/>
                <w:sz w:val="18"/>
              </w:rPr>
              <w:t>11</w:t>
            </w:r>
          </w:p>
        </w:tc>
        <w:tc>
          <w:tcPr>
            <w:tcW w:type="dxa" w:w="1440"/>
          </w:tcPr>
          <w:p>
            <w:pPr>
              <w:spacing w:after="60" w:line="240" w:lineRule="auto"/>
            </w:pPr>
            <w:r>
              <w:rPr>
                <w:b w:val="0"/>
                <w:sz w:val="18"/>
              </w:rPr>
              <w:t>9</w:t>
            </w:r>
          </w:p>
        </w:tc>
        <w:tc>
          <w:tcPr>
            <w:tcW w:type="dxa" w:w="1440"/>
          </w:tcPr>
          <w:p>
            <w:pPr>
              <w:spacing w:after="60" w:line="240" w:lineRule="auto"/>
            </w:pPr>
            <w:r>
              <w:rPr>
                <w:b w:val="0"/>
                <w:sz w:val="18"/>
              </w:rPr>
              <w:t>15</w:t>
            </w:r>
          </w:p>
        </w:tc>
      </w:tr>
      <w:tr>
        <w:tc>
          <w:tcPr>
            <w:tcW w:type="dxa" w:w="1440"/>
          </w:tcPr>
          <w:p>
            <w:pPr>
              <w:spacing w:after="60" w:line="240" w:lineRule="auto"/>
            </w:pPr>
            <w:r>
              <w:rPr>
                <w:b w:val="0"/>
                <w:sz w:val="18"/>
              </w:rPr>
              <w:t>4 dpi</w:t>
            </w:r>
          </w:p>
        </w:tc>
        <w:tc>
          <w:tcPr>
            <w:tcW w:type="dxa" w:w="1440"/>
          </w:tcPr>
          <w:p>
            <w:pPr>
              <w:spacing w:after="60" w:line="240" w:lineRule="auto"/>
            </w:pPr>
            <w:r>
              <w:rPr>
                <w:b w:val="0"/>
                <w:sz w:val="18"/>
              </w:rPr>
              <w:t>157</w:t>
            </w:r>
          </w:p>
        </w:tc>
        <w:tc>
          <w:tcPr>
            <w:tcW w:type="dxa" w:w="1440"/>
          </w:tcPr>
          <w:p>
            <w:pPr>
              <w:spacing w:after="60" w:line="240" w:lineRule="auto"/>
            </w:pPr>
            <w:r>
              <w:rPr>
                <w:b w:val="0"/>
                <w:sz w:val="18"/>
              </w:rPr>
              <w:t>68</w:t>
            </w:r>
          </w:p>
        </w:tc>
        <w:tc>
          <w:tcPr>
            <w:tcW w:type="dxa" w:w="1440"/>
          </w:tcPr>
          <w:p>
            <w:pPr>
              <w:spacing w:after="60" w:line="240" w:lineRule="auto"/>
            </w:pPr>
            <w:r>
              <w:rPr>
                <w:b w:val="0"/>
                <w:sz w:val="18"/>
              </w:rPr>
              <w:t>4</w:t>
            </w:r>
          </w:p>
        </w:tc>
        <w:tc>
          <w:tcPr>
            <w:tcW w:type="dxa" w:w="1440"/>
          </w:tcPr>
          <w:p>
            <w:pPr>
              <w:spacing w:after="60" w:line="240" w:lineRule="auto"/>
            </w:pPr>
            <w:r>
              <w:rPr>
                <w:b w:val="0"/>
                <w:sz w:val="18"/>
              </w:rPr>
              <w:t>17</w:t>
            </w:r>
          </w:p>
        </w:tc>
        <w:tc>
          <w:tcPr>
            <w:tcW w:type="dxa" w:w="1440"/>
          </w:tcPr>
          <w:p>
            <w:pPr>
              <w:spacing w:after="60" w:line="240" w:lineRule="auto"/>
            </w:pPr>
            <w:r>
              <w:rPr>
                <w:b w:val="0"/>
                <w:sz w:val="18"/>
              </w:rPr>
              <w:t>7</w:t>
            </w:r>
          </w:p>
        </w:tc>
      </w:tr>
      <w:tr>
        <w:tc>
          <w:tcPr>
            <w:tcW w:type="dxa" w:w="1440"/>
          </w:tcPr>
          <w:p>
            <w:pPr>
              <w:spacing w:after="60" w:line="240" w:lineRule="auto"/>
            </w:pPr>
            <w:r>
              <w:rPr>
                <w:b w:val="0"/>
                <w:sz w:val="18"/>
              </w:rPr>
              <w:t>4 dpi</w:t>
            </w:r>
          </w:p>
        </w:tc>
        <w:tc>
          <w:tcPr>
            <w:tcW w:type="dxa" w:w="1440"/>
          </w:tcPr>
          <w:p>
            <w:pPr>
              <w:spacing w:after="60" w:line="240" w:lineRule="auto"/>
            </w:pPr>
            <w:r>
              <w:rPr>
                <w:b w:val="0"/>
                <w:sz w:val="18"/>
              </w:rPr>
              <w:t>257</w:t>
            </w:r>
          </w:p>
        </w:tc>
        <w:tc>
          <w:tcPr>
            <w:tcW w:type="dxa" w:w="1440"/>
          </w:tcPr>
          <w:p>
            <w:pPr>
              <w:spacing w:after="60" w:line="240" w:lineRule="auto"/>
            </w:pPr>
            <w:r>
              <w:rPr>
                <w:b w:val="0"/>
                <w:sz w:val="18"/>
              </w:rPr>
              <w:t>67</w:t>
            </w:r>
          </w:p>
        </w:tc>
        <w:tc>
          <w:tcPr>
            <w:tcW w:type="dxa" w:w="1440"/>
          </w:tcPr>
          <w:p>
            <w:pPr>
              <w:spacing w:after="60" w:line="240" w:lineRule="auto"/>
            </w:pPr>
            <w:r>
              <w:rPr>
                <w:b w:val="0"/>
                <w:sz w:val="18"/>
              </w:rPr>
              <w:t>5</w:t>
            </w:r>
          </w:p>
        </w:tc>
        <w:tc>
          <w:tcPr>
            <w:tcW w:type="dxa" w:w="1440"/>
          </w:tcPr>
          <w:p>
            <w:pPr>
              <w:spacing w:after="60" w:line="240" w:lineRule="auto"/>
            </w:pPr>
            <w:r>
              <w:rPr>
                <w:b w:val="0"/>
                <w:sz w:val="18"/>
              </w:rPr>
              <w:t>16</w:t>
            </w:r>
          </w:p>
        </w:tc>
        <w:tc>
          <w:tcPr>
            <w:tcW w:type="dxa" w:w="1440"/>
          </w:tcPr>
          <w:p>
            <w:pPr>
              <w:spacing w:after="60" w:line="240" w:lineRule="auto"/>
            </w:pPr>
            <w:r>
              <w:rPr>
                <w:b w:val="0"/>
                <w:sz w:val="18"/>
              </w:rPr>
              <w:t>8</w:t>
            </w:r>
          </w:p>
        </w:tc>
      </w:tr>
      <w:tr>
        <w:tc>
          <w:tcPr>
            <w:tcW w:type="dxa" w:w="1440"/>
          </w:tcPr>
          <w:p>
            <w:pPr>
              <w:spacing w:after="60" w:line="240" w:lineRule="auto"/>
            </w:pPr>
            <w:r>
              <w:rPr>
                <w:b w:val="0"/>
                <w:sz w:val="18"/>
              </w:rPr>
              <w:t>4 dpi</w:t>
            </w:r>
          </w:p>
        </w:tc>
        <w:tc>
          <w:tcPr>
            <w:tcW w:type="dxa" w:w="1440"/>
          </w:tcPr>
          <w:p>
            <w:pPr>
              <w:spacing w:after="60" w:line="240" w:lineRule="auto"/>
            </w:pPr>
            <w:r>
              <w:rPr>
                <w:b w:val="0"/>
                <w:sz w:val="18"/>
              </w:rPr>
              <w:t>357</w:t>
            </w:r>
          </w:p>
        </w:tc>
        <w:tc>
          <w:tcPr>
            <w:tcW w:type="dxa" w:w="1440"/>
          </w:tcPr>
          <w:p>
            <w:pPr>
              <w:spacing w:after="60" w:line="240" w:lineRule="auto"/>
            </w:pPr>
            <w:r>
              <w:rPr>
                <w:b w:val="0"/>
                <w:sz w:val="18"/>
              </w:rPr>
              <w:t>67</w:t>
            </w:r>
          </w:p>
        </w:tc>
        <w:tc>
          <w:tcPr>
            <w:tcW w:type="dxa" w:w="1440"/>
          </w:tcPr>
          <w:p>
            <w:pPr>
              <w:spacing w:after="60" w:line="240" w:lineRule="auto"/>
            </w:pPr>
            <w:r>
              <w:rPr>
                <w:b w:val="0"/>
                <w:sz w:val="18"/>
              </w:rPr>
              <w:t>5</w:t>
            </w:r>
          </w:p>
        </w:tc>
        <w:tc>
          <w:tcPr>
            <w:tcW w:type="dxa" w:w="1440"/>
          </w:tcPr>
          <w:p>
            <w:pPr>
              <w:spacing w:after="60" w:line="240" w:lineRule="auto"/>
            </w:pPr>
            <w:r>
              <w:rPr>
                <w:b w:val="0"/>
                <w:sz w:val="18"/>
              </w:rPr>
              <w:t>20</w:t>
            </w:r>
          </w:p>
        </w:tc>
        <w:tc>
          <w:tcPr>
            <w:tcW w:type="dxa" w:w="1440"/>
          </w:tcPr>
          <w:p>
            <w:pPr>
              <w:spacing w:after="60" w:line="240" w:lineRule="auto"/>
            </w:pPr>
            <w:r>
              <w:rPr>
                <w:b w:val="0"/>
                <w:sz w:val="18"/>
              </w:rPr>
              <w:t>4</w:t>
            </w:r>
          </w:p>
        </w:tc>
      </w:tr>
      <w:tr>
        <w:tc>
          <w:tcPr>
            <w:tcW w:type="dxa" w:w="1440"/>
          </w:tcPr>
          <w:p>
            <w:pPr>
              <w:spacing w:after="60" w:line="240" w:lineRule="auto"/>
            </w:pPr>
            <w:r>
              <w:rPr>
                <w:b w:val="0"/>
                <w:sz w:val="18"/>
              </w:rPr>
              <w:t>6 dpi</w:t>
            </w:r>
          </w:p>
        </w:tc>
        <w:tc>
          <w:tcPr>
            <w:tcW w:type="dxa" w:w="1440"/>
          </w:tcPr>
          <w:p>
            <w:pPr>
              <w:spacing w:after="60" w:line="240" w:lineRule="auto"/>
            </w:pPr>
            <w:r>
              <w:rPr>
                <w:b w:val="0"/>
                <w:sz w:val="18"/>
              </w:rPr>
              <w:t>157</w:t>
            </w:r>
          </w:p>
        </w:tc>
        <w:tc>
          <w:tcPr>
            <w:tcW w:type="dxa" w:w="1440"/>
          </w:tcPr>
          <w:p>
            <w:pPr>
              <w:spacing w:after="60" w:line="240" w:lineRule="auto"/>
            </w:pPr>
            <w:r>
              <w:rPr>
                <w:b w:val="0"/>
                <w:sz w:val="18"/>
              </w:rPr>
              <w:t>69</w:t>
            </w:r>
          </w:p>
        </w:tc>
        <w:tc>
          <w:tcPr>
            <w:tcW w:type="dxa" w:w="1440"/>
          </w:tcPr>
          <w:p>
            <w:pPr>
              <w:spacing w:after="60" w:line="240" w:lineRule="auto"/>
            </w:pPr>
            <w:r>
              <w:rPr>
                <w:b w:val="0"/>
                <w:sz w:val="18"/>
              </w:rPr>
              <w:t>3</w:t>
            </w:r>
          </w:p>
        </w:tc>
        <w:tc>
          <w:tcPr>
            <w:tcW w:type="dxa" w:w="1440"/>
          </w:tcPr>
          <w:p>
            <w:pPr>
              <w:spacing w:after="60" w:line="240" w:lineRule="auto"/>
            </w:pPr>
            <w:r>
              <w:rPr>
                <w:b w:val="0"/>
                <w:sz w:val="18"/>
              </w:rPr>
              <w:t>23</w:t>
            </w:r>
          </w:p>
        </w:tc>
        <w:tc>
          <w:tcPr>
            <w:tcW w:type="dxa" w:w="1440"/>
          </w:tcPr>
          <w:p>
            <w:pPr>
              <w:spacing w:after="60" w:line="240" w:lineRule="auto"/>
            </w:pPr>
            <w:r>
              <w:rPr>
                <w:b w:val="0"/>
                <w:sz w:val="18"/>
              </w:rPr>
              <w:t>1</w:t>
            </w:r>
          </w:p>
        </w:tc>
      </w:tr>
      <w:tr>
        <w:tc>
          <w:tcPr>
            <w:tcW w:type="dxa" w:w="1440"/>
          </w:tcPr>
          <w:p>
            <w:pPr>
              <w:spacing w:after="60" w:line="240" w:lineRule="auto"/>
            </w:pPr>
            <w:r>
              <w:rPr>
                <w:b w:val="0"/>
                <w:sz w:val="18"/>
              </w:rPr>
              <w:t>6 dpi</w:t>
            </w:r>
          </w:p>
        </w:tc>
        <w:tc>
          <w:tcPr>
            <w:tcW w:type="dxa" w:w="1440"/>
          </w:tcPr>
          <w:p>
            <w:pPr>
              <w:spacing w:after="60" w:line="240" w:lineRule="auto"/>
            </w:pPr>
            <w:r>
              <w:rPr>
                <w:b w:val="0"/>
                <w:sz w:val="18"/>
              </w:rPr>
              <w:t>257</w:t>
            </w:r>
          </w:p>
        </w:tc>
        <w:tc>
          <w:tcPr>
            <w:tcW w:type="dxa" w:w="1440"/>
          </w:tcPr>
          <w:p>
            <w:pPr>
              <w:spacing w:after="60" w:line="240" w:lineRule="auto"/>
            </w:pPr>
            <w:r>
              <w:rPr>
                <w:b w:val="0"/>
                <w:sz w:val="18"/>
              </w:rPr>
              <w:t>70</w:t>
            </w:r>
          </w:p>
        </w:tc>
        <w:tc>
          <w:tcPr>
            <w:tcW w:type="dxa" w:w="1440"/>
          </w:tcPr>
          <w:p>
            <w:pPr>
              <w:spacing w:after="60" w:line="240" w:lineRule="auto"/>
            </w:pPr>
            <w:r>
              <w:rPr>
                <w:b w:val="0"/>
                <w:sz w:val="18"/>
              </w:rPr>
              <w:t>2</w:t>
            </w:r>
          </w:p>
        </w:tc>
        <w:tc>
          <w:tcPr>
            <w:tcW w:type="dxa" w:w="1440"/>
          </w:tcPr>
          <w:p>
            <w:pPr>
              <w:spacing w:after="60" w:line="240" w:lineRule="auto"/>
            </w:pPr>
            <w:r>
              <w:rPr>
                <w:b w:val="0"/>
                <w:sz w:val="18"/>
              </w:rPr>
              <w:t>22</w:t>
            </w:r>
          </w:p>
        </w:tc>
        <w:tc>
          <w:tcPr>
            <w:tcW w:type="dxa" w:w="1440"/>
          </w:tcPr>
          <w:p>
            <w:pPr>
              <w:spacing w:after="60" w:line="240" w:lineRule="auto"/>
            </w:pPr>
            <w:r>
              <w:rPr>
                <w:b w:val="0"/>
                <w:sz w:val="18"/>
              </w:rPr>
              <w:t>2</w:t>
            </w:r>
          </w:p>
        </w:tc>
      </w:tr>
      <w:tr>
        <w:tc>
          <w:tcPr>
            <w:tcW w:type="dxa" w:w="1440"/>
          </w:tcPr>
          <w:p>
            <w:pPr>
              <w:spacing w:after="60" w:line="240" w:lineRule="auto"/>
            </w:pPr>
            <w:r>
              <w:rPr>
                <w:b w:val="0"/>
                <w:sz w:val="18"/>
              </w:rPr>
              <w:t>6 dpi</w:t>
            </w:r>
          </w:p>
        </w:tc>
        <w:tc>
          <w:tcPr>
            <w:tcW w:type="dxa" w:w="1440"/>
          </w:tcPr>
          <w:p>
            <w:pPr>
              <w:spacing w:after="60" w:line="240" w:lineRule="auto"/>
            </w:pPr>
            <w:r>
              <w:rPr>
                <w:b w:val="0"/>
                <w:sz w:val="18"/>
              </w:rPr>
              <w:t>357</w:t>
            </w:r>
          </w:p>
        </w:tc>
        <w:tc>
          <w:tcPr>
            <w:tcW w:type="dxa" w:w="1440"/>
          </w:tcPr>
          <w:p>
            <w:pPr>
              <w:spacing w:after="60" w:line="240" w:lineRule="auto"/>
            </w:pPr>
            <w:r>
              <w:rPr>
                <w:b w:val="0"/>
                <w:sz w:val="18"/>
              </w:rPr>
              <w:t>66</w:t>
            </w:r>
          </w:p>
        </w:tc>
        <w:tc>
          <w:tcPr>
            <w:tcW w:type="dxa" w:w="1440"/>
          </w:tcPr>
          <w:p>
            <w:pPr>
              <w:spacing w:after="60" w:line="240" w:lineRule="auto"/>
            </w:pPr>
            <w:r>
              <w:rPr>
                <w:b w:val="0"/>
                <w:sz w:val="18"/>
              </w:rPr>
              <w:t>6</w:t>
            </w:r>
          </w:p>
        </w:tc>
        <w:tc>
          <w:tcPr>
            <w:tcW w:type="dxa" w:w="1440"/>
          </w:tcPr>
          <w:p>
            <w:pPr>
              <w:spacing w:after="60" w:line="240" w:lineRule="auto"/>
            </w:pPr>
            <w:r>
              <w:rPr>
                <w:b w:val="0"/>
                <w:sz w:val="18"/>
              </w:rPr>
              <w:t>24</w:t>
            </w:r>
          </w:p>
        </w:tc>
        <w:tc>
          <w:tcPr>
            <w:tcW w:type="dxa" w:w="1440"/>
          </w:tcPr>
          <w:p>
            <w:pPr>
              <w:spacing w:after="60" w:line="240" w:lineRule="auto"/>
            </w:pPr>
            <w:r>
              <w:rPr>
                <w:b w:val="0"/>
                <w:sz w:val="18"/>
              </w:rPr>
              <w:t>0</w:t>
            </w:r>
          </w:p>
        </w:tc>
      </w:tr>
      <w:tr>
        <w:tc>
          <w:tcPr>
            <w:tcW w:type="dxa" w:w="1440"/>
          </w:tcPr>
          <w:p>
            <w:pPr>
              <w:spacing w:after="60" w:line="240" w:lineRule="auto"/>
            </w:pPr>
            <w:r>
              <w:rPr>
                <w:b w:val="0"/>
                <w:sz w:val="18"/>
              </w:rPr>
              <w:t>Joint 2+4 dpi</w:t>
            </w:r>
          </w:p>
        </w:tc>
        <w:tc>
          <w:tcPr>
            <w:tcW w:type="dxa" w:w="1440"/>
          </w:tcPr>
          <w:p>
            <w:pPr>
              <w:spacing w:after="60" w:line="240" w:lineRule="auto"/>
            </w:pPr>
            <w:r>
              <w:rPr>
                <w:b w:val="0"/>
                <w:sz w:val="18"/>
              </w:rPr>
              <w:t>157</w:t>
            </w:r>
          </w:p>
        </w:tc>
        <w:tc>
          <w:tcPr>
            <w:tcW w:type="dxa" w:w="1440"/>
          </w:tcPr>
          <w:p>
            <w:pPr>
              <w:spacing w:after="60" w:line="240" w:lineRule="auto"/>
            </w:pPr>
            <w:r>
              <w:rPr>
                <w:b w:val="0"/>
                <w:sz w:val="18"/>
              </w:rPr>
              <w:t>54</w:t>
            </w:r>
          </w:p>
        </w:tc>
        <w:tc>
          <w:tcPr>
            <w:tcW w:type="dxa" w:w="1440"/>
          </w:tcPr>
          <w:p>
            <w:pPr>
              <w:spacing w:after="60" w:line="240" w:lineRule="auto"/>
            </w:pPr>
            <w:r>
              <w:rPr>
                <w:b w:val="0"/>
                <w:sz w:val="18"/>
              </w:rPr>
              <w:t>18</w:t>
            </w:r>
          </w:p>
        </w:tc>
        <w:tc>
          <w:tcPr>
            <w:tcW w:type="dxa" w:w="1440"/>
          </w:tcPr>
          <w:p>
            <w:pPr>
              <w:spacing w:after="60" w:line="240" w:lineRule="auto"/>
            </w:pPr>
            <w:r>
              <w:rPr>
                <w:b w:val="0"/>
                <w:sz w:val="18"/>
              </w:rPr>
              <w:t>15</w:t>
            </w:r>
          </w:p>
        </w:tc>
        <w:tc>
          <w:tcPr>
            <w:tcW w:type="dxa" w:w="1440"/>
          </w:tcPr>
          <w:p>
            <w:pPr>
              <w:spacing w:after="60" w:line="240" w:lineRule="auto"/>
            </w:pPr>
            <w:r>
              <w:rPr>
                <w:b w:val="0"/>
                <w:sz w:val="18"/>
              </w:rPr>
              <w:t>9</w:t>
            </w:r>
          </w:p>
        </w:tc>
      </w:tr>
      <w:tr>
        <w:tc>
          <w:tcPr>
            <w:tcW w:type="dxa" w:w="1440"/>
          </w:tcPr>
          <w:p>
            <w:pPr>
              <w:spacing w:after="60" w:line="240" w:lineRule="auto"/>
            </w:pPr>
            <w:r>
              <w:rPr>
                <w:b w:val="0"/>
                <w:sz w:val="18"/>
              </w:rPr>
              <w:t>Joint 2+4 dpi</w:t>
            </w:r>
          </w:p>
        </w:tc>
        <w:tc>
          <w:tcPr>
            <w:tcW w:type="dxa" w:w="1440"/>
          </w:tcPr>
          <w:p>
            <w:pPr>
              <w:spacing w:after="60" w:line="240" w:lineRule="auto"/>
            </w:pPr>
            <w:r>
              <w:rPr>
                <w:b w:val="0"/>
                <w:sz w:val="18"/>
              </w:rPr>
              <w:t>257</w:t>
            </w:r>
          </w:p>
        </w:tc>
        <w:tc>
          <w:tcPr>
            <w:tcW w:type="dxa" w:w="1440"/>
          </w:tcPr>
          <w:p>
            <w:pPr>
              <w:spacing w:after="60" w:line="240" w:lineRule="auto"/>
            </w:pPr>
            <w:r>
              <w:rPr>
                <w:b w:val="0"/>
                <w:sz w:val="18"/>
              </w:rPr>
              <w:t>62</w:t>
            </w:r>
          </w:p>
        </w:tc>
        <w:tc>
          <w:tcPr>
            <w:tcW w:type="dxa" w:w="1440"/>
          </w:tcPr>
          <w:p>
            <w:pPr>
              <w:spacing w:after="60" w:line="240" w:lineRule="auto"/>
            </w:pPr>
            <w:r>
              <w:rPr>
                <w:b w:val="0"/>
                <w:sz w:val="18"/>
              </w:rPr>
              <w:t>10</w:t>
            </w:r>
          </w:p>
        </w:tc>
        <w:tc>
          <w:tcPr>
            <w:tcW w:type="dxa" w:w="1440"/>
          </w:tcPr>
          <w:p>
            <w:pPr>
              <w:spacing w:after="60" w:line="240" w:lineRule="auto"/>
            </w:pPr>
            <w:r>
              <w:rPr>
                <w:b w:val="0"/>
                <w:sz w:val="18"/>
              </w:rPr>
              <w:t>15</w:t>
            </w:r>
          </w:p>
        </w:tc>
        <w:tc>
          <w:tcPr>
            <w:tcW w:type="dxa" w:w="1440"/>
          </w:tcPr>
          <w:p>
            <w:pPr>
              <w:spacing w:after="60" w:line="240" w:lineRule="auto"/>
            </w:pPr>
            <w:r>
              <w:rPr>
                <w:b w:val="0"/>
                <w:sz w:val="18"/>
              </w:rPr>
              <w:t>9</w:t>
            </w:r>
          </w:p>
        </w:tc>
      </w:tr>
      <w:tr>
        <w:tc>
          <w:tcPr>
            <w:tcW w:type="dxa" w:w="1440"/>
          </w:tcPr>
          <w:p>
            <w:pPr>
              <w:spacing w:after="60" w:line="240" w:lineRule="auto"/>
            </w:pPr>
            <w:r>
              <w:rPr>
                <w:b w:val="0"/>
                <w:sz w:val="18"/>
              </w:rPr>
              <w:t>Joint 2+4 dpi</w:t>
            </w:r>
          </w:p>
        </w:tc>
        <w:tc>
          <w:tcPr>
            <w:tcW w:type="dxa" w:w="1440"/>
          </w:tcPr>
          <w:p>
            <w:pPr>
              <w:spacing w:after="60" w:line="240" w:lineRule="auto"/>
            </w:pPr>
            <w:r>
              <w:rPr>
                <w:b w:val="0"/>
                <w:sz w:val="18"/>
              </w:rPr>
              <w:t>357</w:t>
            </w:r>
          </w:p>
        </w:tc>
        <w:tc>
          <w:tcPr>
            <w:tcW w:type="dxa" w:w="1440"/>
          </w:tcPr>
          <w:p>
            <w:pPr>
              <w:spacing w:after="60" w:line="240" w:lineRule="auto"/>
            </w:pPr>
            <w:r>
              <w:rPr>
                <w:b w:val="0"/>
                <w:sz w:val="18"/>
              </w:rPr>
              <w:t>63</w:t>
            </w:r>
          </w:p>
        </w:tc>
        <w:tc>
          <w:tcPr>
            <w:tcW w:type="dxa" w:w="1440"/>
          </w:tcPr>
          <w:p>
            <w:pPr>
              <w:spacing w:after="60" w:line="240" w:lineRule="auto"/>
            </w:pPr>
            <w:r>
              <w:rPr>
                <w:b w:val="0"/>
                <w:sz w:val="18"/>
              </w:rPr>
              <w:t>9</w:t>
            </w:r>
          </w:p>
        </w:tc>
        <w:tc>
          <w:tcPr>
            <w:tcW w:type="dxa" w:w="1440"/>
          </w:tcPr>
          <w:p>
            <w:pPr>
              <w:spacing w:after="60" w:line="240" w:lineRule="auto"/>
            </w:pPr>
            <w:r>
              <w:rPr>
                <w:b w:val="0"/>
                <w:sz w:val="18"/>
              </w:rPr>
              <w:t>17</w:t>
            </w:r>
          </w:p>
        </w:tc>
        <w:tc>
          <w:tcPr>
            <w:tcW w:type="dxa" w:w="1440"/>
          </w:tcPr>
          <w:p>
            <w:pPr>
              <w:spacing w:after="60" w:line="240" w:lineRule="auto"/>
            </w:pPr>
            <w:r>
              <w:rPr>
                <w:b w:val="0"/>
                <w:sz w:val="18"/>
              </w:rPr>
              <w:t>7</w:t>
            </w:r>
          </w:p>
        </w:tc>
      </w:tr>
      <w:tr>
        <w:tc>
          <w:tcPr>
            <w:tcW w:type="dxa" w:w="1440"/>
          </w:tcPr>
          <w:p>
            <w:pPr>
              <w:spacing w:after="60" w:line="240" w:lineRule="auto"/>
            </w:pPr>
            <w:r>
              <w:rPr>
                <w:b w:val="0"/>
                <w:sz w:val="18"/>
              </w:rPr>
              <w:t>All dates</w:t>
            </w:r>
          </w:p>
        </w:tc>
        <w:tc>
          <w:tcPr>
            <w:tcW w:type="dxa" w:w="1440"/>
          </w:tcPr>
          <w:p>
            <w:pPr>
              <w:spacing w:after="60" w:line="240" w:lineRule="auto"/>
            </w:pPr>
            <w:r>
              <w:rPr>
                <w:b w:val="0"/>
                <w:sz w:val="18"/>
              </w:rPr>
              <w:t>157</w:t>
            </w:r>
          </w:p>
        </w:tc>
        <w:tc>
          <w:tcPr>
            <w:tcW w:type="dxa" w:w="1440"/>
          </w:tcPr>
          <w:p>
            <w:pPr>
              <w:spacing w:after="60" w:line="240" w:lineRule="auto"/>
            </w:pPr>
            <w:r>
              <w:rPr>
                <w:b w:val="0"/>
                <w:sz w:val="18"/>
              </w:rPr>
              <w:t>68</w:t>
            </w:r>
          </w:p>
        </w:tc>
        <w:tc>
          <w:tcPr>
            <w:tcW w:type="dxa" w:w="1440"/>
          </w:tcPr>
          <w:p>
            <w:pPr>
              <w:spacing w:after="60" w:line="240" w:lineRule="auto"/>
            </w:pPr>
            <w:r>
              <w:rPr>
                <w:b w:val="0"/>
                <w:sz w:val="18"/>
              </w:rPr>
              <w:t>4</w:t>
            </w:r>
          </w:p>
        </w:tc>
        <w:tc>
          <w:tcPr>
            <w:tcW w:type="dxa" w:w="1440"/>
          </w:tcPr>
          <w:p>
            <w:pPr>
              <w:spacing w:after="60" w:line="240" w:lineRule="auto"/>
            </w:pPr>
            <w:r>
              <w:rPr>
                <w:b w:val="0"/>
                <w:sz w:val="18"/>
              </w:rPr>
              <w:t>22</w:t>
            </w:r>
          </w:p>
        </w:tc>
        <w:tc>
          <w:tcPr>
            <w:tcW w:type="dxa" w:w="1440"/>
          </w:tcPr>
          <w:p>
            <w:pPr>
              <w:spacing w:after="60" w:line="240" w:lineRule="auto"/>
            </w:pPr>
            <w:r>
              <w:rPr>
                <w:b w:val="0"/>
                <w:sz w:val="18"/>
              </w:rPr>
              <w:t>2</w:t>
            </w:r>
          </w:p>
        </w:tc>
      </w:tr>
    </w:tbl>
    <w:bookmarkEnd w:id="82"/>
    <w:p>
      <w:pPr>
        <w:pStyle w:val="SuppBreak"/>
        <w:keepNext/>
      </w:pPr>
      <w:r>
        <w:rPr/>
        <w:t>Supplementary Algorithm S1</w:t>
      </w:r>
    </w:p>
    <w:p>
      <w:r>
        <w:rPr/>
        <w:t>Global token: average X over height and width; repeat three times: replicate an odd-length endpoint, compute Haar detail and approximation; concatenate [d1, d2, d3, a3], keep the first C entries, then apply Linear(C, 64) and GELU. For C = 313, coefficient lengths are 157, 79, 40 and 40 before truncation.</w:t>
      </w:r>
    </w:p>
    <w:p>
      <w:r>
        <w:rPr/>
        <w:t>CAF: initialise history = []; for layer indices i = 0,...,4, first replace tokens with Linear(concat(tokens, history[i−2])) if i ≥ 2; append the resulting layer input to history; then apply Transformer layer i. Apply final LayerNorm and return token position 0. This records the post-fusion input, not the earlier layer output.</w:t>
      </w:r>
    </w:p>
    <w:sectPr>
      <w:footerReference w:type="default" r:id="rId9"/>
      <w:pgSz w:w="16838" w:h="11906" w:orient="landscape"/>
      <w:pgMar w:left="1417" w:right="1417" w:top="1417" w:bottom="1417"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pPr>
      <w:spacing w:after="120" w:before="0" w:line="360" w:lineRule="auto"/>
      <w:jc w:val="both"/>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40" w:before="0" w:line="240" w:lineRule="auto"/>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00" w:before="0" w:line="276" w:lineRule="auto"/>
      <w:jc w:val="left"/>
    </w:pPr>
    <w:rPr>
      <w:rFonts w:ascii="Times New Roman" w:cs="Times New Roman" w:eastAsia="Times New Roman" w:hAnsi="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120" w:before="0" w:line="276" w:lineRule="auto"/>
      <w:jc w:val="left"/>
    </w:pPr>
    <w:rPr>
      <w:rFonts w:ascii="Times New Roman" w:cs="Times New Roman" w:eastAsia="Times New Roman" w:hAnsi="Times New Roman"/>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line="276" w:lineRule="auto"/>
      <w:jc w:val="left"/>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80" w:before="240" w:line="276" w:lineRule="auto"/>
      <w:jc w:val="left"/>
      <w:outlineLvl w:val="1"/>
    </w:pPr>
    <w:rPr>
      <w:rFonts w:ascii="Times New Roman" w:cs="Times New Roman"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60" w:before="200" w:line="276" w:lineRule="auto"/>
      <w:jc w:val="left"/>
      <w:outlineLvl w:val="2"/>
    </w:pPr>
    <w:rPr>
      <w:rFonts w:ascii="Times New Roman" w:cs="Times New Roman" w:eastAsia="Times New Roman" w:hAnsi="Times New Roman"/>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spacing w:after="80" w:before="200" w:line="240" w:lineRule="auto"/>
      <w:jc w:val="both"/>
    </w:pPr>
    <w:rPr>
      <w:rFonts w:ascii="Times New Roman" w:cs="Times New Roman" w:eastAsia="Times New Roman" w:hAnsi="Times New Roman"/>
      <w:b w:val="0"/>
      <w:i w:val="0"/>
      <w:color w:val="000000"/>
      <w:sz w:val="19"/>
    </w:rPr>
  </w:style>
  <w:style w:customStyle="1" w:styleId="ImageCaption" w:type="paragraph">
    <w:name w:val="Image Caption"/>
    <w:basedOn w:val="Caption"/>
    <w:pPr>
      <w:spacing w:after="240" w:before="80" w:line="240" w:lineRule="auto"/>
      <w:jc w:val="both"/>
    </w:pPr>
    <w:rPr>
      <w:rFonts w:ascii="Times New Roman" w:cs="Times New Roman" w:eastAsia="Times New Roman" w:hAnsi="Times New Roman"/>
      <w:b w:val="0"/>
      <w:i w:val="0"/>
      <w:color w:val="000000"/>
      <w:sz w:val="19"/>
    </w:rPr>
  </w:style>
  <w:style w:customStyle="1" w:styleId="Figure" w:type="paragraph">
    <w:name w:val="Figure"/>
    <w:basedOn w:val="Normal"/>
    <w:pPr>
      <w:keepNext/>
      <w:spacing w:after="40" w:before="120" w:line="240" w:lineRule="auto"/>
      <w:jc w:val="center"/>
    </w:pPr>
    <w:rPr>
      <w:rFonts w:ascii="Times New Roman" w:cs="Times New Roman" w:eastAsia="Times New Roman" w:hAnsi="Times New Roman"/>
      <w:color w:val="000000"/>
      <w:sz w:val="20"/>
    </w:rPr>
  </w:style>
  <w:style w:customStyle="1" w:styleId="CaptionedFigure" w:type="paragraph">
    <w:name w:val="Captioned Figure"/>
    <w:basedOn w:val="Figure"/>
    <w:pPr>
      <w:keepNext/>
      <w:spacing w:after="40" w:before="120" w:line="240" w:lineRule="auto"/>
      <w:jc w:val="center"/>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Normal"/>
    <w:pPr>
      <w:spacing w:after="60" w:before="0" w:line="264" w:lineRule="auto"/>
      <w:jc w:val="left"/>
    </w:pPr>
    <w:rPr>
      <w:rFonts w:ascii="Times New Roman" w:cs="Times New Roman" w:eastAsia="Times New Roman" w:hAnsi="Times New Roman"/>
      <w:b w:val="0"/>
      <w:i w:val="0"/>
      <w:color w:val="000000"/>
      <w:sz w:val="19"/>
    </w:rPr>
  </w:style>
  <w:style w:customStyle="1" w:styleId="Keywords" w:type="paragraph">
    <w:name w:val="Keywords"/>
    <w:basedOn w:val="Normal"/>
    <w:pPr>
      <w:spacing w:after="160" w:before="80" w:line="312" w:lineRule="auto"/>
      <w:jc w:val="left"/>
    </w:pPr>
    <w:rPr>
      <w:rFonts w:ascii="Times New Roman" w:cs="Times New Roman" w:eastAsia="Times New Roman" w:hAnsi="Times New Roman"/>
      <w:b w:val="0"/>
      <w:i w:val="0"/>
      <w:color w:val="000000"/>
      <w:sz w:val="21"/>
    </w:rPr>
  </w:style>
  <w:style w:customStyle="1" w:styleId="Reference" w:type="paragraph">
    <w:name w:val="Reference"/>
    <w:basedOn w:val="Normal"/>
    <w:pPr>
      <w:spacing w:after="60" w:before="0" w:line="252" w:lineRule="auto"/>
      <w:ind w:hanging="510" w:left="510"/>
      <w:jc w:val="left"/>
    </w:pPr>
    <w:rPr>
      <w:rFonts w:ascii="Times New Roman" w:cs="Times New Roman" w:eastAsia="Times New Roman" w:hAnsi="Times New Roman"/>
      <w:b w:val="0"/>
      <w:i w:val="0"/>
      <w:color w:val="000000"/>
      <w:sz w:val="19"/>
    </w:rPr>
  </w:style>
  <w:style w:customStyle="1" w:styleId="PlaceholderBlock" w:type="paragraph">
    <w:name w:val="Placeholder Block"/>
    <w:basedOn w:val="Normal"/>
    <w:pPr>
      <w:spacing w:after="160" w:before="120" w:line="288" w:lineRule="auto"/>
      <w:jc w:val="center"/>
    </w:pPr>
    <w:rPr>
      <w:rFonts w:ascii="Times New Roman" w:cs="Times New Roman" w:eastAsia="Times New Roman" w:hAnsi="Times New Roman"/>
      <w:b w:val="0"/>
      <w:i/>
      <w:color w:val="000000"/>
      <w:sz w:val="21"/>
    </w:rPr>
  </w:style>
  <w:style w:customStyle="1" w:styleId="SuppBreak" w:type="paragraph">
    <w:name w:val="SuppBreak"/>
    <w:basedOn w:val="Normal"/>
    <w:pPr>
      <w:spacing w:after="160" w:before="0" w:line="276" w:lineRule="auto"/>
      <w:jc w:val="left"/>
    </w:pPr>
    <w:rPr>
      <w:rFonts w:ascii="Times New Roman" w:cs="Times New Roman" w:eastAsia="Times New Roman" w:hAnsi="Times New Roman"/>
      <w:b/>
      <w:i w:val="0"/>
      <w:color w:val="000000"/>
      <w:sz w:val="26"/>
    </w:rPr>
  </w:style>
  <w:style w:customStyle="1" w:styleId="Placeholder" w:type="character">
    <w:name w:val="Placeholder"/>
    <w:rPr>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7" Type="http://schemas.openxmlformats.org/officeDocument/2006/relationships/image" Target="media/rId27.png"/><Relationship Id="rId34" Type="http://schemas.openxmlformats.org/officeDocument/2006/relationships/image" Target="media/rId34.png"/><Relationship Id="rId39" Type="http://schemas.openxmlformats.org/officeDocument/2006/relationships/image" Target="media/rId39.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2026-09-20T03:44:13Z</dcterms:created>
  <dcterms:modified xsi:type="dcterms:W3CDTF">2026-09-20T03:44:13Z</dcterms:modified>
  <dc:description>Evidence-based revision; author declarations require confirmation before submission.</dc:description>
  <cp:lastModifiedBy/>
</cp:coreProperties>
</file>

<file path=docProps/custom.xml><?xml version="1.0" encoding="utf-8"?>
<Properties xmlns="http://schemas.openxmlformats.org/officeDocument/2006/custom-properties" xmlns:vt="http://schemas.openxmlformats.org/officeDocument/2006/docPropsVTypes"/>
</file>