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885A2" w14:textId="77777777" w:rsidR="009D0906" w:rsidRDefault="009D0906" w:rsidP="009D0906">
      <w:pPr>
        <w:pStyle w:val="Heading1"/>
      </w:pPr>
      <w:r w:rsidRPr="009D0906">
        <w:t>PrimeEngineAI: High</w:t>
      </w:r>
      <w:r w:rsidRPr="009D0906">
        <w:noBreakHyphen/>
        <w:t>Level Overview &amp; Section Links</w:t>
      </w:r>
    </w:p>
    <w:p w14:paraId="1C3E724E" w14:textId="77777777" w:rsidR="009D0906" w:rsidRPr="009D0906" w:rsidRDefault="009D0906" w:rsidP="009D0906"/>
    <w:p w14:paraId="787B5357" w14:textId="77777777" w:rsidR="009D0906" w:rsidRPr="009D0906" w:rsidRDefault="009D0906" w:rsidP="009D0906">
      <w:pPr>
        <w:numPr>
          <w:ilvl w:val="0"/>
          <w:numId w:val="1"/>
        </w:numPr>
        <w:spacing w:after="160" w:line="278" w:lineRule="auto"/>
      </w:pPr>
      <w:r w:rsidRPr="009D0906">
        <w:rPr>
          <w:rStyle w:val="Heading3Char"/>
        </w:rPr>
        <w:t>Executive Summary &amp; Market Opportunity</w:t>
      </w:r>
      <w:r w:rsidRPr="009D0906">
        <w:br/>
        <w:t>PrimeEngineAI addresses critical needs in cryptography, blockchain, and scientific research by dramatically accelerating large</w:t>
      </w:r>
      <w:r w:rsidRPr="009D0906">
        <w:noBreakHyphen/>
        <w:t>prime discovery (see “Executive Summary,” pp</w:t>
      </w:r>
      <w:r w:rsidRPr="009D0906">
        <w:rPr>
          <w:rFonts w:ascii="Arial" w:hAnsi="Arial" w:cs="Arial"/>
        </w:rPr>
        <w:t> </w:t>
      </w:r>
      <w:r w:rsidRPr="009D0906">
        <w:t>14</w:t>
      </w:r>
      <w:r w:rsidRPr="009D0906">
        <w:rPr>
          <w:rFonts w:ascii="Aptos" w:hAnsi="Aptos" w:cs="Aptos"/>
        </w:rPr>
        <w:t>–</w:t>
      </w:r>
      <w:r w:rsidRPr="009D0906">
        <w:t>15). Its applications span from secure key generation in RSA and elliptic</w:t>
      </w:r>
      <w:r w:rsidRPr="009D0906">
        <w:noBreakHyphen/>
        <w:t>curve systems to proof</w:t>
      </w:r>
      <w:r w:rsidRPr="009D0906">
        <w:noBreakHyphen/>
        <w:t>of</w:t>
      </w:r>
      <w:r w:rsidRPr="009D0906">
        <w:noBreakHyphen/>
        <w:t>prime workflows in DeFi protocols and advanced number</w:t>
      </w:r>
      <w:r w:rsidRPr="009D0906">
        <w:noBreakHyphen/>
        <w:t>theory experiments (</w:t>
      </w:r>
      <w:r w:rsidRPr="009D0906">
        <w:rPr>
          <w:rFonts w:ascii="Aptos" w:hAnsi="Aptos" w:cs="Aptos"/>
        </w:rPr>
        <w:t>“</w:t>
      </w:r>
      <w:r w:rsidRPr="009D0906">
        <w:t>Applications &amp; Market Opportunity,</w:t>
      </w:r>
      <w:r w:rsidRPr="009D0906">
        <w:rPr>
          <w:rFonts w:ascii="Aptos" w:hAnsi="Aptos" w:cs="Aptos"/>
        </w:rPr>
        <w:t>”</w:t>
      </w:r>
      <w:r w:rsidRPr="009D0906">
        <w:t xml:space="preserve"> p</w:t>
      </w:r>
      <w:r w:rsidRPr="009D0906">
        <w:rPr>
          <w:rFonts w:ascii="Arial" w:hAnsi="Arial" w:cs="Arial"/>
        </w:rPr>
        <w:t> </w:t>
      </w:r>
      <w:r w:rsidRPr="009D0906">
        <w:t>14).</w:t>
      </w:r>
    </w:p>
    <w:p w14:paraId="2E39395A" w14:textId="77777777" w:rsidR="009D0906" w:rsidRPr="009D0906" w:rsidRDefault="009D0906" w:rsidP="009D0906">
      <w:pPr>
        <w:numPr>
          <w:ilvl w:val="0"/>
          <w:numId w:val="1"/>
        </w:numPr>
        <w:spacing w:after="160" w:line="278" w:lineRule="auto"/>
      </w:pPr>
      <w:r w:rsidRPr="009D0906">
        <w:rPr>
          <w:rStyle w:val="Heading3Char"/>
        </w:rPr>
        <w:t>MVP Technical Core</w:t>
      </w:r>
      <w:r w:rsidRPr="009D0906">
        <w:br/>
        <w:t>At the heart of PrimeEngineAI is a layered discovery algorithm combining symbolic filtering, high</w:t>
      </w:r>
      <w:r w:rsidRPr="009D0906">
        <w:noBreakHyphen/>
        <w:t>throughput GPU sieving, infinitesimal remainder analysis, and final deterministic proofs via Miller</w:t>
      </w:r>
      <w:r w:rsidRPr="009D0906">
        <w:noBreakHyphen/>
        <w:t>Rabin and ECPP (“MVP Technical Core,” pp</w:t>
      </w:r>
      <w:r w:rsidRPr="009D0906">
        <w:rPr>
          <w:rFonts w:ascii="Arial" w:hAnsi="Arial" w:cs="Arial"/>
        </w:rPr>
        <w:t> </w:t>
      </w:r>
      <w:r w:rsidRPr="009D0906">
        <w:t>16</w:t>
      </w:r>
      <w:r w:rsidRPr="009D0906">
        <w:rPr>
          <w:rFonts w:ascii="Aptos" w:hAnsi="Aptos" w:cs="Aptos"/>
        </w:rPr>
        <w:t>–</w:t>
      </w:r>
      <w:r w:rsidRPr="009D0906">
        <w:t>17). This five</w:t>
      </w:r>
      <w:r w:rsidRPr="009D0906">
        <w:noBreakHyphen/>
        <w:t>stage pipeline</w:t>
      </w:r>
      <w:r w:rsidRPr="009D0906">
        <w:rPr>
          <w:rFonts w:ascii="Aptos" w:hAnsi="Aptos" w:cs="Aptos"/>
        </w:rPr>
        <w:t>—</w:t>
      </w:r>
      <w:r w:rsidRPr="009D0906">
        <w:t xml:space="preserve">Truncation Testing </w:t>
      </w:r>
      <w:r w:rsidRPr="009D0906">
        <w:rPr>
          <w:rFonts w:ascii="Aptos" w:hAnsi="Aptos" w:cs="Aptos"/>
        </w:rPr>
        <w:t>→</w:t>
      </w:r>
      <w:r w:rsidRPr="009D0906">
        <w:t xml:space="preserve"> Symbolic Cache </w:t>
      </w:r>
      <w:r w:rsidRPr="009D0906">
        <w:rPr>
          <w:rFonts w:ascii="Aptos" w:hAnsi="Aptos" w:cs="Aptos"/>
        </w:rPr>
        <w:t>→</w:t>
      </w:r>
      <w:r w:rsidRPr="009D0906">
        <w:t xml:space="preserve"> GPU Sieve </w:t>
      </w:r>
      <w:r w:rsidRPr="009D0906">
        <w:rPr>
          <w:rFonts w:ascii="Aptos" w:hAnsi="Aptos" w:cs="Aptos"/>
        </w:rPr>
        <w:t>→</w:t>
      </w:r>
      <w:r w:rsidRPr="009D0906">
        <w:t xml:space="preserve"> Remainder Analysis </w:t>
      </w:r>
      <w:r w:rsidRPr="009D0906">
        <w:rPr>
          <w:rFonts w:ascii="Aptos" w:hAnsi="Aptos" w:cs="Aptos"/>
        </w:rPr>
        <w:t>→</w:t>
      </w:r>
      <w:r w:rsidRPr="009D0906">
        <w:t xml:space="preserve"> Primality Test</w:t>
      </w:r>
      <w:r w:rsidRPr="009D0906">
        <w:rPr>
          <w:rFonts w:ascii="Aptos" w:hAnsi="Aptos" w:cs="Aptos"/>
        </w:rPr>
        <w:t>—</w:t>
      </w:r>
      <w:r w:rsidRPr="009D0906">
        <w:t>ensures efficiency and accuracy (</w:t>
      </w:r>
      <w:r w:rsidRPr="009D0906">
        <w:rPr>
          <w:rFonts w:ascii="Aptos" w:hAnsi="Aptos" w:cs="Aptos"/>
        </w:rPr>
        <w:t>“</w:t>
      </w:r>
      <w:r w:rsidRPr="009D0906">
        <w:t>Pipeline Stages,</w:t>
      </w:r>
      <w:r w:rsidRPr="009D0906">
        <w:rPr>
          <w:rFonts w:ascii="Aptos" w:hAnsi="Aptos" w:cs="Aptos"/>
        </w:rPr>
        <w:t>”</w:t>
      </w:r>
      <w:r w:rsidRPr="009D0906">
        <w:t xml:space="preserve"> pp</w:t>
      </w:r>
      <w:r w:rsidRPr="009D0906">
        <w:rPr>
          <w:rFonts w:ascii="Arial" w:hAnsi="Arial" w:cs="Arial"/>
        </w:rPr>
        <w:t> </w:t>
      </w:r>
      <w:r w:rsidRPr="009D0906">
        <w:t>16</w:t>
      </w:r>
      <w:r w:rsidRPr="009D0906">
        <w:rPr>
          <w:rFonts w:ascii="Aptos" w:hAnsi="Aptos" w:cs="Aptos"/>
        </w:rPr>
        <w:t>–</w:t>
      </w:r>
      <w:r w:rsidRPr="009D0906">
        <w:t>17).</w:t>
      </w:r>
    </w:p>
    <w:p w14:paraId="6459F833" w14:textId="77777777" w:rsidR="009D0906" w:rsidRPr="009D0906" w:rsidRDefault="009D0906" w:rsidP="009D0906">
      <w:pPr>
        <w:numPr>
          <w:ilvl w:val="0"/>
          <w:numId w:val="1"/>
        </w:numPr>
        <w:spacing w:after="160" w:line="278" w:lineRule="auto"/>
      </w:pPr>
      <w:r w:rsidRPr="009D0906">
        <w:rPr>
          <w:rStyle w:val="Heading3Char"/>
        </w:rPr>
        <w:t>Modular Design &amp; Extensibility</w:t>
      </w:r>
      <w:r w:rsidRPr="009D0906">
        <w:rPr>
          <w:rStyle w:val="Heading3Char"/>
        </w:rPr>
        <w:br/>
      </w:r>
      <w:r w:rsidRPr="009D0906">
        <w:t>PrimeEngineAI is built on independent modules that can evolve and scale separately (“Modular Design &amp; Extensibility,” pp</w:t>
      </w:r>
      <w:r w:rsidRPr="009D0906">
        <w:rPr>
          <w:rFonts w:ascii="Arial" w:hAnsi="Arial" w:cs="Arial"/>
        </w:rPr>
        <w:t> </w:t>
      </w:r>
      <w:r w:rsidRPr="009D0906">
        <w:t>17</w:t>
      </w:r>
      <w:r w:rsidRPr="009D0906">
        <w:rPr>
          <w:rFonts w:ascii="Aptos" w:hAnsi="Aptos" w:cs="Aptos"/>
        </w:rPr>
        <w:t>–</w:t>
      </w:r>
      <w:r w:rsidRPr="009D0906">
        <w:t>18). Isolated pipeline stages, dynamic batch scaling, ML/AI integration hooks, and Prometheus telemetry all reside in container</w:t>
      </w:r>
      <w:r w:rsidRPr="009D0906">
        <w:noBreakHyphen/>
        <w:t>ready components, enabling rapid research iterations and seamless cloud deployment (Section</w:t>
      </w:r>
      <w:r w:rsidRPr="009D0906">
        <w:rPr>
          <w:rFonts w:ascii="Arial" w:hAnsi="Arial" w:cs="Arial"/>
        </w:rPr>
        <w:t> </w:t>
      </w:r>
      <w:r w:rsidRPr="009D0906">
        <w:t>3, pp</w:t>
      </w:r>
      <w:r w:rsidRPr="009D0906">
        <w:rPr>
          <w:rFonts w:ascii="Arial" w:hAnsi="Arial" w:cs="Arial"/>
        </w:rPr>
        <w:t> </w:t>
      </w:r>
      <w:r w:rsidRPr="009D0906">
        <w:t>17</w:t>
      </w:r>
      <w:r w:rsidRPr="009D0906">
        <w:rPr>
          <w:rFonts w:ascii="Aptos" w:hAnsi="Aptos" w:cs="Aptos"/>
        </w:rPr>
        <w:t>–</w:t>
      </w:r>
      <w:r w:rsidRPr="009D0906">
        <w:t>18).</w:t>
      </w:r>
    </w:p>
    <w:p w14:paraId="6A93B9CE" w14:textId="77777777" w:rsidR="009D0906" w:rsidRPr="009D0906" w:rsidRDefault="009D0906" w:rsidP="009D0906">
      <w:pPr>
        <w:numPr>
          <w:ilvl w:val="0"/>
          <w:numId w:val="1"/>
        </w:numPr>
        <w:spacing w:after="160" w:line="278" w:lineRule="auto"/>
      </w:pPr>
      <w:r w:rsidRPr="009D0906">
        <w:rPr>
          <w:rStyle w:val="Heading3Char"/>
        </w:rPr>
        <w:t>Symbolic Filtering &amp; Truncation Logic</w:t>
      </w:r>
      <w:r w:rsidRPr="009D0906">
        <w:br/>
        <w:t>This section details how PrimeEngineAI uses digit</w:t>
      </w:r>
      <w:r w:rsidRPr="009D0906">
        <w:noBreakHyphen/>
        <w:t>based rules, modulo residue classes, and cached composite patterns to eliminate candidates in microseconds (“Symbolic Filtering &amp; Truncation Logic,” p</w:t>
      </w:r>
      <w:r w:rsidRPr="009D0906">
        <w:rPr>
          <w:rFonts w:ascii="Arial" w:hAnsi="Arial" w:cs="Arial"/>
        </w:rPr>
        <w:t> </w:t>
      </w:r>
      <w:r w:rsidRPr="009D0906">
        <w:t>19). Hierarchical pruning reduces the workload far before any expensive arithmetic operations occur (Section</w:t>
      </w:r>
      <w:r w:rsidRPr="009D0906">
        <w:rPr>
          <w:rFonts w:ascii="Arial" w:hAnsi="Arial" w:cs="Arial"/>
        </w:rPr>
        <w:t> </w:t>
      </w:r>
      <w:r w:rsidRPr="009D0906">
        <w:t>4, pp</w:t>
      </w:r>
      <w:r w:rsidRPr="009D0906">
        <w:rPr>
          <w:rFonts w:ascii="Arial" w:hAnsi="Arial" w:cs="Arial"/>
        </w:rPr>
        <w:t> </w:t>
      </w:r>
      <w:r w:rsidRPr="009D0906">
        <w:t>19).</w:t>
      </w:r>
    </w:p>
    <w:p w14:paraId="404C08A6" w14:textId="77777777" w:rsidR="009D0906" w:rsidRPr="009D0906" w:rsidRDefault="009D0906" w:rsidP="009D0906">
      <w:pPr>
        <w:numPr>
          <w:ilvl w:val="0"/>
          <w:numId w:val="1"/>
        </w:numPr>
        <w:spacing w:after="160" w:line="278" w:lineRule="auto"/>
      </w:pPr>
      <w:r w:rsidRPr="009D0906">
        <w:rPr>
          <w:rStyle w:val="Heading3Char"/>
        </w:rPr>
        <w:t>Infinitesimal Remainder Analysis</w:t>
      </w:r>
      <w:r w:rsidRPr="009D0906">
        <w:br/>
        <w:t>Lightweight probabilistic checks further weed out unlikely candidates based on configurable statistical heuristics (“Infinitesimal Remainder Analysis,” p</w:t>
      </w:r>
      <w:r w:rsidRPr="009D0906">
        <w:rPr>
          <w:rFonts w:ascii="Arial" w:hAnsi="Arial" w:cs="Arial"/>
        </w:rPr>
        <w:t> </w:t>
      </w:r>
      <w:r w:rsidRPr="009D0906">
        <w:t>20). These heuristics complement the core filters without significant performance overhead (Section</w:t>
      </w:r>
      <w:r w:rsidRPr="009D0906">
        <w:rPr>
          <w:rFonts w:ascii="Arial" w:hAnsi="Arial" w:cs="Arial"/>
        </w:rPr>
        <w:t> </w:t>
      </w:r>
      <w:r w:rsidRPr="009D0906">
        <w:t>5, p</w:t>
      </w:r>
      <w:r w:rsidRPr="009D0906">
        <w:rPr>
          <w:rFonts w:ascii="Arial" w:hAnsi="Arial" w:cs="Arial"/>
        </w:rPr>
        <w:t> </w:t>
      </w:r>
      <w:r w:rsidRPr="009D0906">
        <w:t>20).</w:t>
      </w:r>
    </w:p>
    <w:p w14:paraId="3FF4A8F6" w14:textId="77777777" w:rsidR="009D0906" w:rsidRPr="009D0906" w:rsidRDefault="009D0906" w:rsidP="009D0906">
      <w:pPr>
        <w:numPr>
          <w:ilvl w:val="0"/>
          <w:numId w:val="1"/>
        </w:numPr>
        <w:spacing w:after="160" w:line="278" w:lineRule="auto"/>
      </w:pPr>
      <w:r w:rsidRPr="009D0906">
        <w:rPr>
          <w:rStyle w:val="Heading3Char"/>
        </w:rPr>
        <w:t>Final Primality Testing</w:t>
      </w:r>
      <w:r w:rsidRPr="009D0906">
        <w:br/>
        <w:t>For candidates that survive all earlier layers, PrimeEngineAI invokes GMP</w:t>
      </w:r>
      <w:r w:rsidRPr="009D0906">
        <w:noBreakHyphen/>
        <w:t>backed Miller</w:t>
      </w:r>
      <w:r w:rsidRPr="009D0906">
        <w:noBreakHyphen/>
        <w:t>Rabin with adaptive round counts, and for larger digit depths, ECPP proofs provide deterministic certainty (“Final Primality Testing,” p</w:t>
      </w:r>
      <w:r w:rsidRPr="009D0906">
        <w:rPr>
          <w:rFonts w:ascii="Arial" w:hAnsi="Arial" w:cs="Arial"/>
        </w:rPr>
        <w:t> </w:t>
      </w:r>
      <w:r w:rsidRPr="009D0906">
        <w:t>21; Section</w:t>
      </w:r>
      <w:r w:rsidRPr="009D0906">
        <w:rPr>
          <w:rFonts w:ascii="Arial" w:hAnsi="Arial" w:cs="Arial"/>
        </w:rPr>
        <w:t> </w:t>
      </w:r>
      <w:r w:rsidRPr="009D0906">
        <w:t>6, p</w:t>
      </w:r>
      <w:r w:rsidRPr="009D0906">
        <w:rPr>
          <w:rFonts w:ascii="Arial" w:hAnsi="Arial" w:cs="Arial"/>
        </w:rPr>
        <w:t> </w:t>
      </w:r>
      <w:r w:rsidRPr="009D0906">
        <w:t>21).</w:t>
      </w:r>
    </w:p>
    <w:p w14:paraId="2802CB59" w14:textId="77777777" w:rsidR="009D0906" w:rsidRPr="009D0906" w:rsidRDefault="009D0906" w:rsidP="009D0906">
      <w:pPr>
        <w:numPr>
          <w:ilvl w:val="0"/>
          <w:numId w:val="1"/>
        </w:numPr>
        <w:spacing w:after="160" w:line="278" w:lineRule="auto"/>
      </w:pPr>
      <w:r w:rsidRPr="009D0906">
        <w:rPr>
          <w:rStyle w:val="Heading3Char"/>
        </w:rPr>
        <w:t>Observability &amp; Validation</w:t>
      </w:r>
      <w:r w:rsidRPr="009D0906">
        <w:br/>
        <w:t>Real</w:t>
      </w:r>
      <w:r w:rsidRPr="009D0906">
        <w:noBreakHyphen/>
        <w:t>time performance metrics (throughput, latency percentiles, resource utilization) and detailed audit logs empower both developers and auditors to verify correctness and performance (“Observability &amp; Validation,” pp</w:t>
      </w:r>
      <w:r w:rsidRPr="009D0906">
        <w:rPr>
          <w:rFonts w:ascii="Arial" w:hAnsi="Arial" w:cs="Arial"/>
        </w:rPr>
        <w:t> </w:t>
      </w:r>
      <w:r w:rsidRPr="009D0906">
        <w:t>21</w:t>
      </w:r>
      <w:r w:rsidRPr="009D0906">
        <w:rPr>
          <w:rFonts w:ascii="Aptos" w:hAnsi="Aptos" w:cs="Aptos"/>
        </w:rPr>
        <w:t>–</w:t>
      </w:r>
      <w:r w:rsidRPr="009D0906">
        <w:t>22). A third</w:t>
      </w:r>
      <w:r w:rsidRPr="009D0906">
        <w:noBreakHyphen/>
        <w:t>party validation plan and public benchmarking toolkit ensure transparency (</w:t>
      </w:r>
      <w:r w:rsidRPr="009D0906">
        <w:rPr>
          <w:rFonts w:ascii="Aptos" w:hAnsi="Aptos" w:cs="Aptos"/>
        </w:rPr>
        <w:t>“</w:t>
      </w:r>
      <w:r w:rsidRPr="009D0906">
        <w:t>Third</w:t>
      </w:r>
      <w:r w:rsidRPr="009D0906">
        <w:noBreakHyphen/>
        <w:t>Party Validation Plan,</w:t>
      </w:r>
      <w:r w:rsidRPr="009D0906">
        <w:rPr>
          <w:rFonts w:ascii="Aptos" w:hAnsi="Aptos" w:cs="Aptos"/>
        </w:rPr>
        <w:t>”</w:t>
      </w:r>
      <w:r w:rsidRPr="009D0906">
        <w:t xml:space="preserve"> pp</w:t>
      </w:r>
      <w:r w:rsidRPr="009D0906">
        <w:rPr>
          <w:rFonts w:ascii="Arial" w:hAnsi="Arial" w:cs="Arial"/>
        </w:rPr>
        <w:t> </w:t>
      </w:r>
      <w:r w:rsidRPr="009D0906">
        <w:t>22</w:t>
      </w:r>
      <w:r w:rsidRPr="009D0906">
        <w:rPr>
          <w:rFonts w:ascii="Aptos" w:hAnsi="Aptos" w:cs="Aptos"/>
        </w:rPr>
        <w:t>–</w:t>
      </w:r>
      <w:r w:rsidRPr="009D0906">
        <w:t>23).</w:t>
      </w:r>
    </w:p>
    <w:p w14:paraId="0E3FD0FA" w14:textId="77777777" w:rsidR="009D0906" w:rsidRPr="009D0906" w:rsidRDefault="009D0906" w:rsidP="009D0906">
      <w:pPr>
        <w:numPr>
          <w:ilvl w:val="0"/>
          <w:numId w:val="1"/>
        </w:numPr>
        <w:spacing w:after="160" w:line="278" w:lineRule="auto"/>
      </w:pPr>
      <w:r w:rsidRPr="009D0906">
        <w:rPr>
          <w:b/>
          <w:bCs/>
        </w:rPr>
        <w:lastRenderedPageBreak/>
        <w:t>ML/AI Integration &amp; Roadmap</w:t>
      </w:r>
      <w:r w:rsidRPr="009D0906">
        <w:br/>
        <w:t>PrimeEngineAI offers initial hooks for decision</w:t>
      </w:r>
      <w:r w:rsidRPr="009D0906">
        <w:noBreakHyphen/>
        <w:t>tree models and reinforcement learning to refine filter prioritization (“ML/AI Hooks &amp; Initial Model Architecture,” pp</w:t>
      </w:r>
      <w:r w:rsidRPr="009D0906">
        <w:rPr>
          <w:rFonts w:ascii="Arial" w:hAnsi="Arial" w:cs="Arial"/>
        </w:rPr>
        <w:t> </w:t>
      </w:r>
      <w:r w:rsidRPr="009D0906">
        <w:t>31</w:t>
      </w:r>
      <w:r w:rsidRPr="009D0906">
        <w:rPr>
          <w:rFonts w:ascii="Aptos" w:hAnsi="Aptos" w:cs="Aptos"/>
        </w:rPr>
        <w:t>–</w:t>
      </w:r>
      <w:r w:rsidRPr="009D0906">
        <w:t>38). The product roadmap outlines future enhancements, including neural decision forests and closed</w:t>
      </w:r>
      <w:r w:rsidRPr="009D0906">
        <w:noBreakHyphen/>
        <w:t>loop RL to further optimize search strategies (</w:t>
      </w:r>
      <w:r w:rsidRPr="009D0906">
        <w:rPr>
          <w:rFonts w:ascii="Aptos" w:hAnsi="Aptos" w:cs="Aptos"/>
        </w:rPr>
        <w:t>“</w:t>
      </w:r>
      <w:r w:rsidRPr="009D0906">
        <w:t>Roadmap Milestones,</w:t>
      </w:r>
      <w:r w:rsidRPr="009D0906">
        <w:rPr>
          <w:rFonts w:ascii="Aptos" w:hAnsi="Aptos" w:cs="Aptos"/>
        </w:rPr>
        <w:t>”</w:t>
      </w:r>
      <w:r w:rsidRPr="009D0906">
        <w:t xml:space="preserve"> pp</w:t>
      </w:r>
      <w:r w:rsidRPr="009D0906">
        <w:rPr>
          <w:rFonts w:ascii="Arial" w:hAnsi="Arial" w:cs="Arial"/>
        </w:rPr>
        <w:t> </w:t>
      </w:r>
      <w:r w:rsidRPr="009D0906">
        <w:t>41</w:t>
      </w:r>
      <w:r w:rsidRPr="009D0906">
        <w:rPr>
          <w:rFonts w:ascii="Aptos" w:hAnsi="Aptos" w:cs="Aptos"/>
        </w:rPr>
        <w:t>–</w:t>
      </w:r>
      <w:r w:rsidRPr="009D0906">
        <w:t>42).</w:t>
      </w:r>
    </w:p>
    <w:p w14:paraId="4140D0C6" w14:textId="77777777" w:rsidR="009D0906" w:rsidRPr="009D0906" w:rsidRDefault="009D0906" w:rsidP="009D0906">
      <w:pPr>
        <w:numPr>
          <w:ilvl w:val="0"/>
          <w:numId w:val="1"/>
        </w:numPr>
        <w:spacing w:after="160" w:line="278" w:lineRule="auto"/>
      </w:pPr>
      <w:r w:rsidRPr="009D0906">
        <w:rPr>
          <w:b/>
          <w:bCs/>
        </w:rPr>
        <w:t>Proprietary Knowledge &amp; IP Framework</w:t>
      </w:r>
      <w:r w:rsidRPr="009D0906">
        <w:br/>
        <w:t>Every new prime, closed gap, and learned symbolic pattern is captured in immutable logs and data streams (“Proprietary Knowledge Streams,” pp</w:t>
      </w:r>
      <w:r w:rsidRPr="009D0906">
        <w:rPr>
          <w:rFonts w:ascii="Arial" w:hAnsi="Arial" w:cs="Arial"/>
        </w:rPr>
        <w:t> </w:t>
      </w:r>
      <w:r w:rsidRPr="009D0906">
        <w:t>43</w:t>
      </w:r>
      <w:r w:rsidRPr="009D0906">
        <w:rPr>
          <w:rFonts w:ascii="Aptos" w:hAnsi="Aptos" w:cs="Aptos"/>
        </w:rPr>
        <w:t>–</w:t>
      </w:r>
      <w:r w:rsidRPr="009D0906">
        <w:t>44). Rigorous hashing, timestamping, and human</w:t>
      </w:r>
      <w:r w:rsidRPr="009D0906">
        <w:noBreakHyphen/>
        <w:t>review protocols preserve data integrity (</w:t>
      </w:r>
      <w:r w:rsidRPr="009D0906">
        <w:rPr>
          <w:rFonts w:ascii="Aptos" w:hAnsi="Aptos" w:cs="Aptos"/>
        </w:rPr>
        <w:t>“</w:t>
      </w:r>
      <w:r w:rsidRPr="009D0906">
        <w:t>Data Validation &amp; Integrity Protocol,</w:t>
      </w:r>
      <w:r w:rsidRPr="009D0906">
        <w:rPr>
          <w:rFonts w:ascii="Aptos" w:hAnsi="Aptos" w:cs="Aptos"/>
        </w:rPr>
        <w:t>”</w:t>
      </w:r>
      <w:r w:rsidRPr="009D0906">
        <w:t xml:space="preserve"> pp</w:t>
      </w:r>
      <w:r w:rsidRPr="009D0906">
        <w:rPr>
          <w:rFonts w:ascii="Arial" w:hAnsi="Arial" w:cs="Arial"/>
        </w:rPr>
        <w:t> </w:t>
      </w:r>
      <w:r w:rsidRPr="009D0906">
        <w:t>44</w:t>
      </w:r>
      <w:r w:rsidRPr="009D0906">
        <w:rPr>
          <w:rFonts w:ascii="Aptos" w:hAnsi="Aptos" w:cs="Aptos"/>
        </w:rPr>
        <w:t>–</w:t>
      </w:r>
      <w:r w:rsidRPr="009D0906">
        <w:t>45). Licensing models and IP defense strategies are laid out to transform discoveries into valuable assets (</w:t>
      </w:r>
      <w:r w:rsidRPr="009D0906">
        <w:rPr>
          <w:rFonts w:ascii="Aptos" w:hAnsi="Aptos" w:cs="Aptos"/>
        </w:rPr>
        <w:t>“</w:t>
      </w:r>
      <w:r w:rsidRPr="009D0906">
        <w:t>Intellectual Property &amp; Licensing,</w:t>
      </w:r>
      <w:r w:rsidRPr="009D0906">
        <w:rPr>
          <w:rFonts w:ascii="Aptos" w:hAnsi="Aptos" w:cs="Aptos"/>
        </w:rPr>
        <w:t>”</w:t>
      </w:r>
      <w:r w:rsidRPr="009D0906">
        <w:t xml:space="preserve"> pp</w:t>
      </w:r>
      <w:r w:rsidRPr="009D0906">
        <w:rPr>
          <w:rFonts w:ascii="Arial" w:hAnsi="Arial" w:cs="Arial"/>
        </w:rPr>
        <w:t> </w:t>
      </w:r>
      <w:r w:rsidRPr="009D0906">
        <w:t>84</w:t>
      </w:r>
      <w:r w:rsidRPr="009D0906">
        <w:rPr>
          <w:rFonts w:ascii="Aptos" w:hAnsi="Aptos" w:cs="Aptos"/>
        </w:rPr>
        <w:t>–</w:t>
      </w:r>
      <w:r w:rsidRPr="009D0906">
        <w:t>90).</w:t>
      </w:r>
    </w:p>
    <w:p w14:paraId="6E96207B" w14:textId="77777777" w:rsidR="009D0906" w:rsidRPr="009D0906" w:rsidRDefault="009D0906" w:rsidP="009D0906">
      <w:pPr>
        <w:numPr>
          <w:ilvl w:val="0"/>
          <w:numId w:val="1"/>
        </w:numPr>
        <w:spacing w:after="160" w:line="278" w:lineRule="auto"/>
      </w:pPr>
      <w:r w:rsidRPr="009D0906">
        <w:rPr>
          <w:b/>
          <w:bCs/>
        </w:rPr>
        <w:t>Commercialization &amp; Strategic Roadmap</w:t>
      </w:r>
      <w:r w:rsidRPr="009D0906">
        <w:br/>
        <w:t>The final section covers target market segments, monetization phases (from research licensing to SaaS and AI</w:t>
      </w:r>
      <w:r w:rsidRPr="009D0906">
        <w:noBreakHyphen/>
        <w:t>driven factoring services), and risk mitigation strategies (“Market Opportunity &amp; Monetization Strategy,” pp</w:t>
      </w:r>
      <w:r w:rsidRPr="009D0906">
        <w:rPr>
          <w:rFonts w:ascii="Arial" w:hAnsi="Arial" w:cs="Arial"/>
        </w:rPr>
        <w:t> </w:t>
      </w:r>
      <w:r w:rsidRPr="009D0906">
        <w:t>62</w:t>
      </w:r>
      <w:r w:rsidRPr="009D0906">
        <w:rPr>
          <w:rFonts w:ascii="Aptos" w:hAnsi="Aptos" w:cs="Aptos"/>
        </w:rPr>
        <w:t>–</w:t>
      </w:r>
      <w:r w:rsidRPr="009D0906">
        <w:t>71). A detailed development roadmap and risk register forecast the next stages of PrimeEngineAI</w:t>
      </w:r>
      <w:r w:rsidRPr="009D0906">
        <w:rPr>
          <w:rFonts w:ascii="Aptos" w:hAnsi="Aptos" w:cs="Aptos"/>
        </w:rPr>
        <w:t>’</w:t>
      </w:r>
      <w:r w:rsidRPr="009D0906">
        <w:t>s growth (</w:t>
      </w:r>
      <w:r w:rsidRPr="009D0906">
        <w:rPr>
          <w:rFonts w:ascii="Aptos" w:hAnsi="Aptos" w:cs="Aptos"/>
        </w:rPr>
        <w:t>“</w:t>
      </w:r>
      <w:r w:rsidRPr="009D0906">
        <w:t>Risk Register &amp; Mitigation,</w:t>
      </w:r>
      <w:r w:rsidRPr="009D0906">
        <w:rPr>
          <w:rFonts w:ascii="Aptos" w:hAnsi="Aptos" w:cs="Aptos"/>
        </w:rPr>
        <w:t>”</w:t>
      </w:r>
      <w:r w:rsidRPr="009D0906">
        <w:t xml:space="preserve"> pp</w:t>
      </w:r>
      <w:r w:rsidRPr="009D0906">
        <w:rPr>
          <w:rFonts w:ascii="Arial" w:hAnsi="Arial" w:cs="Arial"/>
        </w:rPr>
        <w:t> </w:t>
      </w:r>
      <w:r w:rsidRPr="009D0906">
        <w:t>74</w:t>
      </w:r>
      <w:r w:rsidRPr="009D0906">
        <w:rPr>
          <w:rFonts w:ascii="Aptos" w:hAnsi="Aptos" w:cs="Aptos"/>
        </w:rPr>
        <w:t>–</w:t>
      </w:r>
      <w:r w:rsidRPr="009D0906">
        <w:t xml:space="preserve">76; </w:t>
      </w:r>
      <w:r w:rsidRPr="009D0906">
        <w:rPr>
          <w:rFonts w:ascii="Aptos" w:hAnsi="Aptos" w:cs="Aptos"/>
        </w:rPr>
        <w:t>“</w:t>
      </w:r>
      <w:r w:rsidRPr="009D0906">
        <w:t>Roadmap &amp; Future Development,</w:t>
      </w:r>
      <w:r w:rsidRPr="009D0906">
        <w:rPr>
          <w:rFonts w:ascii="Aptos" w:hAnsi="Aptos" w:cs="Aptos"/>
        </w:rPr>
        <w:t>”</w:t>
      </w:r>
      <w:r w:rsidRPr="009D0906">
        <w:t xml:space="preserve"> pp</w:t>
      </w:r>
      <w:r w:rsidRPr="009D0906">
        <w:rPr>
          <w:rFonts w:ascii="Arial" w:hAnsi="Arial" w:cs="Arial"/>
        </w:rPr>
        <w:t> </w:t>
      </w:r>
      <w:r w:rsidRPr="009D0906">
        <w:t>78</w:t>
      </w:r>
      <w:r w:rsidRPr="009D0906">
        <w:rPr>
          <w:rFonts w:ascii="Aptos" w:hAnsi="Aptos" w:cs="Aptos"/>
        </w:rPr>
        <w:t>–</w:t>
      </w:r>
      <w:r w:rsidRPr="009D0906">
        <w:t>83).</w:t>
      </w:r>
    </w:p>
    <w:p w14:paraId="44630A5D" w14:textId="77777777" w:rsidR="009D0906" w:rsidRDefault="009D0906"/>
    <w:sectPr w:rsidR="009D0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31F99"/>
    <w:multiLevelType w:val="multilevel"/>
    <w:tmpl w:val="AC52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008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06"/>
    <w:rsid w:val="00743EA2"/>
    <w:rsid w:val="009D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2EBA"/>
  <w15:chartTrackingRefBased/>
  <w15:docId w15:val="{CAB28DB2-500D-4476-A206-47BEF16B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906"/>
  </w:style>
  <w:style w:type="paragraph" w:styleId="Heading1">
    <w:name w:val="heading 1"/>
    <w:basedOn w:val="Normal"/>
    <w:next w:val="Normal"/>
    <w:link w:val="Heading1Char"/>
    <w:uiPriority w:val="9"/>
    <w:qFormat/>
    <w:rsid w:val="009D090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90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90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9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9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9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9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9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9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090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D0906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90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906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906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906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906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906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D09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906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90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0906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D090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906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906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90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D0906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090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9D0906"/>
    <w:rPr>
      <w:b/>
      <w:bCs/>
    </w:rPr>
  </w:style>
  <w:style w:type="character" w:styleId="Emphasis">
    <w:name w:val="Emphasis"/>
    <w:basedOn w:val="DefaultParagraphFont"/>
    <w:uiPriority w:val="20"/>
    <w:qFormat/>
    <w:rsid w:val="009D0906"/>
    <w:rPr>
      <w:i/>
      <w:iCs/>
    </w:rPr>
  </w:style>
  <w:style w:type="paragraph" w:styleId="NoSpacing">
    <w:name w:val="No Spacing"/>
    <w:uiPriority w:val="1"/>
    <w:qFormat/>
    <w:rsid w:val="009D090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D090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D0906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D090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09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2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Bond</dc:creator>
  <cp:keywords/>
  <dc:description/>
  <cp:lastModifiedBy>Lee Bond</cp:lastModifiedBy>
  <cp:revision>1</cp:revision>
  <dcterms:created xsi:type="dcterms:W3CDTF">2025-05-15T19:36:00Z</dcterms:created>
  <dcterms:modified xsi:type="dcterms:W3CDTF">2025-05-15T19:39:00Z</dcterms:modified>
</cp:coreProperties>
</file>