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61bf879cf385d832eda44a1e89f0bd2a3485e2"/>
    <w:p>
      <w:pPr>
        <w:pStyle w:val="Heading2"/>
      </w:pPr>
      <w:r>
        <w:t xml:space="preserve">Chapter 6: Communication That Builds Confidence</w:t>
      </w:r>
    </w:p>
    <w:p>
      <w:pPr>
        <w:pStyle w:val="FirstParagraph"/>
      </w:pPr>
      <w:r>
        <w:t xml:space="preserve">What you say to your child becomes their inner voice.</w:t>
      </w:r>
    </w:p>
    <w:p>
      <w:pPr>
        <w:pStyle w:val="BodyText"/>
      </w:pPr>
      <w:r>
        <w:t xml:space="preserve">Not immediately.</w:t>
      </w:r>
      <w:r>
        <w:t xml:space="preserve"> </w:t>
      </w:r>
      <w:r>
        <w:t xml:space="preserve">But over time.</w:t>
      </w:r>
    </w:p>
    <w:p>
      <w:pPr>
        <w:pStyle w:val="BodyText"/>
      </w:pPr>
      <w:r>
        <w:t xml:space="preserve">The way you speak today is the way they will think tomorrow.</w:t>
      </w:r>
    </w:p>
    <w:p>
      <w:r>
        <w:pict>
          <v:rect style="width:0;height:1.5pt" o:hralign="center" o:hrstd="t" o:hr="t"/>
        </w:pict>
      </w:r>
    </w:p>
    <w:bookmarkEnd w:id="20"/>
    <w:bookmarkStart w:id="21" w:name="the-hidden-power-of-communication"/>
    <w:p>
      <w:pPr>
        <w:pStyle w:val="Heading2"/>
      </w:pPr>
      <w:r>
        <w:t xml:space="preserve">The Hidden Power of Communication</w:t>
      </w:r>
    </w:p>
    <w:p>
      <w:pPr>
        <w:pStyle w:val="FirstParagraph"/>
      </w:pPr>
      <w:r>
        <w:t xml:space="preserve">Children don’t just hear words.</w:t>
      </w:r>
      <w:r>
        <w:t xml:space="preserve"> </w:t>
      </w:r>
      <w:r>
        <w:t xml:space="preserve">They absorb tone, emotion, and meaning.</w:t>
      </w:r>
    </w:p>
    <w:p>
      <w:pPr>
        <w:pStyle w:val="BodyText"/>
      </w:pPr>
      <w:r>
        <w:t xml:space="preserve">Two parents can say the same sentence.</w:t>
      </w:r>
      <w:r>
        <w:t xml:space="preserve"> </w:t>
      </w:r>
      <w:r>
        <w:t xml:space="preserve">One builds confidence.</w:t>
      </w:r>
      <w:r>
        <w:t xml:space="preserve"> </w:t>
      </w:r>
      <w:r>
        <w:t xml:space="preserve">The other builds fear.</w:t>
      </w:r>
    </w:p>
    <w:p>
      <w:pPr>
        <w:pStyle w:val="BodyText"/>
      </w:pPr>
      <w:r>
        <w:t xml:space="preserve">Difference = delivery.</w:t>
      </w:r>
    </w:p>
    <w:p>
      <w:r>
        <w:pict>
          <v:rect style="width:0;height:1.5pt" o:hralign="center" o:hrstd="t" o:hr="t"/>
        </w:pict>
      </w:r>
    </w:p>
    <w:bookmarkEnd w:id="21"/>
    <w:bookmarkStart w:id="22" w:name="what-damages-confidence"/>
    <w:p>
      <w:pPr>
        <w:pStyle w:val="Heading2"/>
      </w:pPr>
      <w:r>
        <w:t xml:space="preserve">What Damages Confidence</w:t>
      </w:r>
    </w:p>
    <w:p>
      <w:pPr>
        <w:pStyle w:val="Compact"/>
        <w:numPr>
          <w:ilvl w:val="0"/>
          <w:numId w:val="1001"/>
        </w:numPr>
      </w:pPr>
      <w:r>
        <w:t xml:space="preserve">Constant correction</w:t>
      </w:r>
    </w:p>
    <w:p>
      <w:pPr>
        <w:pStyle w:val="Compact"/>
        <w:numPr>
          <w:ilvl w:val="0"/>
          <w:numId w:val="1001"/>
        </w:numPr>
      </w:pPr>
      <w:r>
        <w:t xml:space="preserve">Harsh tone</w:t>
      </w:r>
    </w:p>
    <w:p>
      <w:pPr>
        <w:pStyle w:val="Compact"/>
        <w:numPr>
          <w:ilvl w:val="0"/>
          <w:numId w:val="1001"/>
        </w:numPr>
      </w:pPr>
      <w:r>
        <w:t xml:space="preserve">Comparing with others</w:t>
      </w:r>
    </w:p>
    <w:p>
      <w:pPr>
        <w:pStyle w:val="Compact"/>
        <w:numPr>
          <w:ilvl w:val="0"/>
          <w:numId w:val="1001"/>
        </w:numPr>
      </w:pPr>
      <w:r>
        <w:t xml:space="preserve">Ignoring their voice</w:t>
      </w:r>
    </w:p>
    <w:p>
      <w:pPr>
        <w:pStyle w:val="FirstParagraph"/>
      </w:pPr>
      <w:r>
        <w:rPr>
          <w:b/>
          <w:bCs/>
        </w:rPr>
        <w:t xml:space="preserve">Message received by child:</w:t>
      </w:r>
    </w:p>
    <w:p>
      <w:pPr>
        <w:pStyle w:val="Compact"/>
        <w:numPr>
          <w:ilvl w:val="0"/>
          <w:numId w:val="1002"/>
        </w:numPr>
      </w:pPr>
      <w:r>
        <w:t xml:space="preserve">“I am not good enough”</w:t>
      </w:r>
    </w:p>
    <w:p>
      <w:r>
        <w:pict>
          <v:rect style="width:0;height:1.5pt" o:hralign="center" o:hrstd="t" o:hr="t"/>
        </w:pict>
      </w:r>
    </w:p>
    <w:bookmarkEnd w:id="22"/>
    <w:bookmarkStart w:id="23" w:name="what-builds-confidence"/>
    <w:p>
      <w:pPr>
        <w:pStyle w:val="Heading2"/>
      </w:pPr>
      <w:r>
        <w:t xml:space="preserve">What Builds Confidence</w:t>
      </w:r>
    </w:p>
    <w:p>
      <w:pPr>
        <w:pStyle w:val="Compact"/>
        <w:numPr>
          <w:ilvl w:val="0"/>
          <w:numId w:val="1003"/>
        </w:numPr>
      </w:pPr>
      <w:r>
        <w:t xml:space="preserve">Respectful tone</w:t>
      </w:r>
    </w:p>
    <w:p>
      <w:pPr>
        <w:pStyle w:val="Compact"/>
        <w:numPr>
          <w:ilvl w:val="0"/>
          <w:numId w:val="1003"/>
        </w:numPr>
      </w:pPr>
      <w:r>
        <w:t xml:space="preserve">Listening fully</w:t>
      </w:r>
    </w:p>
    <w:p>
      <w:pPr>
        <w:pStyle w:val="Compact"/>
        <w:numPr>
          <w:ilvl w:val="0"/>
          <w:numId w:val="1003"/>
        </w:numPr>
      </w:pPr>
      <w:r>
        <w:t xml:space="preserve">Encouraging effort (not just results)</w:t>
      </w:r>
    </w:p>
    <w:p>
      <w:pPr>
        <w:pStyle w:val="Compact"/>
        <w:numPr>
          <w:ilvl w:val="0"/>
          <w:numId w:val="1003"/>
        </w:numPr>
      </w:pPr>
      <w:r>
        <w:t xml:space="preserve">Allowing expression</w:t>
      </w:r>
    </w:p>
    <w:p>
      <w:pPr>
        <w:pStyle w:val="FirstParagraph"/>
      </w:pPr>
      <w:r>
        <w:rPr>
          <w:b/>
          <w:bCs/>
        </w:rPr>
        <w:t xml:space="preserve">Message received by child:</w:t>
      </w:r>
    </w:p>
    <w:p>
      <w:pPr>
        <w:pStyle w:val="Compact"/>
        <w:numPr>
          <w:ilvl w:val="0"/>
          <w:numId w:val="1004"/>
        </w:numPr>
      </w:pPr>
      <w:r>
        <w:t xml:space="preserve">“I matter”</w:t>
      </w:r>
    </w:p>
    <w:p>
      <w:r>
        <w:pict>
          <v:rect style="width:0;height:1.5pt" o:hralign="center" o:hrstd="t" o:hr="t"/>
        </w:pict>
      </w:r>
    </w:p>
    <w:bookmarkEnd w:id="23"/>
    <w:bookmarkStart w:id="27" w:name="the-3-part-communication-model"/>
    <w:p>
      <w:pPr>
        <w:pStyle w:val="Heading2"/>
      </w:pPr>
      <w:r>
        <w:t xml:space="preserve">The 3-Part Communication Model</w:t>
      </w:r>
    </w:p>
    <w:bookmarkStart w:id="24" w:name="listen-first"/>
    <w:p>
      <w:pPr>
        <w:pStyle w:val="Heading3"/>
      </w:pPr>
      <w:r>
        <w:t xml:space="preserve">1. Listen First</w:t>
      </w:r>
    </w:p>
    <w:p>
      <w:pPr>
        <w:pStyle w:val="Compact"/>
        <w:numPr>
          <w:ilvl w:val="0"/>
          <w:numId w:val="1005"/>
        </w:numPr>
      </w:pPr>
      <w:r>
        <w:t xml:space="preserve">Do not interrupt</w:t>
      </w:r>
    </w:p>
    <w:p>
      <w:pPr>
        <w:pStyle w:val="Compact"/>
        <w:numPr>
          <w:ilvl w:val="0"/>
          <w:numId w:val="1005"/>
        </w:numPr>
      </w:pPr>
      <w:r>
        <w:t xml:space="preserve">Let them finish</w:t>
      </w:r>
    </w:p>
    <w:p>
      <w:r>
        <w:pict>
          <v:rect style="width:0;height:1.5pt" o:hralign="center" o:hrstd="t" o:hr="t"/>
        </w:pict>
      </w:r>
    </w:p>
    <w:bookmarkEnd w:id="24"/>
    <w:bookmarkStart w:id="25" w:name="reflect-back"/>
    <w:p>
      <w:pPr>
        <w:pStyle w:val="Heading3"/>
      </w:pPr>
      <w:r>
        <w:t xml:space="preserve">2. Reflect Back</w:t>
      </w:r>
    </w:p>
    <w:p>
      <w:pPr>
        <w:pStyle w:val="Compact"/>
        <w:numPr>
          <w:ilvl w:val="0"/>
          <w:numId w:val="1006"/>
        </w:numPr>
      </w:pPr>
      <w:r>
        <w:t xml:space="preserve">Show you understood</w:t>
      </w:r>
    </w:p>
    <w:p>
      <w:pPr>
        <w:pStyle w:val="FirstParagraph"/>
      </w:pPr>
      <w:r>
        <w:t xml:space="preserve">Example:</w:t>
      </w:r>
      <w:r>
        <w:t xml:space="preserve"> </w:t>
      </w:r>
      <w:r>
        <w:t xml:space="preserve">“You felt bad when that happened.”</w:t>
      </w:r>
    </w:p>
    <w:p>
      <w:r>
        <w:pict>
          <v:rect style="width:0;height:1.5pt" o:hralign="center" o:hrstd="t" o:hr="t"/>
        </w:pict>
      </w:r>
    </w:p>
    <w:bookmarkEnd w:id="25"/>
    <w:bookmarkStart w:id="26" w:name="respond-simply"/>
    <w:p>
      <w:pPr>
        <w:pStyle w:val="Heading3"/>
      </w:pPr>
      <w:r>
        <w:t xml:space="preserve">3. Respond Simply</w:t>
      </w:r>
    </w:p>
    <w:p>
      <w:pPr>
        <w:pStyle w:val="Compact"/>
        <w:numPr>
          <w:ilvl w:val="0"/>
          <w:numId w:val="1007"/>
        </w:numPr>
      </w:pPr>
      <w:r>
        <w:t xml:space="preserve">Short, clear, calm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replace-these-common-phrases"/>
    <w:p>
      <w:pPr>
        <w:pStyle w:val="Heading2"/>
      </w:pPr>
      <w:r>
        <w:t xml:space="preserve">Replace These Common Phrases</w:t>
      </w:r>
    </w:p>
    <w:p>
      <w:pPr>
        <w:pStyle w:val="FirstParagraph"/>
      </w:pPr>
      <w:r>
        <w:t xml:space="preserve">❌</w:t>
      </w:r>
      <w:r>
        <w:t xml:space="preserve"> </w:t>
      </w:r>
      <w:r>
        <w:t xml:space="preserve">“Why are you like this?”</w:t>
      </w:r>
    </w:p>
    <w:p>
      <w:pPr>
        <w:pStyle w:val="BodyText"/>
      </w:pPr>
      <w:r>
        <w:t xml:space="preserve">✅</w:t>
      </w:r>
      <w:r>
        <w:t xml:space="preserve"> </w:t>
      </w:r>
      <w:r>
        <w:t xml:space="preserve">“What happened?”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❌</w:t>
      </w:r>
      <w:r>
        <w:t xml:space="preserve"> </w:t>
      </w:r>
      <w:r>
        <w:t xml:space="preserve">“You always do this”</w:t>
      </w:r>
    </w:p>
    <w:p>
      <w:pPr>
        <w:pStyle w:val="BodyText"/>
      </w:pPr>
      <w:r>
        <w:t xml:space="preserve">✅</w:t>
      </w:r>
      <w:r>
        <w:t xml:space="preserve"> </w:t>
      </w:r>
      <w:r>
        <w:t xml:space="preserve">“Let’s fix this together”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❌</w:t>
      </w:r>
      <w:r>
        <w:t xml:space="preserve"> </w:t>
      </w:r>
      <w:r>
        <w:t xml:space="preserve">“Stop crying”</w:t>
      </w:r>
    </w:p>
    <w:p>
      <w:pPr>
        <w:pStyle w:val="BodyText"/>
      </w:pPr>
      <w:r>
        <w:t xml:space="preserve">✅</w:t>
      </w:r>
      <w:r>
        <w:t xml:space="preserve"> </w:t>
      </w:r>
      <w:r>
        <w:t xml:space="preserve">“I’m here, tell me”</w:t>
      </w:r>
    </w:p>
    <w:p>
      <w:r>
        <w:pict>
          <v:rect style="width:0;height:1.5pt" o:hralign="center" o:hrstd="t" o:hr="t"/>
        </w:pict>
      </w:r>
    </w:p>
    <w:bookmarkEnd w:id="28"/>
    <w:bookmarkStart w:id="29" w:name="the-confidence-rule"/>
    <w:p>
      <w:pPr>
        <w:pStyle w:val="Heading2"/>
      </w:pPr>
      <w:r>
        <w:t xml:space="preserve">The Confidence Rule</w:t>
      </w:r>
    </w:p>
    <w:p>
      <w:pPr>
        <w:pStyle w:val="FirstParagraph"/>
      </w:pPr>
      <w:r>
        <w:rPr>
          <w:b/>
          <w:bCs/>
        </w:rPr>
        <w:t xml:space="preserve">Correct behavior without attacking identity</w:t>
      </w:r>
    </w:p>
    <w:p>
      <w:pPr>
        <w:pStyle w:val="BodyText"/>
      </w:pPr>
      <w:r>
        <w:t xml:space="preserve">Wrong:</w:t>
      </w:r>
    </w:p>
    <w:p>
      <w:pPr>
        <w:pStyle w:val="Compact"/>
        <w:numPr>
          <w:ilvl w:val="0"/>
          <w:numId w:val="1008"/>
        </w:numPr>
      </w:pPr>
      <w:r>
        <w:t xml:space="preserve">“You are careless”</w:t>
      </w:r>
    </w:p>
    <w:p>
      <w:pPr>
        <w:pStyle w:val="FirstParagraph"/>
      </w:pPr>
      <w:r>
        <w:t xml:space="preserve">Right:</w:t>
      </w:r>
    </w:p>
    <w:p>
      <w:pPr>
        <w:pStyle w:val="Compact"/>
        <w:numPr>
          <w:ilvl w:val="0"/>
          <w:numId w:val="1009"/>
        </w:numPr>
      </w:pPr>
      <w:r>
        <w:t xml:space="preserve">“This was done in a hurry. Let’s do it properly.”</w:t>
      </w:r>
    </w:p>
    <w:p>
      <w:r>
        <w:pict>
          <v:rect style="width:0;height:1.5pt" o:hralign="center" o:hrstd="t" o:hr="t"/>
        </w:pict>
      </w:r>
    </w:p>
    <w:bookmarkEnd w:id="29"/>
    <w:bookmarkStart w:id="30" w:name="real-life-scenario"/>
    <w:p>
      <w:pPr>
        <w:pStyle w:val="Heading2"/>
      </w:pPr>
      <w:r>
        <w:t xml:space="preserve">Real-Life Scenario</w:t>
      </w:r>
    </w:p>
    <w:p>
      <w:pPr>
        <w:pStyle w:val="FirstParagraph"/>
      </w:pPr>
      <w:r>
        <w:t xml:space="preserve">Child fails a test.</w:t>
      </w:r>
    </w:p>
    <w:p>
      <w:pPr>
        <w:pStyle w:val="BodyText"/>
      </w:pPr>
      <w:r>
        <w:t xml:space="preserve">❌ Reaction:</w:t>
      </w:r>
      <w:r>
        <w:t xml:space="preserve"> </w:t>
      </w:r>
      <w:r>
        <w:t xml:space="preserve">“You didn’t study properly.”</w:t>
      </w:r>
    </w:p>
    <w:p>
      <w:pPr>
        <w:pStyle w:val="BodyText"/>
      </w:pPr>
      <w:r>
        <w:t xml:space="preserve">Result:</w:t>
      </w:r>
    </w:p>
    <w:p>
      <w:pPr>
        <w:pStyle w:val="Compact"/>
        <w:numPr>
          <w:ilvl w:val="0"/>
          <w:numId w:val="1010"/>
        </w:numPr>
      </w:pPr>
      <w:r>
        <w:t xml:space="preserve">Shame</w:t>
      </w:r>
    </w:p>
    <w:p>
      <w:pPr>
        <w:pStyle w:val="FirstParagraph"/>
      </w:pPr>
      <w:r>
        <w:t xml:space="preserve">✅ Better:</w:t>
      </w:r>
      <w:r>
        <w:t xml:space="preserve"> </w:t>
      </w:r>
      <w:r>
        <w:t xml:space="preserve">“I know this feels bad.”</w:t>
      </w:r>
      <w:r>
        <w:t xml:space="preserve"> </w:t>
      </w:r>
      <w:r>
        <w:t xml:space="preserve">(pause)</w:t>
      </w:r>
      <w:r>
        <w:t xml:space="preserve"> </w:t>
      </w:r>
      <w:r>
        <w:t xml:space="preserve">“Let’s see what went wrong and improve.”</w:t>
      </w:r>
    </w:p>
    <w:p>
      <w:pPr>
        <w:pStyle w:val="BodyText"/>
      </w:pPr>
      <w:r>
        <w:t xml:space="preserve">Result:</w:t>
      </w:r>
    </w:p>
    <w:p>
      <w:pPr>
        <w:pStyle w:val="Compact"/>
        <w:numPr>
          <w:ilvl w:val="0"/>
          <w:numId w:val="1011"/>
        </w:numPr>
      </w:pPr>
      <w:r>
        <w:t xml:space="preserve">Learning mindset</w:t>
      </w:r>
    </w:p>
    <w:p>
      <w:r>
        <w:pict>
          <v:rect style="width:0;height:1.5pt" o:hralign="center" o:hrstd="t" o:hr="t"/>
        </w:pict>
      </w:r>
    </w:p>
    <w:bookmarkEnd w:id="30"/>
    <w:bookmarkStart w:id="31" w:name="the-8020-rule-of-parenting-talk"/>
    <w:p>
      <w:pPr>
        <w:pStyle w:val="Heading2"/>
      </w:pPr>
      <w:r>
        <w:t xml:space="preserve">The 80/20 Rule of Parenting Talk</w:t>
      </w:r>
    </w:p>
    <w:p>
      <w:pPr>
        <w:pStyle w:val="Compact"/>
        <w:numPr>
          <w:ilvl w:val="0"/>
          <w:numId w:val="1012"/>
        </w:numPr>
      </w:pPr>
      <w:r>
        <w:t xml:space="preserve">80% connection</w:t>
      </w:r>
    </w:p>
    <w:p>
      <w:pPr>
        <w:pStyle w:val="Compact"/>
        <w:numPr>
          <w:ilvl w:val="0"/>
          <w:numId w:val="1012"/>
        </w:numPr>
      </w:pPr>
      <w:r>
        <w:t xml:space="preserve">20% correction</w:t>
      </w:r>
    </w:p>
    <w:p>
      <w:pPr>
        <w:pStyle w:val="FirstParagraph"/>
      </w:pPr>
      <w:r>
        <w:t xml:space="preserve">If correction is more than connection,</w:t>
      </w:r>
      <w:r>
        <w:t xml:space="preserve"> </w:t>
      </w:r>
      <w:r>
        <w:t xml:space="preserve">confidence drops.</w:t>
      </w:r>
    </w:p>
    <w:p>
      <w:r>
        <w:pict>
          <v:rect style="width:0;height:1.5pt" o:hralign="center" o:hrstd="t" o:hr="t"/>
        </w:pict>
      </w:r>
    </w:p>
    <w:bookmarkEnd w:id="31"/>
    <w:bookmarkStart w:id="32" w:name="tone-matters-more-than-words"/>
    <w:p>
      <w:pPr>
        <w:pStyle w:val="Heading2"/>
      </w:pPr>
      <w:r>
        <w:t xml:space="preserve">Tone Matters More Than Words</w:t>
      </w:r>
    </w:p>
    <w:p>
      <w:pPr>
        <w:pStyle w:val="FirstParagraph"/>
      </w:pPr>
      <w:r>
        <w:t xml:space="preserve">Children remember how you made them feel.</w:t>
      </w:r>
      <w:r>
        <w:t xml:space="preserve"> </w:t>
      </w:r>
      <w:r>
        <w:t xml:space="preserve">Not the exact sentence.</w:t>
      </w:r>
    </w:p>
    <w:p>
      <w:pPr>
        <w:pStyle w:val="BodyText"/>
      </w:pPr>
      <w:r>
        <w:t xml:space="preserve">Same words, different tone → different impact</w:t>
      </w:r>
    </w:p>
    <w:p>
      <w:r>
        <w:pict>
          <v:rect style="width:0;height:1.5pt" o:hralign="center" o:hrstd="t" o:hr="t"/>
        </w:pict>
      </w:r>
    </w:p>
    <w:bookmarkEnd w:id="32"/>
    <w:bookmarkStart w:id="33" w:name="when-to-stay-silent"/>
    <w:p>
      <w:pPr>
        <w:pStyle w:val="Heading2"/>
      </w:pPr>
      <w:r>
        <w:t xml:space="preserve">When to Stay Silent</w:t>
      </w:r>
    </w:p>
    <w:p>
      <w:pPr>
        <w:pStyle w:val="FirstParagraph"/>
      </w:pPr>
      <w:r>
        <w:t xml:space="preserve">Not every moment needs advice.</w:t>
      </w:r>
    </w:p>
    <w:p>
      <w:pPr>
        <w:pStyle w:val="BodyText"/>
      </w:pPr>
      <w:r>
        <w:t xml:space="preserve">Sometimes:</w:t>
      </w:r>
    </w:p>
    <w:p>
      <w:pPr>
        <w:pStyle w:val="Compact"/>
        <w:numPr>
          <w:ilvl w:val="0"/>
          <w:numId w:val="1013"/>
        </w:numPr>
      </w:pPr>
      <w:r>
        <w:t xml:space="preserve">Just listen</w:t>
      </w:r>
    </w:p>
    <w:p>
      <w:pPr>
        <w:pStyle w:val="Compact"/>
        <w:numPr>
          <w:ilvl w:val="0"/>
          <w:numId w:val="1013"/>
        </w:numPr>
      </w:pPr>
      <w:r>
        <w:t xml:space="preserve">Just sit with them</w:t>
      </w:r>
    </w:p>
    <w:p>
      <w:pPr>
        <w:pStyle w:val="FirstParagraph"/>
      </w:pPr>
      <w:r>
        <w:t xml:space="preserve">Silence with presence builds trust.</w:t>
      </w:r>
    </w:p>
    <w:p>
      <w:r>
        <w:pict>
          <v:rect style="width:0;height:1.5pt" o:hralign="center" o:hrstd="t" o:hr="t"/>
        </w:pict>
      </w:r>
    </w:p>
    <w:bookmarkEnd w:id="33"/>
    <w:bookmarkStart w:id="34" w:name="if-you-remember-only-this"/>
    <w:p>
      <w:pPr>
        <w:pStyle w:val="Heading2"/>
      </w:pPr>
      <w:r>
        <w:t xml:space="preserve">If You Remember Only This</w:t>
      </w:r>
    </w:p>
    <w:p>
      <w:pPr>
        <w:pStyle w:val="Compact"/>
        <w:numPr>
          <w:ilvl w:val="0"/>
          <w:numId w:val="1014"/>
        </w:numPr>
      </w:pPr>
      <w:r>
        <w:t xml:space="preserve">Your words become their inner voice</w:t>
      </w:r>
    </w:p>
    <w:p>
      <w:pPr>
        <w:pStyle w:val="Compact"/>
        <w:numPr>
          <w:ilvl w:val="0"/>
          <w:numId w:val="1014"/>
        </w:numPr>
      </w:pPr>
      <w:r>
        <w:t xml:space="preserve">Listen more than you speak</w:t>
      </w:r>
    </w:p>
    <w:p>
      <w:pPr>
        <w:pStyle w:val="Compact"/>
        <w:numPr>
          <w:ilvl w:val="0"/>
          <w:numId w:val="1014"/>
        </w:numPr>
      </w:pPr>
      <w:r>
        <w:t xml:space="preserve">Correct behavior, not identity</w:t>
      </w:r>
    </w:p>
    <w:p>
      <w:r>
        <w:pict>
          <v:rect style="width:0;height:1.5pt" o:hralign="center" o:hrstd="t" o:hr="t"/>
        </w:pict>
      </w:r>
    </w:p>
    <w:bookmarkEnd w:id="34"/>
    <w:bookmarkStart w:id="35" w:name="quick-action-apply-today"/>
    <w:p>
      <w:pPr>
        <w:pStyle w:val="Heading2"/>
      </w:pPr>
      <w:r>
        <w:t xml:space="preserve">Quick Action (Apply Today)</w:t>
      </w:r>
    </w:p>
    <w:p>
      <w:pPr>
        <w:pStyle w:val="Compact"/>
        <w:numPr>
          <w:ilvl w:val="0"/>
          <w:numId w:val="1015"/>
        </w:numPr>
      </w:pPr>
      <w:r>
        <w:t xml:space="preserve">Replace one negative phrase with a better one</w:t>
      </w:r>
    </w:p>
    <w:p>
      <w:pPr>
        <w:pStyle w:val="Compact"/>
        <w:numPr>
          <w:ilvl w:val="0"/>
          <w:numId w:val="1015"/>
        </w:numPr>
      </w:pPr>
      <w:r>
        <w:t xml:space="preserve">Listen fully once without interrupting</w:t>
      </w:r>
    </w:p>
    <w:p>
      <w:pPr>
        <w:pStyle w:val="Compact"/>
        <w:numPr>
          <w:ilvl w:val="0"/>
          <w:numId w:val="1015"/>
        </w:numPr>
      </w:pPr>
      <w:r>
        <w:t xml:space="preserve">Appreciate effort, not just results</w:t>
      </w:r>
    </w:p>
    <w:p>
      <w:pPr>
        <w:pStyle w:val="FirstParagraph"/>
      </w:pPr>
      <w:r>
        <w:t xml:space="preserve">This is how confidence is built daily.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2026-04-13T04:51:40Z</dcterms:created>
  <dcterms:modified xsi:type="dcterms:W3CDTF">2026-04-13T04:51:40Z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