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C75A83">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C75A83">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C75A83">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C75A83">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C75A83">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C75A83">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C75A83">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C75A83">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C75A83">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C75A83">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C75A83">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C75A83">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C75A83">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C75A83">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C75A83">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C75A83">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C75A83">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C75A83">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C75A83">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C75A83">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C75A83">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C75A83">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C75A83">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C75A83">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C75A83">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C75A83">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C75A83">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C75A83">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C75A83">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Netbeans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 xml:space="preserve">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w:t>
      </w:r>
      <w:r>
        <w:lastRenderedPageBreak/>
        <w:t>(Observer, für Beanschriftung bei Änderungen an den jeweiligen Observable)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r w:rsidR="00033EEC">
        <w:t>Presenter</w:t>
      </w:r>
      <w:r>
        <w:t xml:space="preserve"> Pattern</w:t>
      </w:r>
      <w:bookmarkEnd w:id="13"/>
    </w:p>
    <w:p w14:paraId="6FF30641" w14:textId="559F6255" w:rsidR="00912898" w:rsidRDefault="00B31748" w:rsidP="00912898">
      <w:r>
        <w:t>Als allgemeine Programmstruktur Programmarchitektur wurde das Model- View- Presenter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bzgl. der Darstellung oder der Interaktion besitzen. Eine weitere Variante des MVC- Pattern stellt das Model- View- Presenter (MVP) Pattern dar.</w:t>
      </w:r>
      <w:r>
        <w:rPr>
          <w:rStyle w:val="Funotenzeichen"/>
        </w:rPr>
        <w:footnoteReference w:id="4"/>
      </w:r>
    </w:p>
    <w:p w14:paraId="3CF58F90" w14:textId="77777777" w:rsidR="00A043D3" w:rsidRDefault="00A043D3" w:rsidP="00A043D3">
      <w: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w:t>
      </w:r>
      <w:r>
        <w:lastRenderedPageBreak/>
        <w:t>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14:paraId="79693730" w14:textId="42612050" w:rsidR="0080401D" w:rsidRDefault="0065784A" w:rsidP="004D21CD">
      <w:pPr>
        <w:pStyle w:val="berschrift3"/>
      </w:pPr>
      <w:bookmarkStart w:id="15" w:name="_Toc70535962"/>
      <w:r>
        <w:t>Data Access Object</w:t>
      </w:r>
      <w:bookmarkEnd w:id="15"/>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r>
        <w:t>Object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r>
        <w:t>Compare</w:t>
      </w:r>
      <w:bookmarkEnd w:id="18"/>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Presenter – View – </w:t>
      </w:r>
      <w:r>
        <w:lastRenderedPageBreak/>
        <w:t>Beziehungen aufweist, die wiederum weitere Presenter-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Im folgenden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w:t>
      </w:r>
      <w:r w:rsidR="00301F70">
        <w:t xml:space="preserve">Dialogbeendigung für Weiterarbeit in Primärdialog </w:t>
      </w:r>
      <w:r w:rsidR="00301F70">
        <w:t xml:space="preserve">nicht </w:t>
      </w:r>
      <w:r w:rsidR="00301F70">
        <w:t>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 So ist es z.B. nicht möglich mehrere Club-Dialoge mit jeweils einem Transaktionsdialog (im ClubEdit-View bzw. Dialog) gleichzeitig zu </w:t>
      </w:r>
      <w:r>
        <w:lastRenderedPageBreak/>
        <w:t>erzeugen, was ggf. zu Dateninkonsitenzen bei Transaktionen führen kann die noch nicht oder nur Teilweise abgeschlossen sind, und deren Ergebnisse wiederum in anderen offenen ClubEdit-View Dialogen verwendet werden.</w:t>
      </w:r>
    </w:p>
    <w:p w14:paraId="024187EA" w14:textId="7EFE47B6" w:rsidR="005B6E20" w:rsidRDefault="0093009B">
      <w:r>
        <w:t>Für die Bedienung der Dialoge kann eine objektorientierte</w:t>
      </w:r>
      <w:r w:rsidR="00CC563D">
        <w:t xml:space="preserve"> (</w:t>
      </w:r>
      <w:r w:rsidR="00EE46B9">
        <w:t xml:space="preserve">zuerst </w:t>
      </w:r>
      <w:r w:rsidR="00EE46B9">
        <w:t>Objektwahl</w:t>
      </w:r>
      <w:r w:rsidR="00EE46B9">
        <w:t>, anschließend Auswahl der anzuwendenden Funktion</w:t>
      </w:r>
      <w:r w:rsidR="00CC563D">
        <w:t>)</w:t>
      </w:r>
      <w:r>
        <w:t xml:space="preserve"> oder funktionsorientierte </w:t>
      </w:r>
      <w:r w:rsidR="00CC563D">
        <w:t>(</w:t>
      </w:r>
      <w:r w:rsidR="00AA7167">
        <w:t>zuerst Funktionswahl</w:t>
      </w:r>
      <w:r w:rsidR="00EE46B9">
        <w:t xml:space="preserve">, anschließend Auswahl </w:t>
      </w:r>
      <w:r w:rsidR="00AA7167">
        <w:t>zu nutzenden Objektes</w:t>
      </w:r>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In der vorliegenden Applikation wird beispielsweise eine objektorientierte Bedienung im MainView- bzw. MainPresenter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(MainView</w:t>
      </w:r>
      <w:r w:rsidR="008F21B8">
        <w:t xml:space="preserve"> realisiert durch ein JFrame</w:t>
      </w:r>
      <w:r>
        <w:t>)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(dialog box</w:t>
      </w:r>
      <w:r w:rsidR="0075370A">
        <w:t>, Benutzereingabe meist als modaler Dialog</w:t>
      </w:r>
      <w:r>
        <w:t>) und Mitteilungsfenster (message box</w:t>
      </w:r>
      <w:r w:rsidR="00877CFD">
        <w:t xml:space="preserve">, nur Benutzermittelungen keine </w:t>
      </w:r>
      <w:r w:rsidR="00877CFD">
        <w:t>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hinzufügen eines neuen Spiels zwischen zwei Teams verwendet. </w:t>
      </w:r>
      <w:r w:rsidR="001F0DED">
        <w:t xml:space="preserve">Dies wurde durch mittels der Implementierung eines JDialog realisiert. </w:t>
      </w:r>
      <w:r>
        <w:t xml:space="preserve">Nach vollständiger Auswahl und Eingabe aller erforderlichen Parameter werden diese überprüft. </w:t>
      </w:r>
      <w:r w:rsidR="00137B1A">
        <w:t xml:space="preserve">Je nach positiver oder negativer Überprüfung der Eingabedaten wird ein entsprechender </w:t>
      </w:r>
      <w:r w:rsidR="00137B1A">
        <w:t xml:space="preserve">MessageDialog (mittels JOptionPane) </w:t>
      </w:r>
      <w:r w:rsidR="00137B1A">
        <w:t>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(list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TableView oder in der Spiel- Historie) die Java eigene JTable gewählt. Diese stellt die Daten in der Form des oben beschriebenen Reportes dar. Damit die Daten korrekt dargestellt werden, benötigt die JTable ein eigenes Model, welches die Tabellenstruktur (Spaltenbeschriftung und ggf. Zeilen) vorgibt. Die Tabellenmodelle </w:t>
      </w:r>
      <w:r>
        <w:lastRenderedPageBreak/>
        <w:t>für die verwendeten JTable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anzeigt konsistent zu halten. In einige Tabellen z.B. im ClubView oder im KaderView sind Zeilen bzw. Spalten selektierbar und über Pop-Up Menüs editierbar. Diese Möglichkeit, wurde bewusst nur in diesen Views bzw. Tabellen gewählt, da die JTables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Presenter  geschenen aus dem MVC Pattern</w:t>
      </w:r>
      <w:bookmarkStart w:id="32" w:name="_Vorstellung_des_Unternehmens"/>
      <w:bookmarkEnd w:id="32"/>
      <w:r>
        <w:t xml:space="preserve"> </w:t>
      </w:r>
      <w:r>
        <w:rPr>
          <w:rFonts w:eastAsia="Wingdings" w:cs="Wingdings"/>
        </w:rPr>
        <w:t></w:t>
      </w:r>
      <w:r>
        <w:t xml:space="preserve"> für die Datenkonsitenz nutzen wir das Observerpattern (MainPresenter registriert sich beim LigaModel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Datenkonsitenz über mehrere View- Presenter- Beziehung durch ein einheitliches Hauptmodels (durch Aktualisierung des MainPresenters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MainPresenter </w:t>
      </w:r>
      <w:r>
        <w:rPr>
          <w:rFonts w:eastAsia="Wingdings" w:cs="Wingdings"/>
        </w:rPr>
        <w:t></w:t>
      </w:r>
      <w:r>
        <w:t xml:space="preserve"> hier allgemeine Anzeige im Hauptfenter (und damit auch weitere Intialisierung von View- Presenter Beziehungen) </w:t>
      </w:r>
      <w:r>
        <w:rPr>
          <w:rFonts w:eastAsia="Wingdings" w:cs="Wingdings"/>
        </w:rPr>
        <w:t></w:t>
      </w:r>
      <w:r>
        <w:t xml:space="preserve"> &amp; Aktualisierung der Daten über das Observer pattern </w:t>
      </w:r>
      <w:r>
        <w:rPr>
          <w:rFonts w:eastAsia="Wingdings" w:cs="Wingdings"/>
        </w:rPr>
        <w:t></w:t>
      </w:r>
      <w: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rPr>
        <w:t></w:t>
      </w:r>
      <w:r>
        <w:t xml:space="preserve"> das gleiche gilt auch für alle nachfolgenden Presenter- View Beziehungen </w:t>
      </w:r>
      <w:r>
        <w:rPr>
          <w:rFonts w:eastAsia="Wingdings" w:cs="Wingdings"/>
        </w:rPr>
        <w:t></w:t>
      </w:r>
      <w:r>
        <w:t xml:space="preserve"> sinnvoll wegen der Komplexittät der Applikation (models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ausgwählten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r>
        <w:rPr>
          <w:lang w:val="en-US"/>
        </w:rPr>
        <w:t>Anhang 1</w:t>
      </w:r>
      <w:r>
        <w:rPr>
          <w:lang w:val="en-US"/>
        </w:rPr>
        <w:tab/>
        <w:t>Klassendiagramm (Eigene Darstellung)</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r>
        <w:rPr>
          <w:lang w:val="en-US"/>
        </w:rPr>
        <w:t>Anhang 2</w:t>
      </w:r>
      <w:r>
        <w:rPr>
          <w:lang w:val="en-US"/>
        </w:rPr>
        <w:tab/>
        <w:t>Paketdiagramm (Eigene Darstellung)</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r>
        <w:rPr>
          <w:lang w:val="en-US"/>
        </w:rPr>
        <w:lastRenderedPageBreak/>
        <w:t>Anhang 3</w:t>
      </w:r>
      <w:r>
        <w:rPr>
          <w:lang w:val="en-US"/>
        </w:rPr>
        <w:tab/>
        <w:t>Datenbank-Diagramm  (Eigene Darstellung)</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tag w:val="CitaviBibliography"/>
        <w:id w:val="321317510"/>
        <w:placeholder>
          <w:docPart w:val="DefaultPlaceholder_-1854013440"/>
        </w:placeholder>
      </w:sdtPr>
      <w:sdtEndPr>
        <w:rPr>
          <w:b w:val="0"/>
          <w:bCs w:val="0"/>
        </w:r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Gharbi, Mahbouda; Koschel, Arne; Rausch, Andreas; Starke, Gernot (Basiswissen für Softwarearchitekten; 2018): Basiswissen für Softwarearchitekten, dpunkt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A691B" w14:textId="77777777" w:rsidR="00C75A83" w:rsidRDefault="00C75A83">
      <w:pPr>
        <w:spacing w:after="0" w:line="240" w:lineRule="auto"/>
      </w:pPr>
      <w:r>
        <w:separator/>
      </w:r>
    </w:p>
  </w:endnote>
  <w:endnote w:type="continuationSeparator" w:id="0">
    <w:p w14:paraId="56AC32C1" w14:textId="77777777" w:rsidR="00C75A83" w:rsidRDefault="00C7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C0314" w14:textId="77777777" w:rsidR="00C75A83" w:rsidRDefault="00C75A83">
      <w:pPr>
        <w:rPr>
          <w:sz w:val="12"/>
        </w:rPr>
      </w:pPr>
      <w:r>
        <w:separator/>
      </w:r>
    </w:p>
  </w:footnote>
  <w:footnote w:type="continuationSeparator" w:id="0">
    <w:p w14:paraId="37929E8D" w14:textId="77777777" w:rsidR="00C75A83" w:rsidRDefault="00C75A83">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BiB8aE BiB8aE BiB8aE 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360B0"/>
    <w:rsid w:val="0013631B"/>
    <w:rsid w:val="00137B1A"/>
    <w:rsid w:val="00146BEB"/>
    <w:rsid w:val="001700EB"/>
    <w:rsid w:val="001703D0"/>
    <w:rsid w:val="00174748"/>
    <w:rsid w:val="00183570"/>
    <w:rsid w:val="001C320C"/>
    <w:rsid w:val="001E6A69"/>
    <w:rsid w:val="001F0DED"/>
    <w:rsid w:val="00206F1F"/>
    <w:rsid w:val="00221592"/>
    <w:rsid w:val="00281E33"/>
    <w:rsid w:val="00284734"/>
    <w:rsid w:val="00294072"/>
    <w:rsid w:val="00294594"/>
    <w:rsid w:val="002A2411"/>
    <w:rsid w:val="002B417B"/>
    <w:rsid w:val="00301F70"/>
    <w:rsid w:val="00304787"/>
    <w:rsid w:val="00314D86"/>
    <w:rsid w:val="00325587"/>
    <w:rsid w:val="0033115D"/>
    <w:rsid w:val="00331E13"/>
    <w:rsid w:val="0035202F"/>
    <w:rsid w:val="003A14D9"/>
    <w:rsid w:val="003B6224"/>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31FE"/>
    <w:rsid w:val="00C22D5C"/>
    <w:rsid w:val="00C257DB"/>
    <w:rsid w:val="00C537C8"/>
    <w:rsid w:val="00C71A5F"/>
    <w:rsid w:val="00C75A83"/>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208CD"/>
    <w:rsid w:val="001460A4"/>
    <w:rsid w:val="001A7BB4"/>
    <w:rsid w:val="001F6F07"/>
    <w:rsid w:val="002367C1"/>
    <w:rsid w:val="00307107"/>
    <w:rsid w:val="003161A5"/>
    <w:rsid w:val="00344ACE"/>
    <w:rsid w:val="003D15ED"/>
    <w:rsid w:val="003E31D8"/>
    <w:rsid w:val="004B25C6"/>
    <w:rsid w:val="004D7244"/>
    <w:rsid w:val="005B713C"/>
    <w:rsid w:val="005C0C1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E56D0A"/>
    <w:rsid w:val="00EA71D9"/>
    <w:rsid w:val="00EE7AF7"/>
    <w:rsid w:val="00F5515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705</cp:revision>
  <cp:lastPrinted>2018-08-07T13:28:00Z</cp:lastPrinted>
  <dcterms:created xsi:type="dcterms:W3CDTF">2021-02-10T09:01:00Z</dcterms:created>
  <dcterms:modified xsi:type="dcterms:W3CDTF">2021-04-28T20:25:00Z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2021-04-28T20:25:03Z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