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217B" w14:textId="77777777" w:rsidR="002A3932" w:rsidRPr="002A3932" w:rsidRDefault="002A3932" w:rsidP="002A3932">
      <w:pPr>
        <w:rPr>
          <w:lang w:val="es-PE"/>
        </w:rPr>
      </w:pPr>
    </w:p>
    <w:p w14:paraId="77CDA949" w14:textId="0EF3B344" w:rsidR="002A3932" w:rsidRDefault="002A3932" w:rsidP="002A3932">
      <w:pPr>
        <w:jc w:val="center"/>
        <w:rPr>
          <w:b/>
          <w:bCs/>
          <w:sz w:val="28"/>
          <w:szCs w:val="28"/>
          <w:lang w:val="es-PE"/>
        </w:rPr>
      </w:pPr>
      <w:r w:rsidRPr="002A3932">
        <w:rPr>
          <w:b/>
          <w:bCs/>
          <w:sz w:val="28"/>
          <w:szCs w:val="28"/>
          <w:lang w:val="es-PE"/>
        </w:rPr>
        <w:t>AVANCE DE FEATURE ENGENIEERING</w:t>
      </w:r>
    </w:p>
    <w:p w14:paraId="3630E02A" w14:textId="77777777" w:rsidR="00FA23AA" w:rsidRPr="002A3932" w:rsidRDefault="00FA23AA" w:rsidP="002A3932">
      <w:pPr>
        <w:jc w:val="center"/>
        <w:rPr>
          <w:b/>
          <w:bCs/>
          <w:sz w:val="28"/>
          <w:szCs w:val="28"/>
          <w:lang w:val="es-PE"/>
        </w:rPr>
      </w:pPr>
    </w:p>
    <w:p w14:paraId="7A949029" w14:textId="3E416217" w:rsidR="002A3932" w:rsidRDefault="00FA23AA" w:rsidP="002A3932">
      <w:pPr>
        <w:rPr>
          <w:lang w:val="es-PE"/>
        </w:rPr>
      </w:pPr>
      <w:r>
        <w:rPr>
          <w:lang w:val="es-PE"/>
        </w:rPr>
        <w:t>Nombre: Jose Luis Espinoza Chamaya</w:t>
      </w:r>
    </w:p>
    <w:p w14:paraId="6D5CD2A3" w14:textId="19528CE4" w:rsidR="00FA23AA" w:rsidRPr="002A3932" w:rsidRDefault="00FA23AA" w:rsidP="002A3932">
      <w:pPr>
        <w:rPr>
          <w:lang w:val="es-PE"/>
        </w:rPr>
      </w:pPr>
      <w:r>
        <w:rPr>
          <w:lang w:val="es-PE"/>
        </w:rPr>
        <w:t xml:space="preserve">               Franklin Alegria Barboza</w:t>
      </w:r>
    </w:p>
    <w:p w14:paraId="1518135F" w14:textId="77777777" w:rsidR="002A3932" w:rsidRPr="002A3932" w:rsidRDefault="002A3932" w:rsidP="002A3932">
      <w:pPr>
        <w:rPr>
          <w:lang w:val="es-PE"/>
        </w:rPr>
      </w:pPr>
    </w:p>
    <w:p w14:paraId="1AC8D2C3" w14:textId="77777777" w:rsidR="002A3932" w:rsidRPr="002A3932" w:rsidRDefault="002A3932" w:rsidP="002A3932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TESIS: </w:t>
      </w:r>
      <w:r w:rsidRPr="002A3932">
        <w:rPr>
          <w:rFonts w:ascii="Arial" w:hAnsi="Arial" w:cs="Arial"/>
          <w:b/>
          <w:bCs/>
          <w:sz w:val="24"/>
          <w:szCs w:val="24"/>
          <w:lang w:val="es-PE"/>
        </w:rPr>
        <w:t>DISEÑO Y SIMULACIÓN DE ARQUITECTURAS HÍBRIDAS BASADAS EN DDPG, LQR E ISMC PARA EL BALANCEO Y LA ESTABILIZACIÓN ROBUSTA DEL PÉNDULO INVERTIDO TIPO CART-POLE</w:t>
      </w:r>
      <w:r w:rsidRPr="002A3932">
        <w:rPr>
          <w:rFonts w:ascii="Arial" w:hAnsi="Arial" w:cs="Arial"/>
          <w:b/>
          <w:bCs/>
          <w:color w:val="000000" w:themeColor="text1"/>
          <w:sz w:val="24"/>
          <w:szCs w:val="24"/>
          <w:lang w:val="es-PE"/>
        </w:rPr>
        <w:t xml:space="preserve">. </w:t>
      </w:r>
    </w:p>
    <w:p w14:paraId="4802C613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1. Objetivo</w:t>
      </w:r>
    </w:p>
    <w:p w14:paraId="2D75A131" w14:textId="254A448E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Documentar las características de entrada utilizadas en DDPG y disponer de implementaciones reproducibles de dos transformaciones candidatas, conforme al diseño A/B y ablación gradual </w:t>
      </w:r>
    </w:p>
    <w:p w14:paraId="14B5A9EC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2. Baseline existente</w:t>
      </w:r>
    </w:p>
    <w:p w14:paraId="18448366" w14:textId="77777777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El entorno P4 usa la observación [x, velocidad del carro, ángulo, velocidad angular] en float32 y normaliza el ángulo al intervalo [-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π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, 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π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). El modelo P4-60K fue seleccionado por estabilidad física y no por la recompensa de entrenamiento. En cinco semillas nominales, el mayor intervalo continuo de estabilidad estricta promedió 107,83 s. Este resultado no constituye una comparación experimental de nuevas features.</w:t>
      </w:r>
    </w:p>
    <w:p w14:paraId="1771B088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A3932">
        <w:rPr>
          <w:rFonts w:ascii="Arial" w:hAnsi="Arial" w:cs="Arial"/>
          <w:color w:val="000000" w:themeColor="text1"/>
          <w:sz w:val="24"/>
          <w:szCs w:val="24"/>
        </w:rPr>
        <w:t>3. Transformaciones implementadas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A3932" w:rsidRPr="002A3932" w14:paraId="708F0C87" w14:textId="77777777">
        <w:tc>
          <w:tcPr>
            <w:tcW w:w="2880" w:type="dxa"/>
          </w:tcPr>
          <w:p w14:paraId="7F8E0807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Configuración</w:t>
            </w:r>
          </w:p>
        </w:tc>
        <w:tc>
          <w:tcPr>
            <w:tcW w:w="2880" w:type="dxa"/>
          </w:tcPr>
          <w:p w14:paraId="06D6DE58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Características</w:t>
            </w:r>
          </w:p>
        </w:tc>
        <w:tc>
          <w:tcPr>
            <w:tcW w:w="2880" w:type="dxa"/>
          </w:tcPr>
          <w:p w14:paraId="7C1C9BB9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Condición</w:t>
            </w:r>
          </w:p>
        </w:tc>
      </w:tr>
      <w:tr w:rsidR="002A3932" w:rsidRPr="002A3932" w14:paraId="0C89BB04" w14:textId="77777777">
        <w:tc>
          <w:tcPr>
            <w:tcW w:w="2880" w:type="dxa"/>
          </w:tcPr>
          <w:p w14:paraId="3AE08EDB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A: Baseline</w:t>
            </w:r>
          </w:p>
        </w:tc>
        <w:tc>
          <w:tcPr>
            <w:tcW w:w="2880" w:type="dxa"/>
          </w:tcPr>
          <w:p w14:paraId="53D52C1E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x, v, θ, ω</w:t>
            </w:r>
          </w:p>
        </w:tc>
        <w:tc>
          <w:tcPr>
            <w:tcW w:w="2880" w:type="dxa"/>
          </w:tcPr>
          <w:p w14:paraId="340A5C75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Código original</w:t>
            </w:r>
          </w:p>
        </w:tc>
      </w:tr>
      <w:tr w:rsidR="002A3932" w:rsidRPr="002A3932" w14:paraId="57C21F7D" w14:textId="77777777">
        <w:tc>
          <w:tcPr>
            <w:tcW w:w="2880" w:type="dxa"/>
          </w:tcPr>
          <w:p w14:paraId="1AD83902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B: F.S.1</w:t>
            </w:r>
          </w:p>
        </w:tc>
        <w:tc>
          <w:tcPr>
            <w:tcW w:w="2880" w:type="dxa"/>
          </w:tcPr>
          <w:p w14:paraId="740FD02C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x/2,4; v/v</w:t>
            </w:r>
            <w:r w:rsidRPr="002A3932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ₛ</w:t>
            </w: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; θ/π; ω/ω</w:t>
            </w:r>
            <w:r w:rsidRPr="002A3932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ₛ</w:t>
            </w:r>
          </w:p>
        </w:tc>
        <w:tc>
          <w:tcPr>
            <w:tcW w:w="2880" w:type="dxa"/>
          </w:tcPr>
          <w:p w14:paraId="1DB22F02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Transformación implementada; reentrenamiento pendiente</w:t>
            </w:r>
          </w:p>
        </w:tc>
      </w:tr>
      <w:tr w:rsidR="002A3932" w:rsidRPr="002A3932" w14:paraId="7B09E0AA" w14:textId="77777777">
        <w:tc>
          <w:tcPr>
            <w:tcW w:w="2880" w:type="dxa"/>
          </w:tcPr>
          <w:p w14:paraId="4D3EEE5A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C: F.S.2</w:t>
            </w:r>
          </w:p>
        </w:tc>
        <w:tc>
          <w:tcPr>
            <w:tcW w:w="2880" w:type="dxa"/>
          </w:tcPr>
          <w:p w14:paraId="024ADAC6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x/2,4; v/v</w:t>
            </w:r>
            <w:r w:rsidRPr="002A3932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ₛ</w:t>
            </w: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; senθ; cosθ; ω/ω</w:t>
            </w:r>
            <w:r w:rsidRPr="002A3932">
              <w:rPr>
                <w:rFonts w:ascii="Cambria Math" w:hAnsi="Cambria Math" w:cs="Cambria Math"/>
                <w:color w:val="000000" w:themeColor="text1"/>
                <w:sz w:val="24"/>
                <w:szCs w:val="24"/>
              </w:rPr>
              <w:t>ₛ</w:t>
            </w:r>
          </w:p>
        </w:tc>
        <w:tc>
          <w:tcPr>
            <w:tcW w:w="2880" w:type="dxa"/>
          </w:tcPr>
          <w:p w14:paraId="0CB79CDF" w14:textId="77777777" w:rsidR="005D4AB3" w:rsidRPr="002A3932" w:rsidRDefault="002A3932" w:rsidP="002A393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A3932">
              <w:rPr>
                <w:rFonts w:ascii="Arial" w:hAnsi="Arial" w:cs="Arial"/>
                <w:color w:val="000000" w:themeColor="text1"/>
                <w:sz w:val="24"/>
                <w:szCs w:val="24"/>
              </w:rPr>
              <w:t>Transformación implementada; reentrenamiento pendiente</w:t>
            </w:r>
          </w:p>
        </w:tc>
      </w:tr>
    </w:tbl>
    <w:p w14:paraId="44FCDFCC" w14:textId="77777777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Las escalas v</w:t>
      </w:r>
      <w:r w:rsidRPr="002A3932">
        <w:rPr>
          <w:rFonts w:ascii="Cambria Math" w:hAnsi="Cambria Math" w:cs="Cambria Math"/>
          <w:color w:val="000000" w:themeColor="text1"/>
          <w:sz w:val="24"/>
          <w:szCs w:val="24"/>
          <w:lang w:val="es-PE"/>
        </w:rPr>
        <w:t>ₛ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 xml:space="preserve">=5 m/s y 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ω</w:t>
      </w:r>
      <w:r w:rsidRPr="002A3932">
        <w:rPr>
          <w:rFonts w:ascii="Cambria Math" w:hAnsi="Cambria Math" w:cs="Cambria Math"/>
          <w:color w:val="000000" w:themeColor="text1"/>
          <w:sz w:val="24"/>
          <w:szCs w:val="24"/>
          <w:lang w:val="es-PE"/>
        </w:rPr>
        <w:t>ₛ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=10 rad/s son parámetros iniciales de implementación, todavía no validados como óptimos; deben fijarse y justificarse antes de evaluar modelos. La salida F.S.2 tiene cinco dimensiones y exige entrenar otra red.</w:t>
      </w:r>
    </w:p>
    <w:p w14:paraId="34225E04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lastRenderedPageBreak/>
        <w:t>4. Verificación realizada</w:t>
      </w:r>
    </w:p>
    <w:p w14:paraId="257D8F2E" w14:textId="77777777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Se ejecutaron pruebas unitarias de dimensiones 4/4/5, tipo float32, finitud, continuidad seno-coseno alrededor de ±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π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, identidad sen²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θ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+cos²</w:t>
      </w:r>
      <w:r w:rsidRPr="002A3932">
        <w:rPr>
          <w:rFonts w:ascii="Arial" w:hAnsi="Arial" w:cs="Arial"/>
          <w:color w:val="000000" w:themeColor="text1"/>
          <w:sz w:val="24"/>
          <w:szCs w:val="24"/>
        </w:rPr>
        <w:t>θ</w:t>
      </w: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≈1 y rechazo de entradas inválidas. Resultado: pruebas correctas. No se efectuó nuevo entrenamiento DDPG.</w:t>
      </w:r>
    </w:p>
    <w:p w14:paraId="5CEA9560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5. Resultados existentes y límites</w:t>
      </w:r>
    </w:p>
    <w:p w14:paraId="2E717086" w14:textId="77777777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En los resultados anteriores, P4-60K logró 107,832 s de permanencia continua estricta nominal (media de cinco semillas) y cinco de cinco casos con estabilidad ≥10 s. Estos resultados son evidencia de la línea base entrenada, no resultados de F.S.1 ni F.S.2. La comparación de políticas con diferentes features permanece pendiente.</w:t>
      </w:r>
    </w:p>
    <w:p w14:paraId="50F686B1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6. Diseño experimental A/B y ablaciones</w:t>
      </w:r>
    </w:p>
    <w:p w14:paraId="1C9A0F1E" w14:textId="77777777" w:rsidR="005D4AB3" w:rsidRPr="002A3932" w:rsidRDefault="002A3932" w:rsidP="002A3932">
      <w:pPr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Entrenar modelos A, B y C conservando dinámica, recompensa, arquitectura, presupuesto y semillas. Evaluar en nuevas semillas compartidas: éxito, permanencia estricta, tiempo de captura, RMSE angular y de posición, esfuerzo, tiempo de entrenamiento y latencia. Registrar media y desviación estándar; no combinar cambios de features e hiperparámetros en una sola ejecución.</w:t>
      </w:r>
    </w:p>
    <w:p w14:paraId="5D42AB11" w14:textId="77777777" w:rsidR="005D4AB3" w:rsidRPr="002A3932" w:rsidRDefault="002A3932" w:rsidP="002A3932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7. Evidencia y trazabilidad</w:t>
      </w:r>
    </w:p>
    <w:p w14:paraId="61A99BB7" w14:textId="737854EC" w:rsidR="005D4AB3" w:rsidRPr="002A3932" w:rsidRDefault="002A3932" w:rsidP="002A3932">
      <w:pPr>
        <w:jc w:val="both"/>
        <w:rPr>
          <w:color w:val="000000" w:themeColor="text1"/>
          <w:lang w:val="es-PE"/>
        </w:rPr>
      </w:pPr>
      <w:r w:rsidRPr="002A3932">
        <w:rPr>
          <w:rFonts w:ascii="Arial" w:hAnsi="Arial" w:cs="Arial"/>
          <w:color w:val="000000" w:themeColor="text1"/>
          <w:sz w:val="24"/>
          <w:szCs w:val="24"/>
          <w:lang w:val="es-PE"/>
        </w:rPr>
        <w:t>El paquete contiene el código original P4, implementaciones de las transformaciones, pruebas ejecutables, CSV de evaluación existente y README de reproducción. Estado: avance funcional de Feature Engineering; ablación de rendimiento pendien</w:t>
      </w:r>
      <w:r w:rsidR="00F50B48">
        <w:rPr>
          <w:rFonts w:ascii="Arial" w:hAnsi="Arial" w:cs="Arial"/>
          <w:color w:val="000000" w:themeColor="text1"/>
          <w:sz w:val="24"/>
          <w:szCs w:val="24"/>
          <w:lang w:val="es-PE"/>
        </w:rPr>
        <w:t>te</w:t>
      </w:r>
      <w:r w:rsidRPr="002A3932">
        <w:rPr>
          <w:color w:val="000000" w:themeColor="text1"/>
          <w:lang w:val="es-PE"/>
        </w:rPr>
        <w:t>.</w:t>
      </w:r>
    </w:p>
    <w:sectPr w:rsidR="005D4AB3" w:rsidRPr="002A3932" w:rsidSect="00034616">
      <w:pgSz w:w="12240" w:h="15840"/>
      <w:pgMar w:top="1224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932"/>
    <w:rsid w:val="00326F90"/>
    <w:rsid w:val="005D4AB3"/>
    <w:rsid w:val="00AA1D8D"/>
    <w:rsid w:val="00B47730"/>
    <w:rsid w:val="00CB0664"/>
    <w:rsid w:val="00F50B48"/>
    <w:rsid w:val="00FA2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06E21D"/>
  <w14:defaultImageDpi w14:val="300"/>
  <w15:docId w15:val="{E5CBF0C8-F65B-4EE4-87C9-7F4788D9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</cp:lastModifiedBy>
  <cp:revision>4</cp:revision>
  <dcterms:created xsi:type="dcterms:W3CDTF">2013-12-23T23:15:00Z</dcterms:created>
  <dcterms:modified xsi:type="dcterms:W3CDTF">2026-10-17T00:13:00Z</dcterms:modified>
  <cp:category/>
</cp:coreProperties>
</file>