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35359ofk1dw8" w:id="0"/>
      <w:bookmarkEnd w:id="0"/>
      <w:r w:rsidDel="00000000" w:rsidR="00000000" w:rsidRPr="00000000">
        <w:rPr>
          <w:b w:val="1"/>
          <w:bCs w:val="1"/>
          <w:sz w:val="46"/>
          <w:szCs w:val="46"/>
          <w:rtl w:val="0"/>
        </w:rPr>
        <w:t xml:space="preserve">Art as a Low-Correlation Portfolio Diversifier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In financial terms, correlation measures how closely assets move together. Stocks and bonds? Historically inverse, though less so in recent years. Crypto and equities? Increasingly correlated, often rising and falling on the same macro sentiment shifts. But art? It has historically moved according to its own beat, independent from other select asset classes.</w:t>
      </w:r>
    </w:p>
    <w:p w:rsidR="00000000" w:rsidDel="00000000" w:rsidP="00000000" w:rsidRDefault="00000000" w:rsidRPr="00000000" w14:paraId="00000003">
      <w:pPr>
        <w:spacing w:after="240" w:before="240" w:lineRule="auto"/>
        <w:rPr/>
      </w:pPr>
      <w:r w:rsidDel="00000000" w:rsidR="00000000" w:rsidRPr="00000000">
        <w:rPr>
          <w:rtl w:val="0"/>
        </w:rPr>
        <w:t xml:space="preserve">Between 1995 and 2022, the correlation between post war/contemporary art and the S&amp;P 500 hovered near zero, according to the 2022 Citi Global Art Market Report, in collaboration with Masterworks data. In some periods, that correlation even turned negative. That’s not a quirk; it has historically been a feature. Contemporary art (especially blue-chip works by the heavyweight artists like Jean-Michel Basquiat or Yayoi Kusama) tends to be priced based on long-term collector demand, global wealth accumulation, and cultural prestige. Not as much on GDP prints or interest rate hikes.</w:t>
      </w:r>
    </w:p>
    <w:p w:rsidR="00000000" w:rsidDel="00000000" w:rsidP="00000000" w:rsidRDefault="00000000" w:rsidRPr="00000000" w14:paraId="00000004">
      <w:pPr>
        <w:rPr/>
      </w:pPr>
      <w:r w:rsidDel="00000000" w:rsidR="00000000" w:rsidRPr="00000000">
        <w:rPr>
          <w:rtl w:val="0"/>
        </w:rPr>
        <w:t xml:space="preserve">A more recent 2024 analysis by Masterworks shows that, since 1995, contemporary art has continued to have a near-zero, or even negative, correlation to the upwards and downwards swings of other popular asset classes like stocks and real estate.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3hjqmxzjtr1" w:id="1"/>
      <w:bookmarkEnd w:id="1"/>
      <w:r w:rsidDel="00000000" w:rsidR="00000000" w:rsidRPr="00000000">
        <w:rPr>
          <w:b w:val="1"/>
          <w:bCs w:val="1"/>
          <w:color w:val="000000"/>
          <w:sz w:val="26"/>
          <w:szCs w:val="26"/>
          <w:rtl w:val="0"/>
        </w:rPr>
        <w:t xml:space="preserve">Art’s Appreciation in Downturns</w:t>
      </w:r>
    </w:p>
    <w:p w:rsidR="00000000" w:rsidDel="00000000" w:rsidP="00000000" w:rsidRDefault="00000000" w:rsidRPr="00000000" w14:paraId="00000006">
      <w:pPr>
        <w:spacing w:after="240" w:before="240" w:lineRule="auto"/>
        <w:rPr/>
      </w:pPr>
      <w:r w:rsidDel="00000000" w:rsidR="00000000" w:rsidRPr="00000000">
        <w:rPr>
          <w:rtl w:val="0"/>
        </w:rPr>
        <w:t xml:space="preserve">Take the Great Financial Crisis as a test case. While the S&amp;P 500 lost more than 50% from 2007 to early 2009, the Artprice 100 Index for tracking top-selling artists declined 26% and rebounded faster. More recently, during the COVID-19 crash of March 2020, art markets barely flinched. Why? Because the typical art buyer isn’t a retail panic-seller. They’re ultra-high-net-worth collectors, family offices, and institutional wealth platforms. They held. They waited. They didn’t liquidate when VIX hit 80 or a bad report came in.</w:t>
      </w:r>
    </w:p>
    <w:p w:rsidR="00000000" w:rsidDel="00000000" w:rsidP="00000000" w:rsidRDefault="00000000" w:rsidRPr="00000000" w14:paraId="00000007">
      <w:pPr>
        <w:spacing w:after="240" w:before="240" w:lineRule="auto"/>
        <w:rPr/>
      </w:pPr>
      <w:r w:rsidDel="00000000" w:rsidR="00000000" w:rsidRPr="00000000">
        <w:rPr>
          <w:rtl w:val="0"/>
        </w:rPr>
        <w:t xml:space="preserve">We cannot guarantee that all future downturn events will enjoy the same fate as these isolated cases, but it does illustrate that there was a parallel benefit here that traditional assets haven’t matched. Art, unlike stocks or T-bills, didn’t blink red on a screen. It doesn’t scream at you in moments of fear. It hangs silently. It appreciates quietly, both in emotional and financial terms. That makes it unusually resilient in the eyes of holders.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r1o7f3jgo4d" w:id="2"/>
      <w:bookmarkEnd w:id="2"/>
      <w:r w:rsidDel="00000000" w:rsidR="00000000" w:rsidRPr="00000000">
        <w:rPr>
          <w:b w:val="1"/>
          <w:bCs w:val="1"/>
          <w:color w:val="000000"/>
          <w:sz w:val="26"/>
          <w:szCs w:val="26"/>
          <w:rtl w:val="0"/>
        </w:rPr>
        <w:t xml:space="preserve">The Structural Mechanics Behind Art’s Independence</w:t>
      </w:r>
    </w:p>
    <w:p w:rsidR="00000000" w:rsidDel="00000000" w:rsidP="00000000" w:rsidRDefault="00000000" w:rsidRPr="00000000" w14:paraId="00000009">
      <w:pPr>
        <w:spacing w:after="240" w:before="240" w:lineRule="auto"/>
        <w:rPr/>
      </w:pPr>
      <w:r w:rsidDel="00000000" w:rsidR="00000000" w:rsidRPr="00000000">
        <w:rPr>
          <w:rtl w:val="0"/>
        </w:rPr>
        <w:t xml:space="preserve">This independence is not mystical; it’s mechanical. The fine art market is slow, opaque, and illiquid, all qualities that sound pejorative in traditional finance but are powerful in a volatility-minimization strategy. There’s no real-time pricing. No panic-selling circuit breakers. No Reddit-fueled rallies or crashes. Most buyers are operating on decade-long timelines. That makes the market slow to react—and rarely in lockstep with traditional economic cycles.</w:t>
      </w:r>
    </w:p>
    <w:p w:rsidR="00000000" w:rsidDel="00000000" w:rsidP="00000000" w:rsidRDefault="00000000" w:rsidRPr="00000000" w14:paraId="0000000A">
      <w:pPr>
        <w:spacing w:after="240" w:before="240" w:lineRule="auto"/>
        <w:rPr/>
      </w:pPr>
      <w:r w:rsidDel="00000000" w:rsidR="00000000" w:rsidRPr="00000000">
        <w:rPr>
          <w:rtl w:val="0"/>
        </w:rPr>
        <w:t xml:space="preserve">Moreover, art's appreciation is largely tied to wealth creation at the top. As global billionaires proliferate, demand for culturally significant art often grows. Not because it’s needed, but because it confers status, scarcity, and legacy. This demand curve is sticky and has largely been resistant in certain recessionary periods.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jm5611usp1r" w:id="3"/>
      <w:bookmarkEnd w:id="3"/>
      <w:r w:rsidDel="00000000" w:rsidR="00000000" w:rsidRPr="00000000">
        <w:rPr>
          <w:b w:val="1"/>
          <w:bCs w:val="1"/>
          <w:color w:val="000000"/>
          <w:sz w:val="26"/>
          <w:szCs w:val="26"/>
          <w:rtl w:val="0"/>
        </w:rPr>
        <w:t xml:space="preserve">Art in the Context of Modern Portfolio Theory</w:t>
      </w:r>
    </w:p>
    <w:p w:rsidR="00000000" w:rsidDel="00000000" w:rsidP="00000000" w:rsidRDefault="00000000" w:rsidRPr="00000000" w14:paraId="0000000C">
      <w:pPr>
        <w:spacing w:after="240" w:before="240" w:lineRule="auto"/>
        <w:rPr/>
      </w:pPr>
      <w:r w:rsidDel="00000000" w:rsidR="00000000" w:rsidRPr="00000000">
        <w:rPr>
          <w:rtl w:val="0"/>
        </w:rPr>
        <w:t xml:space="preserve">Modern Portfolio Theory (MPT) was built on the principle of reducing overall risk through non-correlated assets. Nobel Prize-winning work. And yet, most retail and even institutional portfolios still rely on variations of the 60/40 stock-bond split. The MPT doesn’t cite art specifically among its assets, but we believe that adding an asset class like art—especially one with long-term appreciation comparable to equities but less correlation—to a portion of your overall strategy can improve the risk-adjusted appreciation of the entire portfolio.</w:t>
      </w:r>
    </w:p>
    <w:p w:rsidR="00000000" w:rsidDel="00000000" w:rsidP="00000000" w:rsidRDefault="00000000" w:rsidRPr="00000000" w14:paraId="0000000D">
      <w:pPr>
        <w:spacing w:after="240" w:before="240" w:lineRule="auto"/>
        <w:rPr/>
      </w:pPr>
      <w:r w:rsidDel="00000000" w:rsidR="00000000" w:rsidRPr="00000000">
        <w:rPr>
          <w:rtl w:val="0"/>
        </w:rPr>
        <w:t xml:space="preserve">It’s math. Not mysticism.</w:t>
      </w:r>
    </w:p>
    <w:p w:rsidR="00000000" w:rsidDel="00000000" w:rsidP="00000000" w:rsidRDefault="00000000" w:rsidRPr="00000000" w14:paraId="0000000E">
      <w:pPr>
        <w:spacing w:after="240" w:before="240" w:lineRule="auto"/>
        <w:rPr/>
      </w:pPr>
      <w:r w:rsidDel="00000000" w:rsidR="00000000" w:rsidRPr="00000000">
        <w:rPr>
          <w:rtl w:val="0"/>
        </w:rPr>
        <w:t xml:space="preserve">And as an added benefit, with Masterworks, this artwork is housed in secure vaults, managed by a professional team, and sold with a profit-sharing structure aligned to investor outcomes.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4es259inu7v" w:id="4"/>
      <w:bookmarkEnd w:id="4"/>
      <w:r w:rsidDel="00000000" w:rsidR="00000000" w:rsidRPr="00000000">
        <w:rPr>
          <w:b w:val="1"/>
          <w:bCs w:val="1"/>
          <w:color w:val="000000"/>
          <w:sz w:val="26"/>
          <w:szCs w:val="26"/>
          <w:rtl w:val="0"/>
        </w:rPr>
        <w:t xml:space="preserve">The Takeaway</w:t>
      </w:r>
    </w:p>
    <w:p w:rsidR="00000000" w:rsidDel="00000000" w:rsidP="00000000" w:rsidRDefault="00000000" w:rsidRPr="00000000" w14:paraId="00000010">
      <w:pPr>
        <w:spacing w:after="240" w:before="240" w:lineRule="auto"/>
        <w:rPr/>
      </w:pPr>
      <w:r w:rsidDel="00000000" w:rsidR="00000000" w:rsidRPr="00000000">
        <w:rPr>
          <w:rtl w:val="0"/>
        </w:rPr>
        <w:t xml:space="preserve">Art’s value as an investment is not just in its potential to appreciate. It’s in its historical refusal to behave like everything else. That makes it a stabilizer in a portfolio full of anxious assets. And if you’re serious about building generational wealth, you want your portfolio to include at least one asset that doesn’t flinch when the rest of the world panics.</w:t>
      </w:r>
    </w:p>
    <w:p w:rsidR="00000000" w:rsidDel="00000000" w:rsidP="00000000" w:rsidRDefault="00000000" w:rsidRPr="00000000" w14:paraId="00000011">
      <w:pPr>
        <w:rPr>
          <w:i w:val="1"/>
          <w:iCs w:val="1"/>
          <w:sz w:val="18"/>
          <w:szCs w:val="18"/>
        </w:rPr>
      </w:pPr>
      <w:r w:rsidDel="00000000" w:rsidR="00000000" w:rsidRPr="00000000">
        <w:rPr>
          <w:i w:val="1"/>
          <w:iCs w:val="1"/>
          <w:sz w:val="18"/>
          <w:szCs w:val="18"/>
          <w:rtl w:val="0"/>
        </w:rPr>
        <w:t xml:space="preserve">Investing involves risk.  Past performance not indicative of future returns.  See Important Regulation A Disclosures at </w:t>
      </w:r>
      <w:hyperlink r:id="rId6">
        <w:r w:rsidDel="00000000" w:rsidR="00000000" w:rsidRPr="00000000">
          <w:rPr>
            <w:i w:val="1"/>
            <w:iCs w:val="1"/>
            <w:color w:val="1155cc"/>
            <w:sz w:val="18"/>
            <w:szCs w:val="18"/>
            <w:u w:val="single"/>
            <w:rtl w:val="0"/>
          </w:rPr>
          <w:t xml:space="preserve">masterworks.com/cd</w:t>
        </w:r>
      </w:hyperlink>
      <w:r w:rsidDel="00000000" w:rsidR="00000000" w:rsidRPr="00000000">
        <w:rPr>
          <w:i w:val="1"/>
          <w:iCs w:val="1"/>
          <w:sz w:val="18"/>
          <w:szCs w:val="18"/>
          <w:rtl w:val="0"/>
        </w:rPr>
        <w:t xml:space="preserve">.  </w:t>
      </w:r>
    </w:p>
    <w:p w:rsidR="00000000" w:rsidDel="00000000" w:rsidP="00000000" w:rsidRDefault="00000000" w:rsidRPr="00000000" w14:paraId="00000012">
      <w:pPr>
        <w:rPr>
          <w:i w:val="1"/>
          <w:iCs w:val="1"/>
          <w:sz w:val="18"/>
          <w:szCs w:val="18"/>
        </w:rPr>
      </w:pPr>
      <w:r w:rsidDel="00000000" w:rsidR="00000000" w:rsidRPr="00000000">
        <w:rPr>
          <w:rtl w:val="0"/>
        </w:rPr>
      </w:r>
    </w:p>
    <w:p w:rsidR="00000000" w:rsidDel="00000000" w:rsidP="00000000" w:rsidRDefault="00000000" w:rsidRPr="00000000" w14:paraId="00000013">
      <w:pPr>
        <w:rPr>
          <w:i w:val="1"/>
          <w:iCs w:val="1"/>
          <w:sz w:val="18"/>
          <w:szCs w:val="18"/>
          <w:highlight w:val="white"/>
        </w:rPr>
      </w:pPr>
      <w:r w:rsidDel="00000000" w:rsidR="00000000" w:rsidRPr="00000000">
        <w:rPr>
          <w:i w:val="1"/>
          <w:iCs w:val="1"/>
          <w:sz w:val="18"/>
          <w:szCs w:val="18"/>
          <w:rtl w:val="0"/>
        </w:rPr>
        <w:t xml:space="preserve">Masterworks can only make and accept sales after an offering statement has been filed, and “qualified”, by the SEC.  Any offers may be revoked before notice of qualification.  Indications of interest involve no obligation. </w:t>
      </w:r>
      <w:r w:rsidDel="00000000" w:rsidR="00000000" w:rsidRPr="00000000">
        <w:rPr>
          <w:rtl w:val="0"/>
        </w:rPr>
      </w:r>
    </w:p>
    <w:p w:rsidR="00000000" w:rsidDel="00000000" w:rsidP="00000000" w:rsidRDefault="00000000" w:rsidRPr="00000000" w14:paraId="00000014">
      <w:pPr>
        <w:rPr>
          <w:i w:val="1"/>
          <w:iCs w:val="1"/>
          <w:sz w:val="18"/>
          <w:szCs w:val="18"/>
          <w:highlight w:val="whit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highlight w:val="white"/>
        </w:rPr>
      </w:pPr>
      <w:r w:rsidDel="00000000" w:rsidR="00000000" w:rsidRPr="00000000">
        <w:rPr>
          <w:i w:val="1"/>
          <w:iCs w:val="1"/>
          <w:sz w:val="18"/>
          <w:szCs w:val="18"/>
          <w:highlight w:val="white"/>
          <w:rtl w:val="0"/>
        </w:rPr>
        <w:t xml:space="preserve">Art sales price data is comparative only. Each painting is unique and historical data is not a direct proxy for any specific painting or investment.  Data represents whole art not an investment into our offerings which includes fees and expenses.  Any comparative images are not currently live offerings and are provided for educational purposes only.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highlight w:val="white"/>
        </w:rPr>
      </w:pPr>
      <w:r w:rsidDel="00000000" w:rsidR="00000000" w:rsidRPr="00000000">
        <w:rPr>
          <w:i w:val="1"/>
          <w:iCs w:val="1"/>
          <w:sz w:val="18"/>
          <w:szCs w:val="18"/>
          <w:highlight w:val="white"/>
          <w:rtl w:val="0"/>
        </w:rPr>
        <w:t xml:space="preserve">Art correlation and appreciation data based on repeat-sales index of historical Post-War &amp; Contemporary Art market prices and S&amp;P 500 annualized return (includes dividends reinvested) from 1995 to 2024, developed by Masterworks. There are significant limitations to comparative asset class data. Indices are unmanaged and a Masterworks investor cannot invest directly in an index.</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highlight w:val="white"/>
        </w:rPr>
      </w:pPr>
      <w:r w:rsidDel="00000000" w:rsidR="00000000" w:rsidRPr="00000000">
        <w:rPr>
          <w:i w:val="1"/>
          <w:iCs w:val="1"/>
          <w:sz w:val="18"/>
          <w:szCs w:val="18"/>
          <w:highlight w:val="white"/>
          <w:rtl w:val="0"/>
        </w:rPr>
        <w:t xml:space="preserve">This communication is sent exclusively from Masterworks and is not endorsed by or affiliated with Citi.  While Masterworks contributed to the Citi publication, that report is not intended to be regarded as investment advice, an offer, or solicitation of an offer to enter into any Masterworks offering.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1"/>
          <w:iCs w:val="1"/>
          <w:sz w:val="18"/>
          <w:szCs w:val="18"/>
          <w:highlight w:val="white"/>
          <w:rtl w:val="0"/>
        </w:rPr>
        <w:t xml:space="preserve">The Artprice100© is comprised of the art market's 100 most successful artists, without any other aesthetic or preferential consideration, based on their auction revenue over the previous five years (in this case, 1 January 2018 to 31 December 2024). We also apply a liquidity criterion: for each artist, at least ten works (excluding prints and multiples) must have been auctioned annually for them to be included in the calculations. There are significant differences between art investments and stocks, past performance does not guarantee future results, see important disclosures. Masterworks does not provide investments in financial products that mirrors the Artprice100©.</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sterworks.com/cd"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