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Building a portfolio of different artists and works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Investing in art may seem simple on the surface, but building a diverse portfolio of artists and works is essential for portfolio performance and diversification. Everything matters. How big is a work? What is its subject matter? What year was the work completed? What is the provenance of the work? Is the artist living or deceased? Where was the artist born? There are so many variables that go into choosing one work of art to invest in, let alone building a diverse portfolio.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When we look at works of art, we look into a variety of metrics that take all of this into account. Below are a few examples of the methodology and statistics we look at while evaluating a painting.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32"/>
          <w:szCs w:val="32"/>
        </w:rPr>
      </w:pPr>
      <w:r w:rsidDel="00000000" w:rsidR="00000000" w:rsidRPr="00000000">
        <w:rPr>
          <w:b w:val="1"/>
          <w:bCs w:val="1"/>
          <w:sz w:val="32"/>
          <w:szCs w:val="32"/>
          <w:rtl w:val="0"/>
        </w:rPr>
        <w:t xml:space="preserve">Similar Sales Appreciation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prices achieved by paintings stylistically similar to this painting at public auction, presented as a compound annualized growth percentage.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high percentage generally indicates that the market for this style of work is expanding rapidly, which may be balanced by a measure of volatility due to the emerging nature of the market.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Lower appreciation rates indicate that the demand for this style of work has reached a steadier rate of growth, paired with less volatility.</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sz w:val="32"/>
          <w:szCs w:val="32"/>
        </w:rPr>
      </w:pPr>
      <w:r w:rsidDel="00000000" w:rsidR="00000000" w:rsidRPr="00000000">
        <w:rPr>
          <w:b w:val="1"/>
          <w:bCs w:val="1"/>
          <w:sz w:val="32"/>
          <w:szCs w:val="32"/>
          <w:rtl w:val="0"/>
        </w:rPr>
        <w:t xml:space="preserve">Record Price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highest price ever achieved by an artist’s work at public auction.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We’ll often present both the record price itself, and the artist’s annualized record price growth rate.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Both of these provide context in understanding the heights an artist’s work can achieve, and the rate at which their record price is growing.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sz w:val="32"/>
          <w:szCs w:val="32"/>
        </w:rPr>
      </w:pPr>
      <w:r w:rsidDel="00000000" w:rsidR="00000000" w:rsidRPr="00000000">
        <w:rPr>
          <w:b w:val="1"/>
          <w:bCs w:val="1"/>
          <w:sz w:val="32"/>
          <w:szCs w:val="32"/>
          <w:rtl w:val="0"/>
        </w:rPr>
        <w:t xml:space="preserve">Auction Turnover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 artist’s total sales at public auction, either in a specific year or during their entire auction career.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Viewing auction turnover year-over-year can give you an idea of whether an artist’s market is growing, shrinking, or holding steady.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can also compare turnovers among artists in similar cohorts—think postwar vs. contemporary art, or female vs. male artists—to help us understand how artists fare within these contexts.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32"/>
          <w:szCs w:val="32"/>
        </w:rPr>
      </w:pPr>
      <w:r w:rsidDel="00000000" w:rsidR="00000000" w:rsidRPr="00000000">
        <w:rPr>
          <w:b w:val="1"/>
          <w:bCs w:val="1"/>
          <w:sz w:val="32"/>
          <w:szCs w:val="32"/>
          <w:rtl w:val="0"/>
        </w:rPr>
        <w:t xml:space="preserve">Sharpe Ratio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appreciation of an artist’s market compared to the return of a risk-free investment. The higher this number, the better that artist’s risk-adjusted returns.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 will often see an artist’s Sharpe ratio compared to the ratios for other asset classes such as gold, real estate, and the S&amp;P 500, giving useful context for how that artist’s market has performed.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an artist doesn’t have a Sharpe ratio, their work hasn’t been resold enough times at auction yet to warrant the metric, signaling that their market may still be developing.</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sz w:val="32"/>
          <w:szCs w:val="32"/>
        </w:rPr>
      </w:pPr>
      <w:r w:rsidDel="00000000" w:rsidR="00000000" w:rsidRPr="00000000">
        <w:rPr>
          <w:b w:val="1"/>
          <w:bCs w:val="1"/>
          <w:sz w:val="32"/>
          <w:szCs w:val="32"/>
          <w:rtl w:val="0"/>
        </w:rPr>
        <w:t xml:space="preserve">Hedonic Index</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will often use a metric called a hedonic analysis to track how a given artist’s market changes over time.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index tracks price growth of works sold at public auction while controlling for factors including scale, period, and style, helping us see an artist’s overall market expansion in the form of a line graph and annualized growth percentage.</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sz w:val="32"/>
          <w:szCs w:val="32"/>
        </w:rPr>
      </w:pPr>
      <w:r w:rsidDel="00000000" w:rsidR="00000000" w:rsidRPr="00000000">
        <w:rPr>
          <w:b w:val="1"/>
          <w:bCs w:val="1"/>
          <w:sz w:val="32"/>
          <w:szCs w:val="32"/>
          <w:rtl w:val="0"/>
        </w:rPr>
        <w:t xml:space="preserve">Putting it All Together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As we’ve seen, the art market is complex and ever-evolving. Building a well-diversified art portfolio means considering how a certain work or artist fits in with your other allocations.</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