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Pull from White paper by Allen Sukholitsky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Insights Blog: Portfolio Strategy</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Title: Art Investing Report: Portfolio Strategy with Art Allocation</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 The art market, once the exclusive playground of the ultra-wealthy, is undergoing a transformation. With the rise of securitization and digital platforms, art is becoming a viable investment for a broader range of investors. In this report, we explore how allocating a portion of a portfolio to art can enhance diversification, reduce volatility, and deliver attractive returns—all while offering exposure to an asset class historically uncorrelated with traditional markets.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The Opportunity in the Art and Collectibles Market</w:t>
      </w:r>
      <w:r w:rsidDel="00000000" w:rsidR="00000000" w:rsidRPr="00000000">
        <w:rPr>
          <w:rtl w:val="0"/>
        </w:rPr>
        <w:t xml:space="preserve"> Deloitte estimates the total global value of the art and collectibles market at approximately $1.7 trillion, with only 3–4% traded annually. Historically, the market has been illiquid, opaque, and accessible only to those with significant capital. But that landscape is shifting. Securitization and fractional investing have made it possible to gain exposure to blue-chip art without the need to purchase or store entire works.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Why Art Deserves a Place in the Portfolio</w:t>
      </w:r>
      <w:r w:rsidDel="00000000" w:rsidR="00000000" w:rsidRPr="00000000">
        <w:rPr>
          <w:rtl w:val="0"/>
        </w:rPr>
        <w:t xml:space="preserve"> Art exhibits many of the traits that make alternative assets attractive:</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b w:val="1"/>
          <w:bCs w:val="1"/>
          <w:rtl w:val="0"/>
        </w:rPr>
        <w:t xml:space="preserve">Low Correlation:</w:t>
      </w:r>
      <w:r w:rsidDel="00000000" w:rsidR="00000000" w:rsidRPr="00000000">
        <w:rPr>
          <w:rtl w:val="0"/>
        </w:rPr>
        <w:t xml:space="preserve"> Contemporary art has shown low correlation to equities, bonds, and real estate.</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Capital Preservation:</w:t>
      </w:r>
      <w:r w:rsidDel="00000000" w:rsidR="00000000" w:rsidRPr="00000000">
        <w:rPr>
          <w:rtl w:val="0"/>
        </w:rPr>
        <w:t xml:space="preserve"> </w:t>
      </w:r>
      <w:commentRangeStart w:id="0"/>
      <w:r w:rsidDel="00000000" w:rsidR="00000000" w:rsidRPr="00000000">
        <w:rPr>
          <w:rtl w:val="0"/>
        </w:rPr>
        <w:t xml:space="preserve">Over a 2-year horizon, contemporary art has realized losses in just ~8% of periods, with a maximum drawdown of -11.4%.</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A">
      <w:pPr>
        <w:numPr>
          <w:ilvl w:val="0"/>
          <w:numId w:val="3"/>
        </w:numPr>
        <w:spacing w:after="240" w:before="0" w:beforeAutospacing="0" w:lineRule="auto"/>
        <w:ind w:left="720" w:hanging="360"/>
      </w:pPr>
      <w:r w:rsidDel="00000000" w:rsidR="00000000" w:rsidRPr="00000000">
        <w:rPr>
          <w:b w:val="1"/>
          <w:bCs w:val="1"/>
          <w:rtl w:val="0"/>
        </w:rPr>
        <w:t xml:space="preserve">Attractive Returns:</w:t>
      </w:r>
      <w:r w:rsidDel="00000000" w:rsidR="00000000" w:rsidRPr="00000000">
        <w:rPr>
          <w:rtl w:val="0"/>
        </w:rPr>
        <w:t xml:space="preserve"> </w:t>
      </w:r>
      <w:commentRangeStart w:id="1"/>
      <w:r w:rsidDel="00000000" w:rsidR="00000000" w:rsidRPr="00000000">
        <w:rPr>
          <w:rtl w:val="0"/>
        </w:rPr>
        <w:t xml:space="preserve">Between 1995 and 2020, contemporary art delivered annualized price appreciation of 14.0%, outpacing many traditional asset classes.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These characteristics make art particularly compelling in a portfolio seeking downside protection and long-term growth.</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Market Trends Supporting Growth</w:t>
      </w:r>
      <w:r w:rsidDel="00000000" w:rsidR="00000000" w:rsidRPr="00000000">
        <w:rPr>
          <w:rtl w:val="0"/>
        </w:rPr>
        <w:t xml:space="preserve"> The digitization of the art world—accelerated by the pandemic—has brought a younger, more global audience into the market. In 2020, Sotheby’s reported that 25% of online auction bidders were under 40, up from 15% in live auctions. At the same time, the wealth and number of billionaires reached all-time highs, with increased interest in collecting.</w:t>
      </w:r>
    </w:p>
    <w:p w:rsidR="00000000" w:rsidDel="00000000" w:rsidP="00000000" w:rsidRDefault="00000000" w:rsidRPr="00000000" w14:paraId="0000000D">
      <w:pPr>
        <w:spacing w:after="240" w:before="240" w:lineRule="auto"/>
        <w:rPr/>
      </w:pPr>
      <w:r w:rsidDel="00000000" w:rsidR="00000000" w:rsidRPr="00000000">
        <w:rPr>
          <w:rtl w:val="0"/>
        </w:rPr>
        <w:t xml:space="preserve">Meanwhile, the largest intergenerational wealth transfer in history is underway, positioning younger, tech-savvy investors to allocate to alternatives like art.</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How to Allocate to Art</w:t>
      </w:r>
      <w:r w:rsidDel="00000000" w:rsidR="00000000" w:rsidRPr="00000000">
        <w:rPr>
          <w:rtl w:val="0"/>
        </w:rPr>
        <w:t xml:space="preserve"> Investors interested in art allocation should consider:</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b w:val="1"/>
          <w:bCs w:val="1"/>
          <w:rtl w:val="0"/>
        </w:rPr>
        <w:t xml:space="preserve">Fractional Art Investing Platforms:</w:t>
      </w:r>
      <w:r w:rsidDel="00000000" w:rsidR="00000000" w:rsidRPr="00000000">
        <w:rPr>
          <w:rtl w:val="0"/>
        </w:rPr>
        <w:t xml:space="preserve"> These enable access to multi-million-dollar works with lower minimum investments.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Diversification Within Art:</w:t>
      </w:r>
      <w:r w:rsidDel="00000000" w:rsidR="00000000" w:rsidRPr="00000000">
        <w:rPr>
          <w:rtl w:val="0"/>
        </w:rPr>
        <w:t xml:space="preserve"> Just as with equities or bonds, diversification across styles, periods, and artists can improve risk-adjusted returns.</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b w:val="1"/>
          <w:bCs w:val="1"/>
          <w:rtl w:val="0"/>
        </w:rPr>
        <w:t xml:space="preserve">Long-Term Horizon:</w:t>
      </w:r>
      <w:r w:rsidDel="00000000" w:rsidR="00000000" w:rsidRPr="00000000">
        <w:rPr>
          <w:rtl w:val="0"/>
        </w:rPr>
        <w:t xml:space="preserve"> Art tends to be less liquid than traditional securities, so it suits patient capital.</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Strategic Role in Portfolio Construction</w:t>
      </w:r>
      <w:r w:rsidDel="00000000" w:rsidR="00000000" w:rsidRPr="00000000">
        <w:rPr>
          <w:rtl w:val="0"/>
        </w:rPr>
        <w:t xml:space="preserve"> In a multi-asset portfolio, art can serve as:</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hedge against market volatility</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store of value</w:t>
      </w:r>
      <w:r w:rsidDel="00000000" w:rsidR="00000000" w:rsidRPr="00000000">
        <w:rPr>
          <w:rtl w:val="0"/>
        </w:rPr>
        <w:t xml:space="preserve"> in inflationary environments</w:t>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rtl w:val="0"/>
        </w:rPr>
        <w:t xml:space="preserve">A source of </w:t>
      </w:r>
      <w:r w:rsidDel="00000000" w:rsidR="00000000" w:rsidRPr="00000000">
        <w:rPr>
          <w:b w:val="1"/>
          <w:bCs w:val="1"/>
          <w:rtl w:val="0"/>
        </w:rPr>
        <w:t xml:space="preserve">uncorrelated return streams</w:t>
      </w:r>
    </w:p>
    <w:p w:rsidR="00000000" w:rsidDel="00000000" w:rsidP="00000000" w:rsidRDefault="00000000" w:rsidRPr="00000000" w14:paraId="00000016">
      <w:pPr>
        <w:spacing w:after="240" w:before="240" w:lineRule="auto"/>
        <w:rPr/>
      </w:pPr>
      <w:r w:rsidDel="00000000" w:rsidR="00000000" w:rsidRPr="00000000">
        <w:rPr>
          <w:rtl w:val="0"/>
        </w:rPr>
        <w:t xml:space="preserve">Even a small allocation—e.g., 2–5%—to art can improve a portfolio’s Sharpe ratio by reducing overall volatility without sacrificing returns.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Conclusion</w:t>
      </w:r>
      <w:r w:rsidDel="00000000" w:rsidR="00000000" w:rsidRPr="00000000">
        <w:rPr>
          <w:rtl w:val="0"/>
        </w:rPr>
        <w:t xml:space="preserve"> Art investing is no longer just for the elite. Through securitization, technological innovation, and increased market transparency, it is becoming an institutional-quality asset class. For investors seeking diversification, downside protection, and differentiated returns, art offers a compelling portfolio allocation opportunity.</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Sources:</w:t>
      </w:r>
      <w:r w:rsidDel="00000000" w:rsidR="00000000" w:rsidRPr="00000000">
        <w:rPr>
          <w:rtl w:val="0"/>
        </w:rPr>
        <w:t xml:space="preserve"> Deloitte Art and Finance Report 2019, UBS/Art Basel Art Market Report 2021, Preqin, Masterworks Analysis, McKinsey Global Private Markets Review 2019, Yahoo Finance, MSCI, FRED (Federal Reserve Bank of St. Louis).</w:t>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leted user" w:id="1" w:date="2025-05-01T19:00:09Z">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w:t>
      </w:r>
    </w:p>
  </w:comment>
  <w:comment w:author="Deleted user" w:id="0" w:date="2025-05-01T19:00:14Z">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