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Agnes Martin</w:t>
      </w:r>
    </w:p>
    <w:p>
      <w:r>
        <w:t>```html</w:t>
      </w:r>
    </w:p>
    <w:p>
      <w:r>
        <w:t>&lt;!-- Primary SEO keyword: Agnes Martin art investment</w:t>
      </w:r>
    </w:p>
    <w:p>
      <w:r>
        <w:t>Supporting keywords: investing in Agnes Martin, Agnes Martin biography, Agnes Martin auction prices, Agnes Martin market value --&gt;</w:t>
      </w:r>
    </w:p>
    <w:p>
      <w:r>
        <w:t>```</w:t>
      </w:r>
    </w:p>
    <w:p>
      <w:r>
        <w:t># Agnes Martin: A Comprehensive Exploration of Life, Art, and Market Dynamics</w:t>
      </w:r>
    </w:p>
    <w:p>
      <w:r>
        <w:t>Agnes Martin (1912–2004) remains one of the most enigmatic and revered figures in postwar American abstraction. Her minimalist grids and muted color fields, infused with spiritual depth and emotional restraint, revolutionized abstract painting while defying easy categorization. This article synthesizes Martin’s biography, artistic evolution, critical reception, market performance, and enduring legacy, with particular attention to factors influencing her desirability among collectors. From her early struggles in rural Canada to her record-breaking auctions, Martin’s journey reveals a singular vision that continues to captivate audiences and investors alike.</w:t>
      </w:r>
    </w:p>
    <w:p>
      <w:r>
        <w:t>## Biography and Artistic Development</w:t>
      </w:r>
    </w:p>
    <w:p>
      <w:r>
        <w:t>### Early Life and Formative Influences</w:t>
      </w:r>
    </w:p>
    <w:p>
      <w:r>
        <w:t>Born in Macklin, Saskatchewan, in 1912 to Scottish Presbyterian farmers, Agnes Bernice Martin grew up in Vancouver after her family relocated in 1919. Her childhood in rural Canada, marked by economic hardship and familial instability, foreshadowed her lifelong affinity for solitude and self-reliance. In 1931, she moved to the United States to assist her pregnant sister in Bellingham, Washington, a decision that catalyzed her immersion in American artistic circles. After studying at Teachers College, Columbia University, Martin gravitated toward New York’s avant-garde scene in the 1950s, where she befriended Abstract Expressionists like Mark Rothko and Ad Reinhardt.</w:t>
      </w:r>
    </w:p>
    <w:p>
      <w:r>
        <w:t>Her early work, such as the surviving *Portrait of Daphne Vaughn* (1947)—a rare figurative depiction of her lover—hints at the tension between emotional intimacy and abstraction that would define her career. By the mid-1950s, Martin abandoned biomorphic surrealism for geometric compositions, as seen in *Harbor Number 1* (1957), which combined rigid structures with delicate pencil lines.</w:t>
      </w:r>
    </w:p>
    <w:p>
      <w:r>
        <w:t>### Breakthrough and Retreat</w:t>
      </w:r>
    </w:p>
    <w:p>
      <w:r>
        <w:t>Martin’s mature style emerged in the 1960s with iconic grid paintings like *Friendship* (1963), a gold-leaf-and-gesso masterpiece measuring over six feet per side. These works, characterized by mathematically precise lines and ethereal color gradients, reflected her engagement with Zen Buddhism and Transcendentalist philosophy. However, in 1967, at the height of her New York success, Martin abruptly abandoned the city, embarking on an 18-month nomadic journey before settling in New Mexico. There, she constructed adobe homes and entered a period of artistic silence, resuming painting only in 1971 after curator Douglas Crimp reignited her career.</w:t>
      </w:r>
    </w:p>
    <w:p>
      <w:r>
        <w:t>### Later Years and Legacy</w:t>
      </w:r>
    </w:p>
    <w:p>
      <w:r>
        <w:t>From the 1970s until her death in 2004, Martin’s work evolved toward horizontal bands of color, as exemplified by *With My Back to the World* (1997), a meditation on desert landscapes. Despite her reclusive lifestyle, she maintained relationships with galleries like Pace, which championed her under dealer Arne Glimcher. Diagnosed with schizophrenia in 1962, Martin’s mental health struggles remained private, though critics have speculated on their influence on her austere aesthetic.</w:t>
      </w:r>
    </w:p>
    <w:p>
      <w:r>
        <w:t>## Cultural and Artistic Significance</w:t>
      </w:r>
    </w:p>
    <w:p>
      <w:r>
        <w:t>### Bridging Movements: Minimalism and Abstract Expressionism</w:t>
      </w:r>
    </w:p>
    <w:p>
      <w:r>
        <w:t>Though often grouped with Minimalists like Donald Judd, Martin resisted the label, aligning herself with Abstract Expressionism’s emotional intensity. Her grids—meticulously plotted yet imperfect—mediated between Rothko’s chromatic sublimity and Judd’s industrial rigor. As critic Lawrence Alloway noted, her work embodies “silent dignity,” merging geometric discipline with a “Romantic absolute” of infinite possibility.</w:t>
      </w:r>
    </w:p>
    <w:p>
      <w:r>
        <w:t>### Spiritual and Philosophical Underpinnings</w:t>
      </w:r>
    </w:p>
    <w:p>
      <w:r>
        <w:t>Martin’s art sought to evoke “memories of moments of perfection,” transcending personal emotion to access universal joy. Influenced by Taoist and Buddhist texts, she viewed creativity as a conduit to the sublime, a notion crystallized in lectures where she described art as a means to “defeat pride” and embrace humility. This spiritual imperative resonates in works like *Summer* (1965), where watercolor grids dissolve into meditative ambiguity.</w:t>
      </w:r>
    </w:p>
    <w:p>
      <w:r>
        <w:t>### Influence on Contemporary Practice</w:t>
      </w:r>
    </w:p>
    <w:p>
      <w:r>
        <w:t>Martin’s legacy extends to artists such as Eva Hesse, Ellen Gallagher, and Shirazeh Houshiary, who adopt her fusion of systemic rigor and poetic abstraction. Her impact on feminist art history is equally profound; Mary Beth Edelson included her in the landmark 1972 poster *Some Living American Women Artists*, asserting her place in a canon dominated by male peers.</w:t>
      </w:r>
    </w:p>
    <w:p>
      <w:r>
        <w:t>## Market Dynamics and Collectibility</w:t>
      </w:r>
    </w:p>
    <w:p>
      <w:r>
        <w:t>### Scarcity and Provenance</w:t>
      </w:r>
    </w:p>
    <w:p>
      <w:r>
        <w:t>With only approximately 450 surviving paintings—many early works were destroyed by Martin herself—her oeuvre is exceptionally scarce. This rarity, compounded by her late-career resurgence, has driven market valuation. Key factors influencing desirability include: provenances from prestigious collections (e.g., the Macklowe, Paul G. Allen collections), exhibition history at major retrospectives (Tate Modern, 2015; Guggenheim, 2016), and period significance of her grids (1960s) and late horizontal bands (1990s) that represent distinct market peaks.</w:t>
      </w:r>
    </w:p>
    <w:p>
      <w:r>
        <w:t>### Auction Performance and Record Prices</w:t>
      </w:r>
    </w:p>
    <w:p>
      <w:r>
        <w:t>Martin’s market ascent accelerated post-2010, with six of her top 10 auction results achieved since 2019. Notable sales include *Grey Stone II* (1961), which sold for $18.72M at Sotheby’s New York in 2023, surpassing its high estimate by 200%. *Untitled #44* (1974) fetched $17.73M in 2021, highlighting demand for her signature grids. *Orange Grove* (1985) achieved $13.7M in 2016, underscoring the appeal of her chromatic experimentation.</w:t>
      </w:r>
    </w:p>
    <w:p>
      <w:r>
        <w:t>### Investment Considerations</w:t>
      </w:r>
    </w:p>
    <w:p>
      <w:r>
        <w:t>Prospective buyers prioritize condition, as Martin’s delicate graphite lines and thin washes require meticulous conservation. Authenticity is also crucial; comprehensive documentation, including inclusion in the Agnes Martin Catalogue Raisonné, mitigates forgery risks. Additionally, large-scale works (72” x 72”) dominate high-value transactions, offering institutional-grade presence.</w:t>
      </w:r>
    </w:p>
    <w:p>
      <w:r>
        <w:t>## Critical Reception and Scholarly Discourse</w:t>
      </w:r>
    </w:p>
    <w:p>
      <w:r>
        <w:t>### Early Reviews and Evolving Interpretations</w:t>
      </w:r>
    </w:p>
    <w:p>
      <w:r>
        <w:t>Initial responses to Martin’s grids emphasized formalist rigor, but later critics discerned emotional nuance beneath their surfaces. In 2015, the *Los Angeles County Museum of Art* retrospective highlighted her “radical excavation of gestural volume,” reframing her as a proto-feminist subverting Minimalism’s austerity. Conversely, postmodern analyses, such as Carter Ratcliff’s 2025 essay, position her within a Romantic tradition seeking the “artificial infinite”—a sublime beyond ego-driven expression.</w:t>
      </w:r>
    </w:p>
    <w:p>
      <w:r>
        <w:t>### Controversies and Reassessments</w:t>
      </w:r>
    </w:p>
    <w:p>
      <w:r>
        <w:t>Martin’s reluctance to disclose her sexuality (she had relationships with women) and mental health history sparked debates about biographical reductionism. Critics like Nancy Princenthal argue that her “tight-lipped” aesthetics resist personal narrative, privileging universal resonance over identity politics. However, exhibitions like *Agnes Martin Before the Grid* (2012) have contextualized her early figurative work, challenging myths of her abrupt stylistic shifts.</w:t>
      </w:r>
    </w:p>
    <w:p>
      <w:r>
        <w:t>## Notable Exhibitions and Institutional Holdings</w:t>
      </w:r>
    </w:p>
    <w:p>
      <w:r>
        <w:t>### Career-Defining Retrospectives</w:t>
      </w:r>
    </w:p>
    <w:p>
      <w:r>
        <w:t>Martin’s exhibitions have solidified her position in the art world, with notable retrospectives at the Whitney Museum of American Art (1992–1994) and Tate Modern (2015), attracting over 500,000 visitors. The Guggenheim Museum (2016) showcased her late-period bands, enhancing their contemplative impact.</w:t>
      </w:r>
    </w:p>
    <w:p>
      <w:r>
        <w:t>### Permanent Collections and Site-Specific Installations</w:t>
      </w:r>
    </w:p>
    <w:p>
      <w:r>
        <w:t>The Harwood Museum of Art in Taos, New Mexico, houses the Agnes Martin Gallery, a purpose-built space featuring seven monumental paintings from the 1990s. Other key holdings include the Museum of Modern Art (New York) and Tate (London), which further affirm her status as a pivotal figure in modern art.</w:t>
      </w:r>
    </w:p>
    <w:p>
      <w:r>
        <w:t>## Conclusion: The Enduring Allure of Agnes Martin</w:t>
      </w:r>
    </w:p>
    <w:p>
      <w:r>
        <w:t>Agnes Martin’s market ascendance reflects broader shifts in art-world priorities: a hunger for works that balance intellectual rigor with emotional resonance. For collectors, her appeal lies in dualities—minimalist yet expressive, reclusive yet influential, scarce yet accessible through strategic acquisitions. As her prices continue to appreciate, Martin’s legacy endures not only in galleries but in the quiet moments of contemplation her paintings inspire. In an era of sensory overload, her art offers a sanctuary of stillness, a quality as monetizable as it is transcendent.</w:t>
      </w:r>
    </w:p>
    <w:p>
      <w:r>
        <w:t>---</w:t>
      </w:r>
    </w:p>
    <w:p>
      <w:r>
        <w:t xml:space="preserve">**Next Topics to Tackle**  </w:t>
      </w:r>
    </w:p>
    <w:p>
      <w:r>
        <w:t xml:space="preserve">1. The Investment Potential of Minimalist Art: Why It Matters Today  </w:t>
      </w:r>
    </w:p>
    <w:p>
      <w:r>
        <w:t>2. How to Buy Shares in High-Value Art Investments: A Step-by-Step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