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Receptionist Supervisor Access Guide</w:t>
      </w:r>
    </w:p>
    <w:p>
      <w:r>
        <w:t>Generative AI Voice Assistant for Automated Appointment Booking and General Enquiries Management</w:t>
      </w:r>
    </w:p>
    <w:p>
      <w:r>
        <w:t>Prepared for supervisor and examiner review • 14 October 2026</w:t>
      </w:r>
    </w:p>
    <w:p>
      <w:r>
        <w:t>This guide explains how to inspect the submitted implementation and run its browser and Twilio telephone interfaces. The repository is public, so source review requires no invitation. Execution requires local installation, authorised service credentials and a demonstration database. Browser access is the simplest route to an initial spoken demonstration.</w:t>
      </w:r>
    </w:p>
    <w:p>
      <w:pPr>
        <w:pStyle w:val="Heading2"/>
      </w:pPr>
      <w:r>
        <w:t>1 Open the public repository</w:t>
      </w:r>
    </w:p>
    <w:p>
      <w:hyperlink r:id="rId10">
        <w:r>
          <w:rPr>
            <w:color w:val="165A9F"/>
          </w:rPr>
          <w:t>Open the clinic voice receptionist repository</w:t>
        </w:r>
      </w:hyperlink>
    </w:p>
    <w:p>
      <w:r>
        <w:t>Select README.md for the overview, README_DATABASE_SETUP.md for database preparation and README_SPEAKER_SETUP.md for speaker-model requirements. The Code menu provides Download ZIP; extract the ZIP before running commands. Alternatively, clone the repository using Git.</w:t>
      </w:r>
    </w:p>
    <w:p>
      <w:pPr>
        <w:spacing w:after="60" w:line="240" w:lineRule="auto"/>
      </w:pPr>
      <w:r>
        <w:rPr>
          <w:rFonts w:ascii="DejaVu Sans Mono" w:hAnsi="DejaVu Sans Mono" w:eastAsia="DejaVu Sans Mono" w:cs="DejaVu Sans Mono"/>
          <w:sz w:val="17"/>
        </w:rPr>
        <w:t>git clone https://github.com/Masuma-MIT/clinic-voice-receptionist.git</w:t>
      </w:r>
    </w:p>
    <w:p>
      <w:pPr>
        <w:spacing w:after="60" w:line="240" w:lineRule="auto"/>
      </w:pPr>
      <w:r>
        <w:rPr>
          <w:rFonts w:ascii="DejaVu Sans Mono" w:hAnsi="DejaVu Sans Mono" w:eastAsia="DejaVu Sans Mono" w:cs="DejaVu Sans Mono"/>
          <w:sz w:val="17"/>
        </w:rPr>
        <w:t>Set-Location -LiteralPath ".\clinic-voice-receptionist"</w:t>
      </w:r>
    </w:p>
    <w:p>
      <w:r>
        <w:t>All commands in this guide are for Windows PowerShell unless a step explicitly names the Supabase SQL Editor. Run commands from the extracted or cloned repository folder. Copy command text only; do not copy a PS C:\...&gt; prompt or previous output.</w:t>
      </w:r>
    </w:p>
    <w:p>
      <w:pPr>
        <w:pStyle w:val="Heading2"/>
      </w:pPr>
      <w:r>
        <w:t>2 Find the implementation</w:t>
      </w:r>
    </w:p>
    <w:tbl>
      <w:tblPr>
        <w:tblW w:type="auto" w:w="0"/>
        <w:tblLayout w:type="fixed"/>
        <w:tblLook w:firstColumn="1" w:firstRow="1" w:lastColumn="0" w:lastRow="0" w:noHBand="0" w:noVBand="1" w:val="04A0"/>
      </w:tblPr>
      <w:tblGrid>
        <w:gridCol w:w="3744"/>
        <w:gridCol w:w="6336"/>
      </w:tblGrid>
      <w:tr>
        <w:trPr>
          <w:tblHeader/>
        </w:trPr>
        <w:tc>
          <w:tcPr>
            <w:tcW w:type="dxa" w:w="3744"/>
            <w:vAlign w:val="center"/>
            <w:tcBorders>
              <w:top w:val="single" w:sz="4" w:color="D9D9D9"/>
              <w:left w:val="single" w:sz="4" w:color="D9D9D9"/>
              <w:bottom w:val="single" w:sz="4" w:color="D9D9D9"/>
              <w:right w:val="single" w:sz="4" w:color="D9D9D9"/>
            </w:tcBorders>
            <w:shd w:fill="203B56"/>
          </w:tcPr>
          <w:p>
            <w:pPr>
              <w:spacing w:after="100" w:before="100"/>
            </w:pPr>
            <w:r>
              <w:rPr>
                <w:b/>
                <w:color w:val="FFFFFF"/>
                <w:sz w:val="20"/>
              </w:rPr>
              <w:t>Review area</w:t>
            </w:r>
          </w:p>
        </w:tc>
        <w:tc>
          <w:tcPr>
            <w:tcW w:type="dxa" w:w="6336"/>
            <w:vAlign w:val="center"/>
            <w:tcBorders>
              <w:top w:val="single" w:sz="4" w:color="D9D9D9"/>
              <w:left w:val="single" w:sz="4" w:color="D9D9D9"/>
              <w:bottom w:val="single" w:sz="4" w:color="D9D9D9"/>
              <w:right w:val="single" w:sz="4" w:color="D9D9D9"/>
            </w:tcBorders>
            <w:shd w:fill="203B56"/>
          </w:tcPr>
          <w:p>
            <w:pPr>
              <w:spacing w:after="100" w:before="100"/>
            </w:pPr>
            <w:r>
              <w:rPr>
                <w:b/>
                <w:color w:val="FFFFFF"/>
                <w:sz w:val="20"/>
              </w:rPr>
              <w:t>File or document</w:t>
            </w:r>
          </w:p>
        </w:tc>
      </w:tr>
      <w:t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Browser application</w:t>
            </w:r>
          </w:p>
        </w:tc>
        <w:tc>
          <w:tcPr>
            <w:tcW w:type="dxa" w:w="6336"/>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app_final.py</w:t>
            </w:r>
          </w:p>
        </w:tc>
      </w:tr>
      <w:tr>
        <w:tc>
          <w:tcPr>
            <w:tcW w:type="dxa" w:w="3744"/>
            <w:vAlign w:val="center"/>
            <w:tcBorders>
              <w:top w:val="single" w:sz="4" w:color="D9D9D9"/>
              <w:left w:val="single" w:sz="4" w:color="D9D9D9"/>
              <w:bottom w:val="single" w:sz="4" w:color="D9D9D9"/>
              <w:right w:val="single" w:sz="4" w:color="D9D9D9"/>
            </w:tcBorders>
            <w:shd w:fill="EDF2F6"/>
          </w:tcPr>
          <w:p>
            <w:pPr>
              <w:spacing w:after="100" w:before="100"/>
            </w:pPr>
            <w:r>
              <w:rPr>
                <w:b w:val="0"/>
                <w:color w:val="000000"/>
                <w:sz w:val="20"/>
              </w:rPr>
              <w:t>Telephone gateway</w:t>
            </w:r>
          </w:p>
        </w:tc>
        <w:tc>
          <w:tcPr>
            <w:tcW w:type="dxa" w:w="6336"/>
            <w:vAlign w:val="center"/>
            <w:tcBorders>
              <w:top w:val="single" w:sz="4" w:color="D9D9D9"/>
              <w:left w:val="single" w:sz="4" w:color="D9D9D9"/>
              <w:bottom w:val="single" w:sz="4" w:color="D9D9D9"/>
              <w:right w:val="single" w:sz="4" w:color="D9D9D9"/>
            </w:tcBorders>
            <w:shd w:fill="EDF2F6"/>
          </w:tcPr>
          <w:p>
            <w:pPr>
              <w:spacing w:after="100" w:before="100"/>
            </w:pPr>
            <w:r>
              <w:rPr>
                <w:b w:val="0"/>
                <w:color w:val="000000"/>
                <w:sz w:val="20"/>
              </w:rPr>
              <w:t>twilio_phone_gateway.py</w:t>
            </w:r>
          </w:p>
        </w:tc>
      </w:tr>
      <w:t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Shared dialogue and appointment logic</w:t>
            </w:r>
          </w:p>
        </w:tc>
        <w:tc>
          <w:tcPr>
            <w:tcW w:type="dxa" w:w="6336"/>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receptionist_controller_qwen37_experiment.py</w:t>
            </w:r>
          </w:p>
        </w:tc>
      </w:tr>
      <w:tr>
        <w:tc>
          <w:tcPr>
            <w:tcW w:type="dxa" w:w="3744"/>
            <w:vAlign w:val="center"/>
            <w:tcBorders>
              <w:top w:val="single" w:sz="4" w:color="D9D9D9"/>
              <w:left w:val="single" w:sz="4" w:color="D9D9D9"/>
              <w:bottom w:val="single" w:sz="4" w:color="D9D9D9"/>
              <w:right w:val="single" w:sz="4" w:color="D9D9D9"/>
            </w:tcBorders>
            <w:shd w:fill="EDF2F6"/>
          </w:tcPr>
          <w:p>
            <w:pPr>
              <w:spacing w:after="100" w:before="100"/>
            </w:pPr>
            <w:r>
              <w:rPr>
                <w:b w:val="0"/>
                <w:color w:val="000000"/>
                <w:sz w:val="20"/>
              </w:rPr>
              <w:t>Additional telephone speaker verification</w:t>
            </w:r>
          </w:p>
        </w:tc>
        <w:tc>
          <w:tcPr>
            <w:tcW w:type="dxa" w:w="6336"/>
            <w:vAlign w:val="center"/>
            <w:tcBorders>
              <w:top w:val="single" w:sz="4" w:color="D9D9D9"/>
              <w:left w:val="single" w:sz="4" w:color="D9D9D9"/>
              <w:bottom w:val="single" w:sz="4" w:color="D9D9D9"/>
              <w:right w:val="single" w:sz="4" w:color="D9D9D9"/>
            </w:tcBorders>
            <w:shd w:fill="EDF2F6"/>
          </w:tcPr>
          <w:p>
            <w:pPr>
              <w:spacing w:after="100" w:before="100"/>
            </w:pPr>
            <w:r>
              <w:rPr>
                <w:b w:val="0"/>
                <w:color w:val="000000"/>
                <w:sz w:val="20"/>
              </w:rPr>
              <w:t>speaker_guard_v3_worker.py</w:t>
            </w:r>
          </w:p>
        </w:tc>
      </w:tr>
      <w:t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Database installation and checks</w:t>
            </w:r>
          </w:p>
        </w:tc>
        <w:tc>
          <w:tcPr>
            <w:tcW w:type="dxa" w:w="6336"/>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database/01_schema.sql</w:t>
              <w:br/>
              <w:t>database/02_demo_reference_data.sql</w:t>
              <w:br/>
              <w:t>database/03_verify_demo_database.sql</w:t>
            </w:r>
          </w:p>
        </w:tc>
      </w:tr>
      <w:tr>
        <w:tc>
          <w:tcPr>
            <w:tcW w:type="dxa" w:w="3744"/>
            <w:vAlign w:val="center"/>
            <w:tcBorders>
              <w:top w:val="single" w:sz="4" w:color="D9D9D9"/>
              <w:left w:val="single" w:sz="4" w:color="D9D9D9"/>
              <w:bottom w:val="single" w:sz="4" w:color="D9D9D9"/>
              <w:right w:val="single" w:sz="4" w:color="D9D9D9"/>
            </w:tcBorders>
            <w:shd w:fill="EDF2F6"/>
          </w:tcPr>
          <w:p>
            <w:pPr>
              <w:spacing w:after="100" w:before="100"/>
            </w:pPr>
            <w:r>
              <w:rPr>
                <w:b w:val="0"/>
                <w:color w:val="000000"/>
                <w:sz w:val="20"/>
              </w:rPr>
              <w:t>Source integrity</w:t>
            </w:r>
          </w:p>
        </w:tc>
        <w:tc>
          <w:tcPr>
            <w:tcW w:type="dxa" w:w="6336"/>
            <w:vAlign w:val="center"/>
            <w:tcBorders>
              <w:top w:val="single" w:sz="4" w:color="D9D9D9"/>
              <w:left w:val="single" w:sz="4" w:color="D9D9D9"/>
              <w:bottom w:val="single" w:sz="4" w:color="D9D9D9"/>
              <w:right w:val="single" w:sz="4" w:color="D9D9D9"/>
            </w:tcBorders>
            <w:shd w:fill="EDF2F6"/>
          </w:tcPr>
          <w:p>
            <w:pPr>
              <w:spacing w:after="100" w:before="100"/>
            </w:pPr>
            <w:r>
              <w:rPr>
                <w:b w:val="0"/>
                <w:color w:val="000000"/>
                <w:sz w:val="20"/>
              </w:rPr>
              <w:t>SOURCE_SHA256SUMS.txt</w:t>
            </w:r>
          </w:p>
        </w:tc>
      </w:tr>
    </w:tbl>
    <w:p>
      <w:pPr>
        <w:spacing w:after="0"/>
      </w:pPr>
    </w:p>
    <w:p>
      <w:r>
        <w:t>The docs/historical folder contains earlier development documentation. Use the root setup guides for the submitted package. Record the reviewed commit with:</w:t>
      </w:r>
    </w:p>
    <w:p>
      <w:pPr>
        <w:spacing w:after="60" w:line="240" w:lineRule="auto"/>
      </w:pPr>
      <w:r>
        <w:rPr>
          <w:rFonts w:ascii="DejaVu Sans Mono" w:hAnsi="DejaVu Sans Mono" w:eastAsia="DejaVu Sans Mono" w:cs="DejaVu Sans Mono"/>
          <w:sz w:val="17"/>
        </w:rPr>
        <w:t>git rev-parse HEAD</w:t>
      </w:r>
    </w:p>
    <w:p>
      <w:r>
        <w:br w:type="page"/>
      </w:r>
    </w:p>
    <w:p>
      <w:pPr>
        <w:pStyle w:val="Heading1"/>
      </w:pPr>
      <w:r>
        <w:t>Browser demonstration</w:t>
      </w:r>
    </w:p>
    <w:p>
      <w:pPr>
        <w:pStyle w:val="Heading2"/>
      </w:pPr>
      <w:r>
        <w:t>3 Install the main environment</w:t>
      </w:r>
    </w:p>
    <w:p>
      <w:r>
        <w:t>Install Python 3.12 and use Chrome with microphone permission. The implementation was developed on Windows 11 with Python 3.12.6. Internet access is required for the speech and language services and initial model downloads.</w:t>
      </w:r>
    </w:p>
    <w:p>
      <w:pPr>
        <w:spacing w:after="60" w:line="240" w:lineRule="auto"/>
      </w:pPr>
      <w:r>
        <w:rPr>
          <w:rFonts w:ascii="DejaVu Sans Mono" w:hAnsi="DejaVu Sans Mono" w:eastAsia="DejaVu Sans Mono" w:cs="DejaVu Sans Mono"/>
          <w:sz w:val="17"/>
        </w:rPr>
        <w:t>py -3.12 -m venv .venv</w:t>
      </w:r>
    </w:p>
    <w:p>
      <w:pPr>
        <w:spacing w:after="60" w:line="240" w:lineRule="auto"/>
      </w:pPr>
      <w:r>
        <w:rPr>
          <w:rFonts w:ascii="DejaVu Sans Mono" w:hAnsi="DejaVu Sans Mono" w:eastAsia="DejaVu Sans Mono" w:cs="DejaVu Sans Mono"/>
          <w:sz w:val="17"/>
        </w:rPr>
        <w:t>.\.venv\Scripts\python.exe -m pip install -r requirements_main.txt</w:t>
      </w:r>
    </w:p>
    <w:p>
      <w:pPr>
        <w:spacing w:after="60" w:line="240" w:lineRule="auto"/>
      </w:pPr>
      <w:r>
        <w:rPr>
          <w:rFonts w:ascii="DejaVu Sans Mono" w:hAnsi="DejaVu Sans Mono" w:eastAsia="DejaVu Sans Mono" w:cs="DejaVu Sans Mono"/>
          <w:sz w:val="17"/>
        </w:rPr>
        <w:t>.\.venv\Scripts\python.exe -m pip check</w:t>
      </w:r>
    </w:p>
    <w:p>
      <w:r>
        <w:t>The final command should report “No broken requirements found”. This checks dependency declarations; it does not by itself establish successful service access or live interaction.</w:t>
      </w:r>
    </w:p>
    <w:p>
      <w:pPr>
        <w:pStyle w:val="Heading2"/>
      </w:pPr>
      <w:r>
        <w:t>4 Prepare a demonstration database</w:t>
      </w:r>
    </w:p>
    <w:p>
      <w:r>
        <w:t>Create a separate Supabase demonstration project. Follow README_DATABASE_SETUP.md. In its SQL Editor, run the contents of 01_schema.sql, then 02_demo_reference_data.sql, then 03_verify_demo_database.sql. Paste SQL file contents, not PowerShell commands. These setup scripts are intended for a fresh demonstration database; do not run them against an existing clinic database.</w:t>
      </w:r>
    </w:p>
    <w:p>
      <w:r>
        <w:t>The seed contains 13 services, 65 doctors, 67 doctor–service mappings, 19 clinic-knowledge records and 8,400 demonstration slots. It does not contain participant recordings or existing patient appointment records. Follow the guide’s verification instructions before connecting the application.</w:t>
      </w:r>
    </w:p>
    <w:p>
      <w:pPr>
        <w:pStyle w:val="Heading2"/>
      </w:pPr>
      <w:r>
        <w:t>5 Configure credentials locally</w:t>
      </w:r>
    </w:p>
    <w:p>
      <w:pPr>
        <w:spacing w:after="60" w:line="240" w:lineRule="auto"/>
      </w:pPr>
      <w:r>
        <w:rPr>
          <w:rFonts w:ascii="DejaVu Sans Mono" w:hAnsi="DejaVu Sans Mono" w:eastAsia="DejaVu Sans Mono" w:cs="DejaVu Sans Mono"/>
          <w:sz w:val="17"/>
        </w:rPr>
        <w:t>Copy-Item -LiteralPath ".env.example" -Destination ".env"</w:t>
      </w:r>
    </w:p>
    <w:p>
      <w:pPr>
        <w:spacing w:after="60" w:line="240" w:lineRule="auto"/>
      </w:pPr>
      <w:r>
        <w:rPr>
          <w:rFonts w:ascii="DejaVu Sans Mono" w:hAnsi="DejaVu Sans Mono" w:eastAsia="DejaVu Sans Mono" w:cs="DejaVu Sans Mono"/>
          <w:sz w:val="17"/>
        </w:rPr>
        <w:t>notepad .env</w:t>
      </w:r>
    </w:p>
    <w:p>
      <w:r>
        <w:t>Copy the template only when .env does not already exist. Enter authorised settings in the local file and save it. Use credentials for the new demonstration database.</w:t>
      </w:r>
    </w:p>
    <w:tbl>
      <w:tblPr>
        <w:tblW w:type="auto" w:w="0"/>
        <w:tblLayout w:type="fixed"/>
        <w:tblLook w:firstColumn="1" w:firstRow="1" w:lastColumn="0" w:lastRow="0" w:noHBand="0" w:noVBand="1" w:val="04A0"/>
      </w:tblPr>
      <w:tblGrid>
        <w:gridCol w:w="4032"/>
        <w:gridCol w:w="6048"/>
      </w:tblGrid>
      <w:tr>
        <w:trPr>
          <w:tblHeader/>
        </w:trPr>
        <w:tc>
          <w:tcPr>
            <w:tcW w:type="dxa" w:w="4032"/>
            <w:vAlign w:val="center"/>
            <w:tcBorders>
              <w:top w:val="single" w:sz="4" w:color="D9D9D9"/>
              <w:left w:val="single" w:sz="4" w:color="D9D9D9"/>
              <w:bottom w:val="single" w:sz="4" w:color="D9D9D9"/>
              <w:right w:val="single" w:sz="4" w:color="D9D9D9"/>
            </w:tcBorders>
            <w:shd w:fill="203B56"/>
          </w:tcPr>
          <w:p>
            <w:pPr>
              <w:spacing w:after="100" w:before="100"/>
            </w:pPr>
            <w:r>
              <w:rPr>
                <w:b/>
                <w:color w:val="FFFFFF"/>
                <w:sz w:val="20"/>
              </w:rPr>
              <w:t>Setting</w:t>
            </w:r>
          </w:p>
        </w:tc>
        <w:tc>
          <w:tcPr>
            <w:tcW w:type="dxa" w:w="6048"/>
            <w:vAlign w:val="center"/>
            <w:tcBorders>
              <w:top w:val="single" w:sz="4" w:color="D9D9D9"/>
              <w:left w:val="single" w:sz="4" w:color="D9D9D9"/>
              <w:bottom w:val="single" w:sz="4" w:color="D9D9D9"/>
              <w:right w:val="single" w:sz="4" w:color="D9D9D9"/>
            </w:tcBorders>
            <w:shd w:fill="203B56"/>
          </w:tcPr>
          <w:p>
            <w:pPr>
              <w:spacing w:after="100" w:before="100"/>
            </w:pPr>
            <w:r>
              <w:rPr>
                <w:b/>
                <w:color w:val="FFFFFF"/>
                <w:sz w:val="20"/>
              </w:rPr>
              <w:t>Purpose</w:t>
            </w:r>
          </w:p>
        </w:tc>
      </w:tr>
      <w:tr>
        <w:tc>
          <w:tcPr>
            <w:tcW w:type="dxa" w:w="4032"/>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DEEPGRAM_API_KEY</w:t>
            </w:r>
          </w:p>
        </w:tc>
        <w:tc>
          <w:tcPr>
            <w:tcW w:type="dxa" w:w="6048"/>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Speech recognition and generated speech</w:t>
            </w:r>
          </w:p>
        </w:tc>
      </w:tr>
      <w:tr>
        <w:tc>
          <w:tcPr>
            <w:tcW w:type="dxa" w:w="4032"/>
            <w:vAlign w:val="center"/>
            <w:tcBorders>
              <w:top w:val="single" w:sz="4" w:color="D9D9D9"/>
              <w:left w:val="single" w:sz="4" w:color="D9D9D9"/>
              <w:bottom w:val="single" w:sz="4" w:color="D9D9D9"/>
              <w:right w:val="single" w:sz="4" w:color="D9D9D9"/>
            </w:tcBorders>
            <w:shd w:fill="EDF2F6"/>
          </w:tcPr>
          <w:p>
            <w:pPr>
              <w:spacing w:after="100" w:before="100"/>
            </w:pPr>
            <w:r>
              <w:rPr>
                <w:b w:val="0"/>
                <w:color w:val="000000"/>
                <w:sz w:val="20"/>
              </w:rPr>
              <w:t>DASHSCOPE_API_KEY</w:t>
              <w:br/>
              <w:t>DASHSCOPE_BASE_URL</w:t>
            </w:r>
          </w:p>
        </w:tc>
        <w:tc>
          <w:tcPr>
            <w:tcW w:type="dxa" w:w="6048"/>
            <w:vAlign w:val="center"/>
            <w:tcBorders>
              <w:top w:val="single" w:sz="4" w:color="D9D9D9"/>
              <w:left w:val="single" w:sz="4" w:color="D9D9D9"/>
              <w:bottom w:val="single" w:sz="4" w:color="D9D9D9"/>
              <w:right w:val="single" w:sz="4" w:color="D9D9D9"/>
            </w:tcBorders>
            <w:shd w:fill="EDF2F6"/>
          </w:tcPr>
          <w:p>
            <w:pPr>
              <w:spacing w:after="100" w:before="100"/>
            </w:pPr>
            <w:r>
              <w:rPr>
                <w:b w:val="0"/>
                <w:color w:val="000000"/>
                <w:sz w:val="20"/>
              </w:rPr>
              <w:t>Authorised Qwen service access</w:t>
            </w:r>
          </w:p>
        </w:tc>
      </w:tr>
      <w:tr>
        <w:tc>
          <w:tcPr>
            <w:tcW w:type="dxa" w:w="4032"/>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SUPABASE_URL</w:t>
            </w:r>
          </w:p>
        </w:tc>
        <w:tc>
          <w:tcPr>
            <w:tcW w:type="dxa" w:w="6048"/>
            <w:vAlign w:val="center"/>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Demonstration project API URL</w:t>
            </w:r>
          </w:p>
        </w:tc>
      </w:tr>
      <w:tr>
        <w:tc>
          <w:tcPr>
            <w:tcW w:type="dxa" w:w="4032"/>
            <w:vAlign w:val="center"/>
            <w:tcBorders>
              <w:top w:val="single" w:sz="4" w:color="D9D9D9"/>
              <w:left w:val="single" w:sz="4" w:color="D9D9D9"/>
              <w:bottom w:val="single" w:sz="4" w:color="D9D9D9"/>
              <w:right w:val="single" w:sz="4" w:color="D9D9D9"/>
            </w:tcBorders>
            <w:shd w:fill="EDF2F6"/>
          </w:tcPr>
          <w:p>
            <w:pPr>
              <w:spacing w:after="100" w:before="100"/>
            </w:pPr>
            <w:r>
              <w:rPr>
                <w:b w:val="0"/>
                <w:color w:val="000000"/>
                <w:sz w:val="20"/>
              </w:rPr>
              <w:t>SUPABASE_SECRET_KEY</w:t>
            </w:r>
          </w:p>
        </w:tc>
        <w:tc>
          <w:tcPr>
            <w:tcW w:type="dxa" w:w="6048"/>
            <w:vAlign w:val="center"/>
            <w:tcBorders>
              <w:top w:val="single" w:sz="4" w:color="D9D9D9"/>
              <w:left w:val="single" w:sz="4" w:color="D9D9D9"/>
              <w:bottom w:val="single" w:sz="4" w:color="D9D9D9"/>
              <w:right w:val="single" w:sz="4" w:color="D9D9D9"/>
            </w:tcBorders>
            <w:shd w:fill="EDF2F6"/>
          </w:tcPr>
          <w:p>
            <w:pPr>
              <w:spacing w:after="100" w:before="100"/>
            </w:pPr>
            <w:r>
              <w:rPr>
                <w:b w:val="0"/>
                <w:color w:val="000000"/>
                <w:sz w:val="20"/>
              </w:rPr>
              <w:t>Backend secret key; alternatively use SUPABASE_SERVICE_ROLE_KEY</w:t>
            </w:r>
          </w:p>
        </w:tc>
      </w:tr>
    </w:tbl>
    <w:p>
      <w:pPr>
        <w:spacing w:after="0"/>
      </w:pPr>
    </w:p>
    <w:p>
      <w:r>
        <w:t>Do not publish the completed .env file or send credentials in a public repository. Keep persistent voice profiles disabled for the basic demonstration, as specified by the template.</w:t>
      </w:r>
    </w:p>
    <w:p>
      <w:pPr>
        <w:pStyle w:val="Heading2"/>
      </w:pPr>
      <w:r>
        <w:t>6 Start and use the browser interface</w:t>
      </w:r>
    </w:p>
    <w:p>
      <w:pPr>
        <w:spacing w:after="60" w:line="240" w:lineRule="auto"/>
      </w:pPr>
      <w:r>
        <w:rPr>
          <w:rFonts w:ascii="DejaVu Sans Mono" w:hAnsi="DejaVu Sans Mono" w:eastAsia="DejaVu Sans Mono" w:cs="DejaVu Sans Mono"/>
          <w:sz w:val="17"/>
        </w:rPr>
        <w:t>.\start_final_receptionist.ps1</w:t>
      </w:r>
    </w:p>
    <w:p>
      <w:r>
        <w:t>Keep this PowerShell window open. After startup completes, open http://127.0.0.1:8000/test in Chrome, allow the microphone and start a conversation. Ask a general clinic enquiry or request an appointment using the available demonstration slots. Use the interface’s conversation stop control, then Ctrl+C in the server window when finished.</w:t>
      </w:r>
    </w:p>
    <w:p>
      <w:r>
        <w:br w:type="page"/>
      </w:r>
    </w:p>
    <w:p>
      <w:pPr>
        <w:pStyle w:val="Heading1"/>
      </w:pPr>
      <w:r>
        <w:t>Speaker model preparation</w:t>
      </w:r>
    </w:p>
    <w:p>
      <w:pPr>
        <w:pStyle w:val="Heading2"/>
      </w:pPr>
      <w:r>
        <w:t>7 Install the separate speaker environment</w:t>
      </w:r>
    </w:p>
    <w:p>
      <w:r>
        <w:t>The telephone verification worker uses SpeechBrain ECAPA, NVIDIA TitaNet and Pyannote. The additional environment and model assets are required when Speaker Guard V3 is enabled.</w:t>
      </w:r>
    </w:p>
    <w:p>
      <w:pPr>
        <w:spacing w:after="60" w:line="240" w:lineRule="auto"/>
      </w:pPr>
      <w:r>
        <w:rPr>
          <w:rFonts w:ascii="DejaVu Sans Mono" w:hAnsi="DejaVu Sans Mono" w:eastAsia="DejaVu Sans Mono" w:cs="DejaVu Sans Mono"/>
          <w:sz w:val="17"/>
        </w:rPr>
        <w:t>.\.venv\Scripts\python.exe -m venv .venv_speaker_lab</w:t>
      </w:r>
    </w:p>
    <w:p>
      <w:pPr>
        <w:spacing w:after="60" w:line="240" w:lineRule="auto"/>
      </w:pPr>
      <w:r>
        <w:rPr>
          <w:rFonts w:ascii="DejaVu Sans Mono" w:hAnsi="DejaVu Sans Mono" w:eastAsia="DejaVu Sans Mono" w:cs="DejaVu Sans Mono"/>
          <w:sz w:val="17"/>
        </w:rPr>
        <w:t>.\.venv_speaker_lab\Scripts\python.exe -m pip install `</w:t>
      </w:r>
    </w:p>
    <w:p>
      <w:pPr>
        <w:spacing w:after="60" w:line="240" w:lineRule="auto"/>
      </w:pPr>
      <w:r>
        <w:rPr>
          <w:rFonts w:ascii="DejaVu Sans Mono" w:hAnsi="DejaVu Sans Mono" w:eastAsia="DejaVu Sans Mono" w:cs="DejaVu Sans Mono"/>
          <w:sz w:val="17"/>
        </w:rPr>
        <w:t xml:space="preserve">  -r requirements_speaker_lab.txt `</w:t>
      </w:r>
    </w:p>
    <w:p>
      <w:pPr>
        <w:spacing w:after="60" w:line="240" w:lineRule="auto"/>
      </w:pPr>
      <w:r>
        <w:rPr>
          <w:rFonts w:ascii="DejaVu Sans Mono" w:hAnsi="DejaVu Sans Mono" w:eastAsia="DejaVu Sans Mono" w:cs="DejaVu Sans Mono"/>
          <w:sz w:val="17"/>
        </w:rPr>
        <w:t xml:space="preserve">  --extra-index-url https://download.pytorch.org/whl/cpu</w:t>
      </w:r>
    </w:p>
    <w:p>
      <w:pPr>
        <w:spacing w:after="60" w:line="240" w:lineRule="auto"/>
      </w:pPr>
      <w:r>
        <w:rPr>
          <w:rFonts w:ascii="DejaVu Sans Mono" w:hAnsi="DejaVu Sans Mono" w:eastAsia="DejaVu Sans Mono" w:cs="DejaVu Sans Mono"/>
          <w:sz w:val="17"/>
        </w:rPr>
        <w:t>.\.venv_speaker_lab\Scripts\python.exe -m pip check</w:t>
      </w:r>
    </w:p>
    <w:p>
      <w:r>
        <w:t>In this command block, a backtick at the end of a line continues the same PowerShell command. Do not add spaces after the backtick.</w:t>
      </w:r>
    </w:p>
    <w:p>
      <w:pPr>
        <w:pStyle w:val="Heading2"/>
      </w:pPr>
      <w:r>
        <w:t>8 Authorise Hugging Face access</w:t>
      </w:r>
    </w:p>
    <w:p>
      <w:r>
        <w:t>Use your own Hugging Face account and accept the model-access conditions for pyannote/speaker-diarization-community-1. Authenticate locally with an authorised read token. Do not add the token to Git.</w:t>
      </w:r>
    </w:p>
    <w:p>
      <w:pPr>
        <w:spacing w:after="60" w:line="240" w:lineRule="auto"/>
      </w:pPr>
      <w:r>
        <w:rPr>
          <w:rFonts w:ascii="DejaVu Sans Mono" w:hAnsi="DejaVu Sans Mono" w:eastAsia="DejaVu Sans Mono" w:cs="DejaVu Sans Mono"/>
          <w:sz w:val="17"/>
        </w:rPr>
        <w:t>.\.venv_speaker_lab\Scripts\python.exe -c "from huggingface_hub import login; login()"</w:t>
      </w:r>
    </w:p>
    <w:p>
      <w:pPr>
        <w:pStyle w:val="Heading2"/>
      </w:pPr>
      <w:r>
        <w:t>9 Prepare the local ECAPA folder</w:t>
      </w:r>
    </w:p>
    <w:p>
      <w:r>
        <w:t>Download the five files listed below from the pinned SpeechBrain model revision. Create the destination folder speaker_models/speechbrain_ecapa_local inside the repository and place the files there.</w:t>
      </w:r>
    </w:p>
    <w:p>
      <w:hyperlink r:id="rId11">
        <w:r>
          <w:rPr>
            <w:color w:val="165A9F"/>
          </w:rPr>
          <w:t>Open the pinned ECAPA model files</w:t>
        </w:r>
      </w:hyperlink>
    </w:p>
    <w:p>
      <w:pPr>
        <w:spacing w:after="60" w:line="240" w:lineRule="auto"/>
      </w:pPr>
      <w:r>
        <w:rPr>
          <w:rFonts w:ascii="DejaVu Sans Mono" w:hAnsi="DejaVu Sans Mono" w:eastAsia="DejaVu Sans Mono" w:cs="DejaVu Sans Mono"/>
          <w:sz w:val="17"/>
        </w:rPr>
        <w:t>hyperparams.yaml</w:t>
      </w:r>
    </w:p>
    <w:p>
      <w:pPr>
        <w:spacing w:after="60" w:line="240" w:lineRule="auto"/>
      </w:pPr>
      <w:r>
        <w:rPr>
          <w:rFonts w:ascii="DejaVu Sans Mono" w:hAnsi="DejaVu Sans Mono" w:eastAsia="DejaVu Sans Mono" w:cs="DejaVu Sans Mono"/>
          <w:sz w:val="17"/>
        </w:rPr>
        <w:t>embedding_model.ckpt</w:t>
      </w:r>
    </w:p>
    <w:p>
      <w:pPr>
        <w:spacing w:after="60" w:line="240" w:lineRule="auto"/>
      </w:pPr>
      <w:r>
        <w:rPr>
          <w:rFonts w:ascii="DejaVu Sans Mono" w:hAnsi="DejaVu Sans Mono" w:eastAsia="DejaVu Sans Mono" w:cs="DejaVu Sans Mono"/>
          <w:sz w:val="17"/>
        </w:rPr>
        <w:t>mean_var_norm_emb.ckpt</w:t>
      </w:r>
    </w:p>
    <w:p>
      <w:pPr>
        <w:spacing w:after="60" w:line="240" w:lineRule="auto"/>
      </w:pPr>
      <w:r>
        <w:rPr>
          <w:rFonts w:ascii="DejaVu Sans Mono" w:hAnsi="DejaVu Sans Mono" w:eastAsia="DejaVu Sans Mono" w:cs="DejaVu Sans Mono"/>
          <w:sz w:val="17"/>
        </w:rPr>
        <w:t>classifier.ckpt</w:t>
      </w:r>
    </w:p>
    <w:p>
      <w:pPr>
        <w:spacing w:after="60" w:line="240" w:lineRule="auto"/>
      </w:pPr>
      <w:r>
        <w:rPr>
          <w:rFonts w:ascii="DejaVu Sans Mono" w:hAnsi="DejaVu Sans Mono" w:eastAsia="DejaVu Sans Mono" w:cs="DejaVu Sans Mono"/>
          <w:sz w:val="17"/>
        </w:rPr>
        <w:t>label_encoder.txt</w:t>
      </w:r>
    </w:p>
    <w:p>
      <w:r>
        <w:t>Edit the pretrained_path entry in hyperparams.yaml to the absolute location of this folder, using forward slashes. For example, if the repository was extracted to C:\Review\clinic-voice-receptionist, the entry is:</w:t>
      </w:r>
    </w:p>
    <w:p>
      <w:pPr>
        <w:spacing w:after="60" w:line="240" w:lineRule="auto"/>
      </w:pPr>
      <w:r>
        <w:rPr>
          <w:rFonts w:ascii="DejaVu Sans Mono" w:hAnsi="DejaVu Sans Mono" w:eastAsia="DejaVu Sans Mono" w:cs="DejaVu Sans Mono"/>
          <w:sz w:val="17"/>
        </w:rPr>
        <w:t>pretrained_path: "C:/Review/clinic-voice-receptionist/speaker_models/speechbrain_ecapa_local"</w:t>
      </w:r>
    </w:p>
    <w:p>
      <w:r>
        <w:t>Create custom.py in the same folder. Its contents should be this single comment; no custom model classes are required:</w:t>
      </w:r>
    </w:p>
    <w:p>
      <w:pPr>
        <w:spacing w:after="60" w:line="240" w:lineRule="auto"/>
      </w:pPr>
      <w:r>
        <w:rPr>
          <w:rFonts w:ascii="DejaVu Sans Mono" w:hAnsi="DejaVu Sans Mono" w:eastAsia="DejaVu Sans Mono" w:cs="DejaVu Sans Mono"/>
          <w:sz w:val="17"/>
        </w:rPr>
        <w:t># ECAPA uses standard SpeechBrain classes; no custom definitions are required.</w:t>
      </w:r>
    </w:p>
    <w:p>
      <w:pPr>
        <w:pStyle w:val="Heading2"/>
      </w:pPr>
      <w:r>
        <w:t>10 Check worker readiness</w:t>
      </w:r>
    </w:p>
    <w:p>
      <w:pPr>
        <w:spacing w:after="60" w:line="240" w:lineRule="auto"/>
      </w:pPr>
      <w:r>
        <w:rPr>
          <w:rFonts w:ascii="DejaVu Sans Mono" w:hAnsi="DejaVu Sans Mono" w:eastAsia="DejaVu Sans Mono" w:cs="DejaVu Sans Mono"/>
          <w:sz w:val="17"/>
        </w:rPr>
        <w:t>'{"action":"warmup"}' | .\.venv_speaker_lab\Scripts\python.exe `</w:t>
      </w:r>
    </w:p>
    <w:p>
      <w:pPr>
        <w:spacing w:after="60" w:line="240" w:lineRule="auto"/>
      </w:pPr>
      <w:r>
        <w:rPr>
          <w:rFonts w:ascii="DejaVu Sans Mono" w:hAnsi="DejaVu Sans Mono" w:eastAsia="DejaVu Sans Mono" w:cs="DejaVu Sans Mono"/>
          <w:sz w:val="17"/>
        </w:rPr>
        <w:t xml:space="preserve">  -u .\speaker_guard_v3_worker.py</w:t>
      </w:r>
    </w:p>
    <w:p>
      <w:r>
        <w:t>Initial loading may take time and download TitaNet and Pyannote assets. The expected final result is V3_RESULT {"available": true, "status": "ready"}. This confirms model loading, not speaker-change accuracy. If custom.py is reported missing, check Step 9. Model files and virtual environments remain local and are excluded from Git.</w:t>
      </w:r>
    </w:p>
    <w:p>
      <w:r>
        <w:br w:type="page"/>
      </w:r>
    </w:p>
    <w:p>
      <w:pPr>
        <w:pStyle w:val="Heading1"/>
      </w:pPr>
      <w:r>
        <w:t>Twilio telephone demonstration</w:t>
      </w:r>
    </w:p>
    <w:p>
      <w:pPr>
        <w:pStyle w:val="Heading2"/>
      </w:pPr>
      <w:r>
        <w:t>11 Start a public tunnel</w:t>
      </w:r>
    </w:p>
    <w:p>
      <w:r>
        <w:t>Install cloudflared if it is not available. In a separate PowerShell window, start a tunnel to the telephone gateway port:</w:t>
      </w:r>
    </w:p>
    <w:p>
      <w:pPr>
        <w:spacing w:after="60" w:line="240" w:lineRule="auto"/>
      </w:pPr>
      <w:r>
        <w:rPr>
          <w:rFonts w:ascii="DejaVu Sans Mono" w:hAnsi="DejaVu Sans Mono" w:eastAsia="DejaVu Sans Mono" w:cs="DejaVu Sans Mono"/>
          <w:sz w:val="17"/>
        </w:rPr>
        <w:t>cloudflared tunnel --protocol http2 --url http://127.0.0.1:8001</w:t>
      </w:r>
    </w:p>
    <w:p>
      <w:r>
        <w:t>Keep the tunnel window open. Copy the HTTPS address displayed in its output. A quick tunnel receives a temporary address; use the address from the current run.</w:t>
      </w:r>
    </w:p>
    <w:p>
      <w:pPr>
        <w:pStyle w:val="Heading2"/>
      </w:pPr>
      <w:r>
        <w:t>12 Configure and start the gateway</w:t>
      </w:r>
    </w:p>
    <w:p>
      <w:r>
        <w:t>Set TWILIO_PUBLIC_BASE_URL in the local .env file to the current tunnel address. Retain the template’s Speaker Guard V3 settings and capacity configuration. In another PowerShell window, open the repository folder and start:</w:t>
      </w:r>
    </w:p>
    <w:p>
      <w:pPr>
        <w:spacing w:after="60" w:line="240" w:lineRule="auto"/>
      </w:pPr>
      <w:r>
        <w:rPr>
          <w:rFonts w:ascii="DejaVu Sans Mono" w:hAnsi="DejaVu Sans Mono" w:eastAsia="DejaVu Sans Mono" w:cs="DejaVu Sans Mono"/>
          <w:sz w:val="17"/>
        </w:rPr>
        <w:t>.\start_twilio_phone_gateway.ps1</w:t>
      </w:r>
    </w:p>
    <w:p>
      <w:r>
        <w:t>The gateway listens on port 8001. Restart it after changing .env settings. Keep both the gateway and tunnel running during a call.</w:t>
      </w:r>
    </w:p>
    <w:p>
      <w:pPr>
        <w:pStyle w:val="Heading2"/>
      </w:pPr>
      <w:r>
        <w:t>13 Connect the Twilio number</w:t>
      </w:r>
    </w:p>
    <w:p>
      <w:r>
        <w:t>In your authorised Twilio account, open the active telephone number’s incoming voice configuration. Set the incoming-call action to Webhook, enter the current public URL followed by /twilio/voice and select HTTP POST. Save the configuration.</w:t>
      </w:r>
    </w:p>
    <w:p>
      <w:pPr>
        <w:spacing w:after="60" w:line="240" w:lineRule="auto"/>
      </w:pPr>
      <w:r>
        <w:rPr>
          <w:rFonts w:ascii="DejaVu Sans Mono" w:hAnsi="DejaVu Sans Mono" w:eastAsia="DejaVu Sans Mono" w:cs="DejaVu Sans Mono"/>
          <w:sz w:val="17"/>
        </w:rPr>
        <w:t>https://YOUR-CURRENT-TUNNEL.trycloudflare.com/twilio/voice</w:t>
      </w:r>
    </w:p>
    <w:p>
      <w:r>
        <w:t>Replace the example hostname above with the actual tunnel address. Twilio account access, a telephone number and any applicable call charges are separate from access to the public source repository.</w:t>
      </w:r>
    </w:p>
    <w:p>
      <w:pPr>
        <w:pStyle w:val="Heading2"/>
      </w:pPr>
      <w:r>
        <w:t>14 Check connectivity and place a call</w:t>
      </w:r>
    </w:p>
    <w:p>
      <w:pPr>
        <w:spacing w:after="60" w:line="240" w:lineRule="auto"/>
      </w:pPr>
      <w:r>
        <w:rPr>
          <w:rFonts w:ascii="DejaVu Sans Mono" w:hAnsi="DejaVu Sans Mono" w:eastAsia="DejaVu Sans Mono" w:cs="DejaVu Sans Mono"/>
          <w:sz w:val="17"/>
        </w:rPr>
        <w:t>Invoke-RestMethod -Uri "http://127.0.0.1:8001/twilio/preflight" | Format-List</w:t>
      </w:r>
    </w:p>
    <w:p>
      <w:r>
        <w:t>A ready response confirms the endpoint’s reported configuration and connectivity checks. Also open the public tunnel URL followed by /twilio/health to check public reachability. These checks do not replace an actual telephone conversation. Call the configured Twilio number to examine spoken interaction.</w:t>
      </w:r>
    </w:p>
    <w:p>
      <w:pPr>
        <w:pStyle w:val="Heading2"/>
      </w:pPr>
      <w:r>
        <w:t>Observed setup checks and review boundaries</w:t>
      </w:r>
    </w:p>
    <w:p>
      <w:r>
        <w:t>During submission preparation, both installed environments passed pip check, the demonstration database connection returned the expected reference counts, and the speaker worker returned ready. The researcher reported a successful browser conversation. Telephone logs recorded an incoming voice webhook and accepted media connection. A subsequent facility-enquiry repair passed 42 offline cases and 15 source syntax checks; no additional call was performed after that repair.</w:t>
      </w:r>
    </w:p>
    <w:p>
      <w:r>
        <w:t>Reviewers should document their own conversation outcomes. Startup and model readiness do not establish complete appointment, interruption or speaker-handover accuracy. The application handles administrative enquiries and appointments; it does not provide personalised medical advice, and speaker clarification is not patient authentication.</w:t>
      </w:r>
    </w:p>
    <w:p>
      <w:r>
        <w:t>To stop a demonstration, press Ctrl+C in the gateway and tunnel windows. The repository remains available for source review when the local servers are stopped.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Supervisor access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suma-MIT/clinic-voice-receptionist" TargetMode="External"/><Relationship Id="rId11" Type="http://schemas.openxmlformats.org/officeDocument/2006/relationships/hyperlink" Target="https://huggingface.co/speechbrain/spkrec-ecapa-voxceleb/tree/0f99f2d0ebe89ac095bcc5903c4dd8f72b3672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