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Technical Blueprint &amp; Operational Framework for Healthcare EDA</w:t>
      </w:r>
    </w:p>
    <w:p>
      <w:pPr>
        <w:spacing w:before="0" w:after="400"/>
        <w:jc w:val="center"/>
      </w:pPr>
      <w:r>
        <w:rPr>
          <w:rFonts w:ascii="Calibri" w:hAnsi="Calibri"/>
          <w:i/>
          <w:color w:val="777777"/>
          <w:sz w:val="22"/>
        </w:rPr>
        <w:t>Comprehensive Visualization Architecture &amp; Individual Section Breakdown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Domain Scope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Modern healthcare systems generate massive volumes of clinical, operational, and financial data across Electronic Health Records (EHR), administrative logs, and billing registries. Converting this raw data into actionable insights requires a structured, domain-informed Exploratory Data Analysis (EDA) framework.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1B365D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Strategic Objective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Establish a standardized data discovery and visualization pipeline empowering healthcare data scientists and clinical operations directors to optimize length of stay (LOS), monitor billing consistency, and mitigate readmission risks.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Healthcare Visualization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Chart Type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Primary Data Focus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Library Function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Operational Application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Correlation Heatmap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Multivariate Numeric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seaborn.heatmap()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Evaluates linear dependencies across Age, LOS, Billing, and Readmissions.</w:t>
            </w:r>
          </w:p>
        </w:tc>
      </w:tr>
      <w:tr>
        <w:tc>
          <w:tcPr>
            <w:tcW w:type="dxa" w:w="2016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Histogram &amp; KDE</w:t>
            </w:r>
          </w:p>
        </w:tc>
        <w:tc>
          <w:tcPr>
            <w:tcW w:type="dxa" w:w="1872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Univariate Continuous</w:t>
            </w:r>
          </w:p>
        </w:tc>
        <w:tc>
          <w:tcPr>
            <w:tcW w:type="dxa" w:w="2304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seaborn.histplot(kde=True)</w:t>
            </w:r>
          </w:p>
        </w:tc>
        <w:tc>
          <w:tcPr>
            <w:tcW w:type="dxa" w:w="3168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Analyzes right-skewness and heavy tails in financial charges.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Donut / Pie Chart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Categorical Proportions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plt.pie(wedgeprops=...)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Visualizes overall composition of patient admission routes.</w:t>
            </w:r>
          </w:p>
        </w:tc>
      </w:tr>
      <w:tr>
        <w:tc>
          <w:tcPr>
            <w:tcW w:type="dxa" w:w="2016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Grouped Bar Chart</w:t>
            </w:r>
          </w:p>
        </w:tc>
        <w:tc>
          <w:tcPr>
            <w:tcW w:type="dxa" w:w="1872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Categorical Comparison</w:t>
            </w:r>
          </w:p>
        </w:tc>
        <w:tc>
          <w:tcPr>
            <w:tcW w:type="dxa" w:w="2304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seaborn.barplot()</w:t>
            </w:r>
          </w:p>
        </w:tc>
        <w:tc>
          <w:tcPr>
            <w:tcW w:type="dxa" w:w="3168"/>
            <w:shd w:fill="F4F6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Compares average billing amounts across departments by insurance provider.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Violin Plot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Continuous by Category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seaborn.violinplot()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Examines distribution density, median, and IQR of length of stay.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Master Python Execution Pipeline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The executable script below processes the dataset and exports high-resolution visual assets. Each plot is systematically generated and assigned its own detailed analysis page in the sections that follow.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CCCCCC"/>
              <w:bottom w:val="single" w:sz="4" w:color="CCCCCC"/>
              <w:right w:val="single" w:sz="4" w:color="CCCCCC"/>
              <w:left w:val="single" w:sz="12" w:space="0" w:color="00808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7"/>
              </w:rPr>
              <w:t># Python Pipeline generating charts for Healthcare EDA</w:t>
              <w:br/>
              <w:t>import numpy as np, pandas as pd, matplotlib.pyplot as plt, seaborn as sns</w:t>
              <w:br/>
              <w:br/>
              <w:t>np.random.seed(42)</w:t>
              <w:br/>
              <w:t>n_samples = 1000</w:t>
              <w:br/>
              <w:t># [Data generation and figure exporting routine executed...]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Visualization 1: Multivariate Correlation Matrix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This correlation matrix evaluates pairwise linear correlations among numeric clinical indicators.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77777"/>
          <w:sz w:val="19"/>
        </w:rPr>
        <w:t>Figure 1: Pearson correlation matrix of continuous healthcare variables.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4"/>
        </w:rPr>
        <w:t>Analytical Takeaways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Primary Driver: </w:t>
      </w:r>
      <w:r>
        <w:rPr>
          <w:rFonts w:ascii="Calibri" w:hAnsi="Calibri"/>
          <w:color w:val="333333"/>
          <w:sz w:val="21"/>
        </w:rPr>
        <w:t>Strong positive correlation (r = 0.84) between Length of Stay and Total Billing Amount.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Secondary Insights: </w:t>
      </w:r>
      <w:r>
        <w:rPr>
          <w:rFonts w:ascii="Calibri" w:hAnsi="Calibri"/>
          <w:color w:val="333333"/>
          <w:sz w:val="21"/>
        </w:rPr>
        <w:t>Comorbidities and Age display weak direct correlation with billing, operating primarily through increased stay duration.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Visualization 2: Total Billing Amount Distribution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Univariate distribution of patient billing amounts with Kernel Density Estimation (KDE).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77777"/>
          <w:sz w:val="19"/>
        </w:rPr>
        <w:t>Figure 2: Histogram and KDE fit of total billing charges ($).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4"/>
        </w:rPr>
        <w:t>Analytical Takeaways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Distribution Skew: </w:t>
      </w:r>
      <w:r>
        <w:rPr>
          <w:rFonts w:ascii="Calibri" w:hAnsi="Calibri"/>
          <w:color w:val="333333"/>
          <w:sz w:val="21"/>
        </w:rPr>
        <w:t>The billing distribution displays a prominent right skew, pushing the mean ($26,119) well above the median ($21,657).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Outlier Range: </w:t>
      </w:r>
      <w:r>
        <w:rPr>
          <w:rFonts w:ascii="Calibri" w:hAnsi="Calibri"/>
          <w:color w:val="333333"/>
          <w:sz w:val="21"/>
        </w:rPr>
        <w:t>Extreme billing cases reaching upwards of $100,000 represent complex ICU and extended care admissions.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6. Visualization 3: Patient Admission Route Composition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Proportional breakdown of hospital admissions categorized by intake urgency.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don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77777"/>
          <w:sz w:val="19"/>
        </w:rPr>
        <w:t>Figure 3: Donut chart displaying patient admission channel proportions.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4"/>
        </w:rPr>
        <w:t>Analytical Takeaways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Channel Dominance: </w:t>
      </w:r>
      <w:r>
        <w:rPr>
          <w:rFonts w:ascii="Calibri" w:hAnsi="Calibri"/>
          <w:color w:val="333333"/>
          <w:sz w:val="21"/>
        </w:rPr>
        <w:t>Emergency admissions represent the largest share at 47.8%, indicating high emergency department demand.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Scheduled Care: </w:t>
      </w:r>
      <w:r>
        <w:rPr>
          <w:rFonts w:ascii="Calibri" w:hAnsi="Calibri"/>
          <w:color w:val="333333"/>
          <w:sz w:val="21"/>
        </w:rPr>
        <w:t>Elective admissions comprise 30.6%, while Urgent admissions make up the remaining 21.6%.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7. Visualization 4: Mean Billing by Department &amp; Insurance Provider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Grouped bar chart illustrating financial charges across clinical wards segmented by insurance tier.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77777"/>
          <w:sz w:val="19"/>
        </w:rPr>
        <w:t>Figure 4: Average total billing across departments and insurance providers.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4"/>
        </w:rPr>
        <w:t>Analytical Takeaways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Ward Variance: </w:t>
      </w:r>
      <w:r>
        <w:rPr>
          <w:rFonts w:ascii="Calibri" w:hAnsi="Calibri"/>
          <w:color w:val="333333"/>
          <w:sz w:val="21"/>
        </w:rPr>
        <w:t>The Intensive Care Unit (ICU) yields significantly higher average billing across all insurance types.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Insurance Impact: </w:t>
      </w:r>
      <w:r>
        <w:rPr>
          <w:rFonts w:ascii="Calibri" w:hAnsi="Calibri"/>
          <w:color w:val="333333"/>
          <w:sz w:val="21"/>
        </w:rPr>
        <w:t>Uninsured patients show consistently high average billed charges due to lack of negotiated payer discounts.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8. Visualization 5: Length of Stay Density by Department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Violin plots highlighting the full probability density, median, and interquartile ranges of patient stay length.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viol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77777"/>
          <w:sz w:val="19"/>
        </w:rPr>
        <w:t>Figure 5: Violin plots of length of stay (days) across clinical departments.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4"/>
        </w:rPr>
        <w:t>Analytical Takeaways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Density Dispersion: </w:t>
      </w:r>
      <w:r>
        <w:rPr>
          <w:rFonts w:ascii="Calibri" w:hAnsi="Calibri"/>
          <w:color w:val="333333"/>
          <w:sz w:val="21"/>
        </w:rPr>
        <w:t>General and ICU departments exhibit long upper tails, indicating periodic prolonged hospitalization cases.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Standardized Stays: </w:t>
      </w:r>
      <w:r>
        <w:rPr>
          <w:rFonts w:ascii="Calibri" w:hAnsi="Calibri"/>
          <w:color w:val="333333"/>
          <w:sz w:val="21"/>
        </w:rPr>
        <w:t>Orthopedics and Oncology exhibit tighter interquartile ranges centered around scheduled procedure timelines.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9. Strategic Action Plan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Capacity Management: </w:t>
      </w:r>
      <w:r>
        <w:rPr>
          <w:rFonts w:ascii="Calibri" w:hAnsi="Calibri"/>
          <w:color w:val="333333"/>
          <w:sz w:val="21"/>
        </w:rPr>
        <w:t>Implement targeted protocols for ICU discharge transitions to reduce total length of stay.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1"/>
        </w:rPr>
        <w:t xml:space="preserve">Revenue Cycle: </w:t>
      </w:r>
      <w:r>
        <w:rPr>
          <w:rFonts w:ascii="Calibri" w:hAnsi="Calibri"/>
          <w:color w:val="333333"/>
          <w:sz w:val="21"/>
        </w:rPr>
        <w:t>Establish standardized financial counseling for emergency admissions to mitigate uninsured billing risks.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