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200"/>
        <w:jc w:val="center"/>
      </w:pPr>
      <w:r>
        <w:rPr>
          <w:rFonts w:ascii="Calibri" w:hAnsi="Calibri"/>
          <w:b/>
          <w:color w:val="0B2545"/>
          <w:sz w:val="50"/>
        </w:rPr>
        <w:t>Healthcare Data Analytics Strategic Plan</w:t>
      </w:r>
    </w:p>
    <w:p>
      <w:pPr>
        <w:spacing w:after="520"/>
        <w:jc w:val="center"/>
      </w:pPr>
      <w:r>
        <w:rPr>
          <w:rFonts w:ascii="Calibri" w:hAnsi="Calibri"/>
          <w:color w:val="5F6B76"/>
          <w:sz w:val="26"/>
        </w:rPr>
        <w:t>Week 1: Strategic Planning and Project Scope Definition | Python-based project proposal</w:t>
      </w:r>
    </w:p>
    <w:tbl>
      <w:tblPr>
        <w:tblStyle w:val="TableGrid"/>
        <w:tblW w:type="dxa" w:w="9360"/>
        <w:jc w:val="left"/>
        <w:tblLayout w:type="fixed"/>
        <w:tblLook w:firstColumn="1" w:firstRow="1" w:lastColumn="0" w:lastRow="0" w:noHBand="0" w:noVBand="1" w:val="04A0"/>
        <w:tblInd w:w="120" w:type="dxa"/>
      </w:tblPr>
      <w:tblGrid>
        <w:gridCol w:w="2100"/>
        <w:gridCol w:w="3900"/>
        <w:gridCol w:w="3360"/>
      </w:tblGrid>
      <w:tr>
        <w:trPr>
          <w:tblHeader w:val="true"/>
        </w:trPr>
        <w:tc>
          <w:tcPr>
            <w:tcW w:type="dxa" w:w="2100"/>
            <w:shd w:fill="F2F4F7"/>
            <w:tcMar>
              <w:top w:w="80" w:type="dxa"/>
              <w:start w:w="120" w:type="dxa"/>
              <w:bottom w:w="80" w:type="dxa"/>
              <w:end w:w="120" w:type="dxa"/>
            </w:tcMar>
            <w:vAlign w:val="center"/>
          </w:tcPr>
          <w:p>
            <w:pPr>
              <w:spacing w:after="0"/>
            </w:pPr>
            <w:r>
              <w:rPr>
                <w:rFonts w:ascii="Calibri" w:hAnsi="Calibri"/>
                <w:b/>
                <w:color w:val="0B2545"/>
                <w:sz w:val="19"/>
              </w:rPr>
              <w:t>Prepared for</w:t>
            </w:r>
          </w:p>
        </w:tc>
        <w:tc>
          <w:tcPr>
            <w:tcW w:type="dxa" w:w="3900"/>
            <w:shd w:fill="F2F4F7"/>
            <w:tcMar>
              <w:top w:w="80" w:type="dxa"/>
              <w:start w:w="120" w:type="dxa"/>
              <w:bottom w:w="80" w:type="dxa"/>
              <w:end w:w="120" w:type="dxa"/>
            </w:tcMar>
            <w:vAlign w:val="center"/>
          </w:tcPr>
          <w:p>
            <w:pPr>
              <w:spacing w:after="0"/>
            </w:pPr>
            <w:r>
              <w:rPr>
                <w:rFonts w:ascii="Calibri" w:hAnsi="Calibri"/>
                <w:b/>
                <w:color w:val="0B2545"/>
                <w:sz w:val="19"/>
              </w:rPr>
              <w:t>Prepared by</w:t>
            </w:r>
          </w:p>
        </w:tc>
        <w:tc>
          <w:tcPr>
            <w:tcW w:type="dxa" w:w="3360"/>
            <w:shd w:fill="F2F4F7"/>
            <w:tcMar>
              <w:top w:w="80" w:type="dxa"/>
              <w:start w:w="120" w:type="dxa"/>
              <w:bottom w:w="80" w:type="dxa"/>
              <w:end w:w="120" w:type="dxa"/>
            </w:tcMar>
            <w:vAlign w:val="center"/>
          </w:tcPr>
          <w:p>
            <w:pPr>
              <w:spacing w:after="0"/>
            </w:pPr>
            <w:r>
              <w:rPr>
                <w:rFonts w:ascii="Calibri" w:hAnsi="Calibri"/>
                <w:b/>
                <w:color w:val="0B2545"/>
                <w:sz w:val="19"/>
              </w:rPr>
              <w:t>Planning horizon</w:t>
            </w:r>
          </w:p>
        </w:tc>
      </w:tr>
      <w:tr>
        <w:tc>
          <w:tcPr>
            <w:tcW w:type="dxa" w:w="2100"/>
            <w:tcMar>
              <w:top w:w="80" w:type="dxa"/>
              <w:start w:w="120" w:type="dxa"/>
              <w:bottom w:w="80" w:type="dxa"/>
              <w:end w:w="120" w:type="dxa"/>
            </w:tcMar>
            <w:vAlign w:val="center"/>
          </w:tcPr>
          <w:p>
            <w:pPr>
              <w:spacing w:after="0" w:line="264" w:lineRule="auto"/>
            </w:pPr>
            <w:r>
              <w:rPr>
                <w:rFonts w:ascii="Calibri" w:hAnsi="Calibri"/>
                <w:sz w:val="18"/>
              </w:rPr>
              <w:t>Healthcare Data Analytics Internship</w:t>
            </w:r>
          </w:p>
        </w:tc>
        <w:tc>
          <w:tcPr>
            <w:tcW w:type="dxa" w:w="3900"/>
            <w:tcMar>
              <w:top w:w="80" w:type="dxa"/>
              <w:start w:w="120" w:type="dxa"/>
              <w:bottom w:w="80" w:type="dxa"/>
              <w:end w:w="120" w:type="dxa"/>
            </w:tcMar>
            <w:vAlign w:val="center"/>
          </w:tcPr>
          <w:p>
            <w:pPr>
              <w:spacing w:after="0" w:line="264" w:lineRule="auto"/>
            </w:pPr>
            <w:r>
              <w:rPr>
                <w:rFonts w:ascii="Calibri" w:hAnsi="Calibri"/>
                <w:sz w:val="18"/>
              </w:rPr>
              <w:t>Healthcare Data Analytics Intern</w:t>
            </w:r>
          </w:p>
        </w:tc>
        <w:tc>
          <w:tcPr>
            <w:tcW w:type="dxa" w:w="3360"/>
            <w:tcMar>
              <w:top w:w="80" w:type="dxa"/>
              <w:start w:w="120" w:type="dxa"/>
              <w:bottom w:w="80" w:type="dxa"/>
              <w:end w:w="120" w:type="dxa"/>
            </w:tcMar>
            <w:vAlign w:val="center"/>
          </w:tcPr>
          <w:p>
            <w:pPr>
              <w:spacing w:after="0" w:line="264" w:lineRule="auto"/>
            </w:pPr>
            <w:r>
              <w:rPr>
                <w:rFonts w:ascii="Calibri" w:hAnsi="Calibri"/>
                <w:sz w:val="18"/>
              </w:rPr>
              <w:t>Week 1 deliverable; 30-35 hours</w:t>
            </w:r>
          </w:p>
        </w:tc>
      </w:tr>
    </w:tbl>
    <w:p>
      <w:pPr>
        <w:spacing w:after="40"/>
      </w:pPr>
    </w:p>
    <w:p>
      <w:r>
        <w:rPr>
          <w:rFonts w:ascii="Calibri" w:hAnsi="Calibri"/>
          <w:sz w:val="22"/>
        </w:rPr>
        <w:t>This document defines a feasible, privacy-conscious analytics project that uses hospital operational and clinical data to identify patients at elevated risk of unplanned 30-day readmission and translate those findings into an actionable discharge-support workflow.</w:t>
      </w:r>
    </w:p>
    <w:p>
      <w:pPr>
        <w:spacing w:before="40" w:after="160"/>
        <w:ind w:left="173" w:right="173"/>
        <w:shd w:fill="F4F6F9"/>
      </w:pPr>
      <w:r>
        <w:rPr>
          <w:rFonts w:ascii="Calibri" w:hAnsi="Calibri"/>
          <w:b/>
          <w:color w:val="0B2545"/>
          <w:sz w:val="21"/>
        </w:rPr>
        <w:t xml:space="preserve">RECOMMENDATION  </w:t>
      </w:r>
      <w:r>
        <w:rPr>
          <w:rFonts w:ascii="Calibri" w:hAnsi="Calibri"/>
          <w:color w:val="0B2545"/>
          <w:sz w:val="21"/>
        </w:rPr>
        <w:t>Prioritize a retrospective readmission-risk and care-transition analytics pilot. It links measurable patient outcomes with operational decisions, is suitable for Python, and can be extended into later internship phases without making automated clinical decisions.</w:t>
      </w:r>
    </w:p>
    <w:p>
      <w:pPr>
        <w:pStyle w:val="Heading1"/>
      </w:pPr>
      <w:r>
        <w:t>1. Executive Summary</w:t>
      </w:r>
    </w:p>
    <w:p>
      <w:r>
        <w:rPr>
          <w:rFonts w:ascii="Calibri" w:hAnsi="Calibri"/>
          <w:sz w:val="22"/>
        </w:rPr>
        <w:t>Hospitals manage high volumes of admissions, discharge events, laboratory results, diagnoses, and utilization records. These data can support better care coordination when they are integrated, reliable, timely, and governed appropriately. The proposed project will create a reproducible Python analytics workflow that profiles 30-day readmission, identifies modifiable risk patterns, and produces an explainable risk-segmentation dashboard for care-transition teams.</w:t>
      </w:r>
    </w:p>
    <w:p>
      <w:r>
        <w:rPr>
          <w:rFonts w:ascii="Calibri" w:hAnsi="Calibri"/>
          <w:sz w:val="22"/>
        </w:rPr>
        <w:t>The project is intentionally designed as decision support rather than an autonomous clinical tool. It will not recommend treatments or replace clinician judgment. Its purpose is to help teams prioritize post-discharge outreach, medication reconciliation, and follow-up scheduling for patient groups whose historical patterns indicate higher risk.</w:t>
      </w:r>
    </w:p>
    <w:p>
      <w:pPr>
        <w:pStyle w:val="Heading1"/>
      </w:pPr>
      <w:r>
        <w:t>2. Background and Domain Context</w:t>
      </w:r>
    </w:p>
    <w:p>
      <w:r>
        <w:rPr>
          <w:rFonts w:ascii="Calibri" w:hAnsi="Calibri"/>
          <w:sz w:val="22"/>
        </w:rPr>
        <w:t>Healthcare analytics converts operational and clinical data into evidence that can improve patient experience, safety, access, capacity, and resource allocation. In practice, the value is constrained by fragmented systems, inconsistent coding, delayed data exchange, missing information, privacy obligations, and potential bias in historical records. Public-health modernization guidance similarly emphasizes that connected, high-quality data and secure, timely exchange are prerequisites for usable insight.</w:t>
      </w:r>
    </w:p>
    <w:p>
      <w:pPr>
        <w:pStyle w:val="ListBullet"/>
      </w:pPr>
      <w:r>
        <w:rPr>
          <w:rFonts w:ascii="Calibri" w:hAnsi="Calibri"/>
          <w:sz w:val="22"/>
        </w:rPr>
        <w:t>Patient care opportunity: recognize care-transition barriers earlier and tailor follow-up to patients who may otherwise return to hospital.</w:t>
      </w:r>
    </w:p>
    <w:p>
      <w:pPr>
        <w:pStyle w:val="ListBullet"/>
      </w:pPr>
      <w:r>
        <w:rPr>
          <w:rFonts w:ascii="Calibri" w:hAnsi="Calibri"/>
          <w:sz w:val="22"/>
        </w:rPr>
        <w:t>Hospital management opportunity: focus limited care-coordination capacity on patients and discharge pathways with the greatest expected need.</w:t>
      </w:r>
    </w:p>
    <w:p>
      <w:pPr>
        <w:pStyle w:val="ListBullet"/>
      </w:pPr>
      <w:r>
        <w:rPr>
          <w:rFonts w:ascii="Calibri" w:hAnsi="Calibri"/>
          <w:sz w:val="22"/>
        </w:rPr>
        <w:t>Resource allocation opportunity: quantify demand by service line, diagnosis group, payer category, geography, and discharge destination to inform staffing and program design.</w:t>
      </w:r>
    </w:p>
    <w:p>
      <w:pPr>
        <w:pStyle w:val="ListBullet"/>
      </w:pPr>
      <w:r>
        <w:rPr>
          <w:rFonts w:ascii="Calibri" w:hAnsi="Calibri"/>
          <w:sz w:val="22"/>
        </w:rPr>
        <w:t>Data stewardship obligation: preserve privacy, document data lineage, assess missingness and representativeness, and monitor performance across demographic groups.</w:t>
      </w:r>
    </w:p>
    <w:p>
      <w:pPr>
        <w:pStyle w:val="Heading1"/>
      </w:pPr>
      <w:r>
        <w:t>3. Problem Statement</w:t>
      </w:r>
    </w:p>
    <w:p>
      <w:r>
        <w:rPr>
          <w:rFonts w:ascii="Calibri" w:hAnsi="Calibri"/>
          <w:sz w:val="22"/>
        </w:rPr>
        <w:t>Unplanned readmissions can signal gaps in discharge readiness, access to follow-up care, medication support, or social services. Many hospitals can report readmission rates after the fact but lack a consistent analytic process for identifying which patient journeys and operational factors deserve attention before discharge. A retrospective, explainable model and dashboard can establish a baseline, surface patterns for intervention design, and create a foundation for a future prospective workflow.</w:t>
      </w:r>
    </w:p>
    <w:p>
      <w:pPr>
        <w:spacing w:before="40" w:after="160"/>
        <w:ind w:left="173" w:right="173"/>
        <w:shd w:fill="F4F6F9"/>
      </w:pPr>
      <w:r>
        <w:rPr>
          <w:rFonts w:ascii="Calibri" w:hAnsi="Calibri"/>
          <w:b/>
          <w:color w:val="0B2545"/>
          <w:sz w:val="21"/>
        </w:rPr>
        <w:t xml:space="preserve">PROJECT BOUNDARY  </w:t>
      </w:r>
      <w:r>
        <w:rPr>
          <w:rFonts w:ascii="Calibri" w:hAnsi="Calibri"/>
          <w:color w:val="0B2545"/>
          <w:sz w:val="21"/>
        </w:rPr>
        <w:t>The pilot will use de-identified historical data and retrospective validation. No score will be shown to patients, no individual clinical decision will be automated, and deployment requires separate clinical, legal, privacy, and governance approval.</w:t>
      </w:r>
    </w:p>
    <w:p>
      <w:pPr>
        <w:pStyle w:val="Heading1"/>
      </w:pPr>
      <w:r>
        <w:t>4. Project Scope</w:t>
      </w:r>
    </w:p>
    <w:p>
      <w:pPr>
        <w:pStyle w:val="Heading2"/>
      </w:pPr>
      <w:r>
        <w:t>4.1 In Scope</w:t>
      </w:r>
    </w:p>
    <w:p>
      <w:pPr>
        <w:pStyle w:val="ListBullet"/>
      </w:pPr>
      <w:r>
        <w:rPr>
          <w:rFonts w:ascii="Calibri" w:hAnsi="Calibri"/>
          <w:sz w:val="22"/>
        </w:rPr>
        <w:t>Build a data dictionary and profile a de-identified cohort of adult inpatient discharges.</w:t>
      </w:r>
    </w:p>
    <w:p>
      <w:pPr>
        <w:pStyle w:val="ListBullet"/>
      </w:pPr>
      <w:r>
        <w:rPr>
          <w:rFonts w:ascii="Calibri" w:hAnsi="Calibri"/>
          <w:sz w:val="22"/>
        </w:rPr>
        <w:t>Prepare an analysis-ready dataset from encounter, diagnosis, utilization, discharge, and permitted demographic fields.</w:t>
      </w:r>
    </w:p>
    <w:p>
      <w:pPr>
        <w:pStyle w:val="ListBullet"/>
      </w:pPr>
      <w:r>
        <w:rPr>
          <w:rFonts w:ascii="Calibri" w:hAnsi="Calibri"/>
          <w:sz w:val="22"/>
        </w:rPr>
        <w:t>Estimate and explain 30-day all-cause readmission risk using transparent baseline and interpretable machine-learning models.</w:t>
      </w:r>
    </w:p>
    <w:p>
      <w:pPr>
        <w:pStyle w:val="ListBullet"/>
      </w:pPr>
      <w:r>
        <w:rPr>
          <w:rFonts w:ascii="Calibri" w:hAnsi="Calibri"/>
          <w:sz w:val="22"/>
        </w:rPr>
        <w:t>Create a cohort-level dashboard and a care-team-friendly risk-segmentation view using aggregated, minimum-necessary information.</w:t>
      </w:r>
    </w:p>
    <w:p>
      <w:pPr>
        <w:pStyle w:val="ListBullet"/>
      </w:pPr>
      <w:r>
        <w:rPr>
          <w:rFonts w:ascii="Calibri" w:hAnsi="Calibri"/>
          <w:sz w:val="22"/>
        </w:rPr>
        <w:t>Document quality checks, privacy controls, model validation, fairness checks, limitations, and handoff requirements.</w:t>
      </w:r>
    </w:p>
    <w:p>
      <w:pPr>
        <w:pStyle w:val="Heading2"/>
      </w:pPr>
      <w:r>
        <w:t>4.2 Out of Scope</w:t>
      </w:r>
    </w:p>
    <w:p>
      <w:pPr>
        <w:pStyle w:val="ListBullet"/>
      </w:pPr>
      <w:r>
        <w:rPr>
          <w:rFonts w:ascii="Calibri" w:hAnsi="Calibri"/>
          <w:sz w:val="22"/>
        </w:rPr>
        <w:t>Real-time EHR integration, automated orders, clinical prescribing advice, or a production patient-facing application.</w:t>
      </w:r>
    </w:p>
    <w:p>
      <w:pPr>
        <w:pStyle w:val="ListBullet"/>
      </w:pPr>
      <w:r>
        <w:rPr>
          <w:rFonts w:ascii="Calibri" w:hAnsi="Calibri"/>
          <w:sz w:val="22"/>
        </w:rPr>
        <w:t>Use of free-text notes, genomic data, images, or external data sources unless separately approved and governed.</w:t>
      </w:r>
    </w:p>
    <w:p>
      <w:pPr>
        <w:pStyle w:val="ListBullet"/>
      </w:pPr>
      <w:r>
        <w:rPr>
          <w:rFonts w:ascii="Calibri" w:hAnsi="Calibri"/>
          <w:sz w:val="22"/>
        </w:rPr>
        <w:t>Causal claims that a risk score alone reduces readmissions; the project will identify associations and candidate intervention opportunities.</w:t>
      </w:r>
    </w:p>
    <w:p>
      <w:pPr>
        <w:pStyle w:val="ListBullet"/>
      </w:pPr>
      <w:r>
        <w:rPr>
          <w:rFonts w:ascii="Calibri" w:hAnsi="Calibri"/>
          <w:sz w:val="22"/>
        </w:rPr>
        <w:t>Replacement of clinician judgment, care-management eligibility rules, or organizational compliance review.</w:t>
      </w:r>
    </w:p>
    <w:p>
      <w:pPr>
        <w:pStyle w:val="Heading1"/>
      </w:pPr>
      <w:r>
        <w:t>5. Business Questions and Expected Results</w:t>
      </w:r>
    </w:p>
    <w:tbl>
      <w:tblPr>
        <w:tblStyle w:val="TableGrid"/>
        <w:tblW w:type="dxa" w:w="9360"/>
        <w:jc w:val="left"/>
        <w:tblLayout w:type="fixed"/>
        <w:tblLook w:firstColumn="1" w:firstRow="1" w:lastColumn="0" w:lastRow="0" w:noHBand="0" w:noVBand="1" w:val="04A0"/>
        <w:tblInd w:w="120" w:type="dxa"/>
      </w:tblPr>
      <w:tblGrid>
        <w:gridCol w:w="2520"/>
        <w:gridCol w:w="3240"/>
        <w:gridCol w:w="3600"/>
      </w:tblGrid>
      <w:tr>
        <w:trPr>
          <w:tblHeader w:val="true"/>
        </w:trPr>
        <w:tc>
          <w:tcPr>
            <w:tcW w:type="dxa" w:w="2520"/>
            <w:shd w:fill="F2F4F7"/>
            <w:tcMar>
              <w:top w:w="80" w:type="dxa"/>
              <w:start w:w="120" w:type="dxa"/>
              <w:bottom w:w="80" w:type="dxa"/>
              <w:end w:w="120" w:type="dxa"/>
            </w:tcMar>
            <w:vAlign w:val="center"/>
          </w:tcPr>
          <w:p>
            <w:pPr>
              <w:spacing w:after="0"/>
            </w:pPr>
            <w:r>
              <w:rPr>
                <w:rFonts w:ascii="Calibri" w:hAnsi="Calibri"/>
                <w:b/>
                <w:color w:val="0B2545"/>
                <w:sz w:val="19"/>
              </w:rPr>
              <w:t>Business question</w:t>
            </w:r>
          </w:p>
        </w:tc>
        <w:tc>
          <w:tcPr>
            <w:tcW w:type="dxa" w:w="3240"/>
            <w:shd w:fill="F2F4F7"/>
            <w:tcMar>
              <w:top w:w="80" w:type="dxa"/>
              <w:start w:w="120" w:type="dxa"/>
              <w:bottom w:w="80" w:type="dxa"/>
              <w:end w:w="120" w:type="dxa"/>
            </w:tcMar>
            <w:vAlign w:val="center"/>
          </w:tcPr>
          <w:p>
            <w:pPr>
              <w:spacing w:after="0"/>
            </w:pPr>
            <w:r>
              <w:rPr>
                <w:rFonts w:ascii="Calibri" w:hAnsi="Calibri"/>
                <w:b/>
                <w:color w:val="0B2545"/>
                <w:sz w:val="19"/>
              </w:rPr>
              <w:t>Analysis approach</w:t>
            </w:r>
          </w:p>
        </w:tc>
        <w:tc>
          <w:tcPr>
            <w:tcW w:type="dxa" w:w="3600"/>
            <w:shd w:fill="F2F4F7"/>
            <w:tcMar>
              <w:top w:w="80" w:type="dxa"/>
              <w:start w:w="120" w:type="dxa"/>
              <w:bottom w:w="80" w:type="dxa"/>
              <w:end w:w="120" w:type="dxa"/>
            </w:tcMar>
            <w:vAlign w:val="center"/>
          </w:tcPr>
          <w:p>
            <w:pPr>
              <w:spacing w:after="0"/>
            </w:pPr>
            <w:r>
              <w:rPr>
                <w:rFonts w:ascii="Calibri" w:hAnsi="Calibri"/>
                <w:b/>
                <w:color w:val="0B2545"/>
                <w:sz w:val="19"/>
              </w:rPr>
              <w:t>Decision-useful output</w:t>
            </w:r>
          </w:p>
        </w:tc>
      </w:tr>
      <w:tr>
        <w:tc>
          <w:tcPr>
            <w:tcW w:type="dxa" w:w="2520"/>
            <w:tcMar>
              <w:top w:w="80" w:type="dxa"/>
              <w:start w:w="120" w:type="dxa"/>
              <w:bottom w:w="80" w:type="dxa"/>
              <w:end w:w="120" w:type="dxa"/>
            </w:tcMar>
            <w:vAlign w:val="center"/>
          </w:tcPr>
          <w:p>
            <w:pPr>
              <w:spacing w:after="0" w:line="264" w:lineRule="auto"/>
            </w:pPr>
            <w:r>
              <w:rPr>
                <w:rFonts w:ascii="Calibri" w:hAnsi="Calibri"/>
                <w:sz w:val="18"/>
              </w:rPr>
              <w:t>What is the baseline 30-day readmission rate?</w:t>
            </w:r>
          </w:p>
        </w:tc>
        <w:tc>
          <w:tcPr>
            <w:tcW w:type="dxa" w:w="3240"/>
            <w:tcMar>
              <w:top w:w="80" w:type="dxa"/>
              <w:start w:w="120" w:type="dxa"/>
              <w:bottom w:w="80" w:type="dxa"/>
              <w:end w:w="120" w:type="dxa"/>
            </w:tcMar>
            <w:vAlign w:val="center"/>
          </w:tcPr>
          <w:p>
            <w:pPr>
              <w:spacing w:after="0" w:line="264" w:lineRule="auto"/>
            </w:pPr>
            <w:r>
              <w:rPr>
                <w:rFonts w:ascii="Calibri" w:hAnsi="Calibri"/>
                <w:sz w:val="18"/>
              </w:rPr>
              <w:t>Cohort definition, trend and stratified descriptive analysis</w:t>
            </w:r>
          </w:p>
        </w:tc>
        <w:tc>
          <w:tcPr>
            <w:tcW w:type="dxa" w:w="3600"/>
            <w:tcMar>
              <w:top w:w="80" w:type="dxa"/>
              <w:start w:w="120" w:type="dxa"/>
              <w:bottom w:w="80" w:type="dxa"/>
              <w:end w:w="120" w:type="dxa"/>
            </w:tcMar>
            <w:vAlign w:val="center"/>
          </w:tcPr>
          <w:p>
            <w:pPr>
              <w:spacing w:after="0" w:line="264" w:lineRule="auto"/>
            </w:pPr>
            <w:r>
              <w:rPr>
                <w:rFonts w:ascii="Calibri" w:hAnsi="Calibri"/>
                <w:sz w:val="18"/>
              </w:rPr>
              <w:t>Validated baseline by month, service line, and discharge destination</w:t>
            </w:r>
          </w:p>
        </w:tc>
      </w:tr>
      <w:tr>
        <w:tc>
          <w:tcPr>
            <w:tcW w:type="dxa" w:w="2520"/>
            <w:tcMar>
              <w:top w:w="80" w:type="dxa"/>
              <w:start w:w="120" w:type="dxa"/>
              <w:bottom w:w="80" w:type="dxa"/>
              <w:end w:w="120" w:type="dxa"/>
            </w:tcMar>
            <w:vAlign w:val="center"/>
          </w:tcPr>
          <w:p>
            <w:pPr>
              <w:spacing w:after="0" w:line="264" w:lineRule="auto"/>
            </w:pPr>
            <w:r>
              <w:rPr>
                <w:rFonts w:ascii="Calibri" w:hAnsi="Calibri"/>
                <w:sz w:val="18"/>
              </w:rPr>
              <w:t>Which factors are most associated with readmission?</w:t>
            </w:r>
          </w:p>
        </w:tc>
        <w:tc>
          <w:tcPr>
            <w:tcW w:type="dxa" w:w="3240"/>
            <w:tcMar>
              <w:top w:w="80" w:type="dxa"/>
              <w:start w:w="120" w:type="dxa"/>
              <w:bottom w:w="80" w:type="dxa"/>
              <w:end w:w="120" w:type="dxa"/>
            </w:tcMar>
            <w:vAlign w:val="center"/>
          </w:tcPr>
          <w:p>
            <w:pPr>
              <w:spacing w:after="0" w:line="264" w:lineRule="auto"/>
            </w:pPr>
            <w:r>
              <w:rPr>
                <w:rFonts w:ascii="Calibri" w:hAnsi="Calibri"/>
                <w:sz w:val="18"/>
              </w:rPr>
              <w:t>Feature engineering and interpretable models</w:t>
            </w:r>
          </w:p>
        </w:tc>
        <w:tc>
          <w:tcPr>
            <w:tcW w:type="dxa" w:w="3600"/>
            <w:tcMar>
              <w:top w:w="80" w:type="dxa"/>
              <w:start w:w="120" w:type="dxa"/>
              <w:bottom w:w="80" w:type="dxa"/>
              <w:end w:w="120" w:type="dxa"/>
            </w:tcMar>
            <w:vAlign w:val="center"/>
          </w:tcPr>
          <w:p>
            <w:pPr>
              <w:spacing w:after="0" w:line="264" w:lineRule="auto"/>
            </w:pPr>
            <w:r>
              <w:rPr>
                <w:rFonts w:ascii="Calibri" w:hAnsi="Calibri"/>
                <w:sz w:val="18"/>
              </w:rPr>
              <w:t>Ranked, clinically reviewed risk drivers and data-quality caveats</w:t>
            </w:r>
          </w:p>
        </w:tc>
      </w:tr>
      <w:tr>
        <w:tc>
          <w:tcPr>
            <w:tcW w:type="dxa" w:w="2520"/>
            <w:tcMar>
              <w:top w:w="80" w:type="dxa"/>
              <w:start w:w="120" w:type="dxa"/>
              <w:bottom w:w="80" w:type="dxa"/>
              <w:end w:w="120" w:type="dxa"/>
            </w:tcMar>
            <w:vAlign w:val="center"/>
          </w:tcPr>
          <w:p>
            <w:pPr>
              <w:spacing w:after="0" w:line="264" w:lineRule="auto"/>
            </w:pPr>
            <w:r>
              <w:rPr>
                <w:rFonts w:ascii="Calibri" w:hAnsi="Calibri"/>
                <w:sz w:val="18"/>
              </w:rPr>
              <w:t>Which patient groups may need more transition support?</w:t>
            </w:r>
          </w:p>
        </w:tc>
        <w:tc>
          <w:tcPr>
            <w:tcW w:type="dxa" w:w="3240"/>
            <w:tcMar>
              <w:top w:w="80" w:type="dxa"/>
              <w:start w:w="120" w:type="dxa"/>
              <w:bottom w:w="80" w:type="dxa"/>
              <w:end w:w="120" w:type="dxa"/>
            </w:tcMar>
            <w:vAlign w:val="center"/>
          </w:tcPr>
          <w:p>
            <w:pPr>
              <w:spacing w:after="0" w:line="264" w:lineRule="auto"/>
            </w:pPr>
            <w:r>
              <w:rPr>
                <w:rFonts w:ascii="Calibri" w:hAnsi="Calibri"/>
                <w:sz w:val="18"/>
              </w:rPr>
              <w:t>Risk segmentation and fairness analysis</w:t>
            </w:r>
          </w:p>
        </w:tc>
        <w:tc>
          <w:tcPr>
            <w:tcW w:type="dxa" w:w="3600"/>
            <w:tcMar>
              <w:top w:w="80" w:type="dxa"/>
              <w:start w:w="120" w:type="dxa"/>
              <w:bottom w:w="80" w:type="dxa"/>
              <w:end w:w="120" w:type="dxa"/>
            </w:tcMar>
            <w:vAlign w:val="center"/>
          </w:tcPr>
          <w:p>
            <w:pPr>
              <w:spacing w:after="0" w:line="264" w:lineRule="auto"/>
            </w:pPr>
            <w:r>
              <w:rPr>
                <w:rFonts w:ascii="Calibri" w:hAnsi="Calibri"/>
                <w:sz w:val="18"/>
              </w:rPr>
              <w:t>Prioritized cohort segments; no automated clinical determination</w:t>
            </w:r>
          </w:p>
        </w:tc>
      </w:tr>
      <w:tr>
        <w:tc>
          <w:tcPr>
            <w:tcW w:type="dxa" w:w="2520"/>
            <w:tcMar>
              <w:top w:w="80" w:type="dxa"/>
              <w:start w:w="120" w:type="dxa"/>
              <w:bottom w:w="80" w:type="dxa"/>
              <w:end w:w="120" w:type="dxa"/>
            </w:tcMar>
            <w:vAlign w:val="center"/>
          </w:tcPr>
          <w:p>
            <w:pPr>
              <w:spacing w:after="0" w:line="264" w:lineRule="auto"/>
            </w:pPr>
            <w:r>
              <w:rPr>
                <w:rFonts w:ascii="Calibri" w:hAnsi="Calibri"/>
                <w:sz w:val="18"/>
              </w:rPr>
              <w:t>Where are intervention opportunities?</w:t>
            </w:r>
          </w:p>
        </w:tc>
        <w:tc>
          <w:tcPr>
            <w:tcW w:type="dxa" w:w="3240"/>
            <w:tcMar>
              <w:top w:w="80" w:type="dxa"/>
              <w:start w:w="120" w:type="dxa"/>
              <w:bottom w:w="80" w:type="dxa"/>
              <w:end w:w="120" w:type="dxa"/>
            </w:tcMar>
            <w:vAlign w:val="center"/>
          </w:tcPr>
          <w:p>
            <w:pPr>
              <w:spacing w:after="0" w:line="264" w:lineRule="auto"/>
            </w:pPr>
            <w:r>
              <w:rPr>
                <w:rFonts w:ascii="Calibri" w:hAnsi="Calibri"/>
                <w:sz w:val="18"/>
              </w:rPr>
              <w:t>Journey and operational slice analysis</w:t>
            </w:r>
          </w:p>
        </w:tc>
        <w:tc>
          <w:tcPr>
            <w:tcW w:type="dxa" w:w="3600"/>
            <w:tcMar>
              <w:top w:w="80" w:type="dxa"/>
              <w:start w:w="120" w:type="dxa"/>
              <w:bottom w:w="80" w:type="dxa"/>
              <w:end w:w="120" w:type="dxa"/>
            </w:tcMar>
            <w:vAlign w:val="center"/>
          </w:tcPr>
          <w:p>
            <w:pPr>
              <w:spacing w:after="0" w:line="264" w:lineRule="auto"/>
            </w:pPr>
            <w:r>
              <w:rPr>
                <w:rFonts w:ascii="Calibri" w:hAnsi="Calibri"/>
                <w:sz w:val="18"/>
              </w:rPr>
              <w:t>Candidate workflow improvements for follow-up, outreach, and referrals</w:t>
            </w:r>
          </w:p>
        </w:tc>
      </w:tr>
      <w:tr>
        <w:tc>
          <w:tcPr>
            <w:tcW w:type="dxa" w:w="2520"/>
            <w:tcMar>
              <w:top w:w="80" w:type="dxa"/>
              <w:start w:w="120" w:type="dxa"/>
              <w:bottom w:w="80" w:type="dxa"/>
              <w:end w:w="120" w:type="dxa"/>
            </w:tcMar>
            <w:vAlign w:val="center"/>
          </w:tcPr>
          <w:p>
            <w:pPr>
              <w:spacing w:after="0" w:line="264" w:lineRule="auto"/>
            </w:pPr>
            <w:r>
              <w:rPr>
                <w:rFonts w:ascii="Calibri" w:hAnsi="Calibri"/>
                <w:sz w:val="18"/>
              </w:rPr>
              <w:t>Can the approach be trusted and repeated?</w:t>
            </w:r>
          </w:p>
        </w:tc>
        <w:tc>
          <w:tcPr>
            <w:tcW w:type="dxa" w:w="3240"/>
            <w:tcMar>
              <w:top w:w="80" w:type="dxa"/>
              <w:start w:w="120" w:type="dxa"/>
              <w:bottom w:w="80" w:type="dxa"/>
              <w:end w:w="120" w:type="dxa"/>
            </w:tcMar>
            <w:vAlign w:val="center"/>
          </w:tcPr>
          <w:p>
            <w:pPr>
              <w:spacing w:after="0" w:line="264" w:lineRule="auto"/>
            </w:pPr>
            <w:r>
              <w:rPr>
                <w:rFonts w:ascii="Calibri" w:hAnsi="Calibri"/>
                <w:sz w:val="18"/>
              </w:rPr>
              <w:t>Validation, calibration, monitoring design, documentation</w:t>
            </w:r>
          </w:p>
        </w:tc>
        <w:tc>
          <w:tcPr>
            <w:tcW w:type="dxa" w:w="3600"/>
            <w:tcMar>
              <w:top w:w="80" w:type="dxa"/>
              <w:start w:w="120" w:type="dxa"/>
              <w:bottom w:w="80" w:type="dxa"/>
              <w:end w:w="120" w:type="dxa"/>
            </w:tcMar>
            <w:vAlign w:val="center"/>
          </w:tcPr>
          <w:p>
            <w:pPr>
              <w:spacing w:after="0" w:line="264" w:lineRule="auto"/>
            </w:pPr>
            <w:r>
              <w:rPr>
                <w:rFonts w:ascii="Calibri" w:hAnsi="Calibri"/>
                <w:sz w:val="18"/>
              </w:rPr>
              <w:t>Reproducible notebook/pipeline and governance-ready model card</w:t>
            </w:r>
          </w:p>
        </w:tc>
      </w:tr>
    </w:tbl>
    <w:p>
      <w:pPr>
        <w:spacing w:after="40"/>
      </w:pPr>
    </w:p>
    <w:p>
      <w:pPr>
        <w:pStyle w:val="Heading1"/>
      </w:pPr>
      <w:r>
        <w:t>6. Methodology and Python Workflow</w:t>
      </w:r>
    </w:p>
    <w:p>
      <w:pPr>
        <w:pStyle w:val="Heading2"/>
      </w:pPr>
      <w:r>
        <w:t>6.1 Phase 1 - Data Collection and Access</w:t>
      </w:r>
    </w:p>
    <w:p>
      <w:r>
        <w:rPr>
          <w:rFonts w:ascii="Calibri" w:hAnsi="Calibri"/>
          <w:sz w:val="22"/>
        </w:rPr>
        <w:t>Obtain a minimum-necessary de-identified extract through approved channels. Candidate fields include encounter identifiers, admission/discharge timestamps, diagnoses and procedures, prior utilization, length of stay, discharge disposition, insurance category, and approved demographics. Define the outcome precisely: a qualifying inpatient readmission within 30 days of discharge, with rules for planned transfers and deaths documented before analysis begins.</w:t>
      </w:r>
    </w:p>
    <w:p>
      <w:pPr>
        <w:pStyle w:val="Heading2"/>
      </w:pPr>
      <w:r>
        <w:t>6.2 Phase 2 - Data Quality and Cleaning</w:t>
      </w:r>
    </w:p>
    <w:p>
      <w:pPr>
        <w:pStyle w:val="ListNumber"/>
      </w:pPr>
      <w:r>
        <w:rPr>
          <w:rFonts w:ascii="Calibri" w:hAnsi="Calibri"/>
          <w:sz w:val="22"/>
        </w:rPr>
        <w:t>Profile volume, duplicates, missingness, impossible dates, code formats, and distribution shifts by source and time period.</w:t>
      </w:r>
    </w:p>
    <w:p>
      <w:pPr>
        <w:pStyle w:val="ListNumber"/>
      </w:pPr>
      <w:r>
        <w:rPr>
          <w:rFonts w:ascii="Calibri" w:hAnsi="Calibri"/>
          <w:sz w:val="22"/>
        </w:rPr>
        <w:t>Standardize field names, data types, date logic, categorical labels, and diagnosis groupings; retain raw-to-clean lineage.</w:t>
      </w:r>
    </w:p>
    <w:p>
      <w:pPr>
        <w:pStyle w:val="ListNumber"/>
      </w:pPr>
      <w:r>
        <w:rPr>
          <w:rFonts w:ascii="Calibri" w:hAnsi="Calibri"/>
          <w:sz w:val="22"/>
        </w:rPr>
        <w:t>Resolve or flag duplicate encounters and impossible sequences such as discharge preceding admission.</w:t>
      </w:r>
    </w:p>
    <w:p>
      <w:pPr>
        <w:pStyle w:val="ListNumber"/>
      </w:pPr>
      <w:r>
        <w:rPr>
          <w:rFonts w:ascii="Calibri" w:hAnsi="Calibri"/>
          <w:sz w:val="22"/>
        </w:rPr>
        <w:t>Create a data-quality report with acceptance thresholds, exclusions, imputation rationale, and unresolved issues.</w:t>
      </w:r>
    </w:p>
    <w:p>
      <w:pPr>
        <w:pStyle w:val="Heading2"/>
      </w:pPr>
      <w:r>
        <w:t>6.3 Phase 3 - Exploratory Analysis and Feature Engineering</w:t>
      </w:r>
    </w:p>
    <w:p>
      <w:r>
        <w:rPr>
          <w:rFonts w:ascii="Calibri" w:hAnsi="Calibri"/>
          <w:sz w:val="22"/>
        </w:rPr>
        <w:t>Use pandas and NumPy to compute baseline rates, time trends, and cross-tabs. Engineer only features available by the planned decision point, such as age band, prior admissions, length of stay, comorbidity indicators, admission source, discharge destination, and recent emergency visits. Prevent leakage by excluding fields that are recorded after the outcome or encode a future intervention.</w:t>
      </w:r>
    </w:p>
    <w:p>
      <w:pPr>
        <w:pStyle w:val="Heading2"/>
      </w:pPr>
      <w:r>
        <w:t>6.4 Phase 4 - Modeling and Evaluation</w:t>
      </w:r>
    </w:p>
    <w:p>
      <w:r>
        <w:rPr>
          <w:rFonts w:ascii="Calibri" w:hAnsi="Calibri"/>
          <w:sz w:val="22"/>
        </w:rPr>
        <w:t>Start with a logistic-regression baseline because it is transparent and easy to communicate. Compare it with a constrained tree-based model such as gradient boosting or random forest only if it offers material value. Split data temporally where possible; use cross-validation within training data; hold out a later period for final testing. Report discrimination (AUROC and precision-recall), calibration, sensitivity, positive predictive value, and workload at practical risk thresholds. Thresholds will be chosen jointly with care-transition stakeholders, not solely for the highest score.</w:t>
      </w:r>
    </w:p>
    <w:p>
      <w:pPr>
        <w:pStyle w:val="Heading2"/>
      </w:pPr>
      <w:r>
        <w:t>6.5 Phase 5 - Visualization and Communication</w:t>
      </w:r>
    </w:p>
    <w:p>
      <w:r>
        <w:rPr>
          <w:rFonts w:ascii="Calibri" w:hAnsi="Calibri"/>
          <w:sz w:val="22"/>
        </w:rPr>
        <w:t>Use matplotlib, seaborn, and Plotly to present monthly readmission trends, risk distribution, calibration curves, high-level feature importance, and cohort slices. The final dashboard should be simple enough to support a weekly operational review: baseline, priority segments, candidate drivers, data quality, fairness indicators, and recommended next questions.</w:t>
      </w:r>
    </w:p>
    <w:p>
      <w:pPr>
        <w:pStyle w:val="Heading1"/>
      </w:pPr>
      <w:r>
        <w:t>7. Data Governance, Privacy, and Ethics</w:t>
      </w:r>
    </w:p>
    <w:p>
      <w:r>
        <w:rPr>
          <w:rFonts w:ascii="Calibri" w:hAnsi="Calibri"/>
          <w:sz w:val="22"/>
        </w:rPr>
        <w:t>Healthcare data must be handled under the organization’s privacy, security, and data-use requirements. The project will use the minimum necessary de-identified dataset, role-based access, encrypted approved storage, and a documented retention and deletion plan. Analytic notebooks will not contain direct identifiers, and all outputs will be reviewed for small-cell disclosure risk before sharing.</w:t>
      </w:r>
    </w:p>
    <w:p>
      <w:pPr>
        <w:pStyle w:val="ListBullet"/>
      </w:pPr>
      <w:r>
        <w:rPr>
          <w:rFonts w:ascii="Calibri" w:hAnsi="Calibri"/>
          <w:sz w:val="22"/>
        </w:rPr>
        <w:t>Governance: nominate a data owner, clinical sponsor, privacy/security reviewer, and analytics lead; record approvals and permitted use.</w:t>
      </w:r>
    </w:p>
    <w:p>
      <w:pPr>
        <w:pStyle w:val="ListBullet"/>
      </w:pPr>
      <w:r>
        <w:rPr>
          <w:rFonts w:ascii="Calibri" w:hAnsi="Calibri"/>
          <w:sz w:val="22"/>
        </w:rPr>
        <w:t>Fairness: compare missingness, calibration, false-negative rate, and false-positive rate across approved demographic and service groups; investigate material gaps.</w:t>
      </w:r>
    </w:p>
    <w:p>
      <w:pPr>
        <w:pStyle w:val="ListBullet"/>
      </w:pPr>
      <w:r>
        <w:rPr>
          <w:rFonts w:ascii="Calibri" w:hAnsi="Calibri"/>
          <w:sz w:val="22"/>
        </w:rPr>
        <w:t>Transparency: publish a model card describing cohort, intended use, features, evaluation, limitations, and monitoring triggers.</w:t>
      </w:r>
    </w:p>
    <w:p>
      <w:pPr>
        <w:pStyle w:val="ListBullet"/>
      </w:pPr>
      <w:r>
        <w:rPr>
          <w:rFonts w:ascii="Calibri" w:hAnsi="Calibri"/>
          <w:sz w:val="22"/>
        </w:rPr>
        <w:t>Human oversight: require clinical review of workflow implications and retain a clear escalation route for unexpected results.</w:t>
      </w:r>
    </w:p>
    <w:p>
      <w:pPr>
        <w:pStyle w:val="Heading1"/>
      </w:pPr>
      <w:r>
        <w:t>8. Milestones and 30-35 Hour Work Plan</w:t>
      </w:r>
    </w:p>
    <w:tbl>
      <w:tblPr>
        <w:tblStyle w:val="TableGrid"/>
        <w:tblW w:type="dxa" w:w="9360"/>
        <w:jc w:val="left"/>
        <w:tblLayout w:type="fixed"/>
        <w:tblLook w:firstColumn="1" w:firstRow="1" w:lastColumn="0" w:lastRow="0" w:noHBand="0" w:noVBand="1" w:val="04A0"/>
        <w:tblInd w:w="120" w:type="dxa"/>
      </w:tblPr>
      <w:tblGrid>
        <w:gridCol w:w="2760"/>
        <w:gridCol w:w="900"/>
        <w:gridCol w:w="5700"/>
      </w:tblGrid>
      <w:tr>
        <w:trPr>
          <w:tblHeader w:val="true"/>
        </w:trPr>
        <w:tc>
          <w:tcPr>
            <w:tcW w:type="dxa" w:w="2760"/>
            <w:shd w:fill="F2F4F7"/>
            <w:tcMar>
              <w:top w:w="80" w:type="dxa"/>
              <w:start w:w="120" w:type="dxa"/>
              <w:bottom w:w="80" w:type="dxa"/>
              <w:end w:w="120" w:type="dxa"/>
            </w:tcMar>
            <w:vAlign w:val="center"/>
          </w:tcPr>
          <w:p>
            <w:pPr>
              <w:spacing w:after="0"/>
            </w:pPr>
            <w:r>
              <w:rPr>
                <w:rFonts w:ascii="Calibri" w:hAnsi="Calibri"/>
                <w:b/>
                <w:color w:val="0B2545"/>
                <w:sz w:val="19"/>
              </w:rPr>
              <w:t>Work package</w:t>
            </w:r>
          </w:p>
        </w:tc>
        <w:tc>
          <w:tcPr>
            <w:tcW w:type="dxa" w:w="900"/>
            <w:shd w:fill="F2F4F7"/>
            <w:tcMar>
              <w:top w:w="80" w:type="dxa"/>
              <w:start w:w="120" w:type="dxa"/>
              <w:bottom w:w="80" w:type="dxa"/>
              <w:end w:w="120" w:type="dxa"/>
            </w:tcMar>
            <w:vAlign w:val="center"/>
          </w:tcPr>
          <w:p>
            <w:pPr>
              <w:spacing w:after="0"/>
            </w:pPr>
            <w:r>
              <w:rPr>
                <w:rFonts w:ascii="Calibri" w:hAnsi="Calibri"/>
                <w:b/>
                <w:color w:val="0B2545"/>
                <w:sz w:val="19"/>
              </w:rPr>
              <w:t>Hours</w:t>
            </w:r>
          </w:p>
        </w:tc>
        <w:tc>
          <w:tcPr>
            <w:tcW w:type="dxa" w:w="5700"/>
            <w:shd w:fill="F2F4F7"/>
            <w:tcMar>
              <w:top w:w="80" w:type="dxa"/>
              <w:start w:w="120" w:type="dxa"/>
              <w:bottom w:w="80" w:type="dxa"/>
              <w:end w:w="120" w:type="dxa"/>
            </w:tcMar>
            <w:vAlign w:val="center"/>
          </w:tcPr>
          <w:p>
            <w:pPr>
              <w:spacing w:after="0"/>
            </w:pPr>
            <w:r>
              <w:rPr>
                <w:rFonts w:ascii="Calibri" w:hAnsi="Calibri"/>
                <w:b/>
                <w:color w:val="0B2545"/>
                <w:sz w:val="19"/>
              </w:rPr>
              <w:t>Outputs / acceptance criteria</w:t>
            </w:r>
          </w:p>
        </w:tc>
      </w:tr>
      <w:tr>
        <w:tc>
          <w:tcPr>
            <w:tcW w:type="dxa" w:w="2760"/>
            <w:tcMar>
              <w:top w:w="80" w:type="dxa"/>
              <w:start w:w="120" w:type="dxa"/>
              <w:bottom w:w="80" w:type="dxa"/>
              <w:end w:w="120" w:type="dxa"/>
            </w:tcMar>
            <w:vAlign w:val="center"/>
          </w:tcPr>
          <w:p>
            <w:pPr>
              <w:spacing w:after="0" w:line="264" w:lineRule="auto"/>
            </w:pPr>
            <w:r>
              <w:rPr>
                <w:rFonts w:ascii="Calibri" w:hAnsi="Calibri"/>
                <w:sz w:val="18"/>
              </w:rPr>
              <w:t>1. Stakeholder and domain discovery</w:t>
            </w:r>
          </w:p>
        </w:tc>
        <w:tc>
          <w:tcPr>
            <w:tcW w:type="dxa" w:w="900"/>
            <w:tcMar>
              <w:top w:w="80" w:type="dxa"/>
              <w:start w:w="120" w:type="dxa"/>
              <w:bottom w:w="80" w:type="dxa"/>
              <w:end w:w="120" w:type="dxa"/>
            </w:tcMar>
            <w:vAlign w:val="center"/>
          </w:tcPr>
          <w:p>
            <w:pPr>
              <w:spacing w:after="0" w:line="264" w:lineRule="auto"/>
            </w:pPr>
            <w:r>
              <w:rPr>
                <w:rFonts w:ascii="Calibri" w:hAnsi="Calibri"/>
                <w:sz w:val="18"/>
              </w:rPr>
              <w:t>4</w:t>
            </w:r>
          </w:p>
        </w:tc>
        <w:tc>
          <w:tcPr>
            <w:tcW w:type="dxa" w:w="5700"/>
            <w:tcMar>
              <w:top w:w="80" w:type="dxa"/>
              <w:start w:w="120" w:type="dxa"/>
              <w:bottom w:w="80" w:type="dxa"/>
              <w:end w:w="120" w:type="dxa"/>
            </w:tcMar>
            <w:vAlign w:val="center"/>
          </w:tcPr>
          <w:p>
            <w:pPr>
              <w:spacing w:after="0" w:line="264" w:lineRule="auto"/>
            </w:pPr>
            <w:r>
              <w:rPr>
                <w:rFonts w:ascii="Calibri" w:hAnsi="Calibri"/>
                <w:sz w:val="18"/>
              </w:rPr>
              <w:t>Problem framing, stakeholder map, outcome definition, success measures</w:t>
            </w:r>
          </w:p>
        </w:tc>
      </w:tr>
      <w:tr>
        <w:tc>
          <w:tcPr>
            <w:tcW w:type="dxa" w:w="2760"/>
            <w:tcMar>
              <w:top w:w="80" w:type="dxa"/>
              <w:start w:w="120" w:type="dxa"/>
              <w:bottom w:w="80" w:type="dxa"/>
              <w:end w:w="120" w:type="dxa"/>
            </w:tcMar>
            <w:vAlign w:val="center"/>
          </w:tcPr>
          <w:p>
            <w:pPr>
              <w:spacing w:after="0" w:line="264" w:lineRule="auto"/>
            </w:pPr>
            <w:r>
              <w:rPr>
                <w:rFonts w:ascii="Calibri" w:hAnsi="Calibri"/>
                <w:sz w:val="18"/>
              </w:rPr>
              <w:t>2. Data inventory and governance review</w:t>
            </w:r>
          </w:p>
        </w:tc>
        <w:tc>
          <w:tcPr>
            <w:tcW w:type="dxa" w:w="900"/>
            <w:tcMar>
              <w:top w:w="80" w:type="dxa"/>
              <w:start w:w="120" w:type="dxa"/>
              <w:bottom w:w="80" w:type="dxa"/>
              <w:end w:w="120" w:type="dxa"/>
            </w:tcMar>
            <w:vAlign w:val="center"/>
          </w:tcPr>
          <w:p>
            <w:pPr>
              <w:spacing w:after="0" w:line="264" w:lineRule="auto"/>
            </w:pPr>
            <w:r>
              <w:rPr>
                <w:rFonts w:ascii="Calibri" w:hAnsi="Calibri"/>
                <w:sz w:val="18"/>
              </w:rPr>
              <w:t>4</w:t>
            </w:r>
          </w:p>
        </w:tc>
        <w:tc>
          <w:tcPr>
            <w:tcW w:type="dxa" w:w="5700"/>
            <w:tcMar>
              <w:top w:w="80" w:type="dxa"/>
              <w:start w:w="120" w:type="dxa"/>
              <w:bottom w:w="80" w:type="dxa"/>
              <w:end w:w="120" w:type="dxa"/>
            </w:tcMar>
            <w:vAlign w:val="center"/>
          </w:tcPr>
          <w:p>
            <w:pPr>
              <w:spacing w:after="0" w:line="264" w:lineRule="auto"/>
            </w:pPr>
            <w:r>
              <w:rPr>
                <w:rFonts w:ascii="Calibri" w:hAnsi="Calibri"/>
                <w:sz w:val="18"/>
              </w:rPr>
              <w:t>Data dictionary, access assumptions, privacy and quality checklist</w:t>
            </w:r>
          </w:p>
        </w:tc>
      </w:tr>
      <w:tr>
        <w:tc>
          <w:tcPr>
            <w:tcW w:type="dxa" w:w="2760"/>
            <w:tcMar>
              <w:top w:w="80" w:type="dxa"/>
              <w:start w:w="120" w:type="dxa"/>
              <w:bottom w:w="80" w:type="dxa"/>
              <w:end w:w="120" w:type="dxa"/>
            </w:tcMar>
            <w:vAlign w:val="center"/>
          </w:tcPr>
          <w:p>
            <w:pPr>
              <w:spacing w:after="0" w:line="264" w:lineRule="auto"/>
            </w:pPr>
            <w:r>
              <w:rPr>
                <w:rFonts w:ascii="Calibri" w:hAnsi="Calibri"/>
                <w:sz w:val="18"/>
              </w:rPr>
              <w:t>3. Data cleaning and cohort construction</w:t>
            </w:r>
          </w:p>
        </w:tc>
        <w:tc>
          <w:tcPr>
            <w:tcW w:type="dxa" w:w="900"/>
            <w:tcMar>
              <w:top w:w="80" w:type="dxa"/>
              <w:start w:w="120" w:type="dxa"/>
              <w:bottom w:w="80" w:type="dxa"/>
              <w:end w:w="120" w:type="dxa"/>
            </w:tcMar>
            <w:vAlign w:val="center"/>
          </w:tcPr>
          <w:p>
            <w:pPr>
              <w:spacing w:after="0" w:line="264" w:lineRule="auto"/>
            </w:pPr>
            <w:r>
              <w:rPr>
                <w:rFonts w:ascii="Calibri" w:hAnsi="Calibri"/>
                <w:sz w:val="18"/>
              </w:rPr>
              <w:t>7</w:t>
            </w:r>
          </w:p>
        </w:tc>
        <w:tc>
          <w:tcPr>
            <w:tcW w:type="dxa" w:w="5700"/>
            <w:tcMar>
              <w:top w:w="80" w:type="dxa"/>
              <w:start w:w="120" w:type="dxa"/>
              <w:bottom w:w="80" w:type="dxa"/>
              <w:end w:w="120" w:type="dxa"/>
            </w:tcMar>
            <w:vAlign w:val="center"/>
          </w:tcPr>
          <w:p>
            <w:pPr>
              <w:spacing w:after="0" w:line="264" w:lineRule="auto"/>
            </w:pPr>
            <w:r>
              <w:rPr>
                <w:rFonts w:ascii="Calibri" w:hAnsi="Calibri"/>
                <w:sz w:val="18"/>
              </w:rPr>
              <w:t>Reproducible cleaning notebook; documented exclusions and QA report</w:t>
            </w:r>
          </w:p>
        </w:tc>
      </w:tr>
      <w:tr>
        <w:tc>
          <w:tcPr>
            <w:tcW w:type="dxa" w:w="2760"/>
            <w:tcMar>
              <w:top w:w="80" w:type="dxa"/>
              <w:start w:w="120" w:type="dxa"/>
              <w:bottom w:w="80" w:type="dxa"/>
              <w:end w:w="120" w:type="dxa"/>
            </w:tcMar>
            <w:vAlign w:val="center"/>
          </w:tcPr>
          <w:p>
            <w:pPr>
              <w:spacing w:after="0" w:line="264" w:lineRule="auto"/>
            </w:pPr>
            <w:r>
              <w:rPr>
                <w:rFonts w:ascii="Calibri" w:hAnsi="Calibri"/>
                <w:sz w:val="18"/>
              </w:rPr>
              <w:t>4. Exploratory analysis</w:t>
            </w:r>
          </w:p>
        </w:tc>
        <w:tc>
          <w:tcPr>
            <w:tcW w:type="dxa" w:w="900"/>
            <w:tcMar>
              <w:top w:w="80" w:type="dxa"/>
              <w:start w:w="120" w:type="dxa"/>
              <w:bottom w:w="80" w:type="dxa"/>
              <w:end w:w="120" w:type="dxa"/>
            </w:tcMar>
            <w:vAlign w:val="center"/>
          </w:tcPr>
          <w:p>
            <w:pPr>
              <w:spacing w:after="0" w:line="264" w:lineRule="auto"/>
            </w:pPr>
            <w:r>
              <w:rPr>
                <w:rFonts w:ascii="Calibri" w:hAnsi="Calibri"/>
                <w:sz w:val="18"/>
              </w:rPr>
              <w:t>5</w:t>
            </w:r>
          </w:p>
        </w:tc>
        <w:tc>
          <w:tcPr>
            <w:tcW w:type="dxa" w:w="5700"/>
            <w:tcMar>
              <w:top w:w="80" w:type="dxa"/>
              <w:start w:w="120" w:type="dxa"/>
              <w:bottom w:w="80" w:type="dxa"/>
              <w:end w:w="120" w:type="dxa"/>
            </w:tcMar>
            <w:vAlign w:val="center"/>
          </w:tcPr>
          <w:p>
            <w:pPr>
              <w:spacing w:after="0" w:line="264" w:lineRule="auto"/>
            </w:pPr>
            <w:r>
              <w:rPr>
                <w:rFonts w:ascii="Calibri" w:hAnsi="Calibri"/>
                <w:sz w:val="18"/>
              </w:rPr>
              <w:t>Baseline metrics, trends, cohort slices, initial insights</w:t>
            </w:r>
          </w:p>
        </w:tc>
      </w:tr>
      <w:tr>
        <w:tc>
          <w:tcPr>
            <w:tcW w:type="dxa" w:w="2760"/>
            <w:tcMar>
              <w:top w:w="80" w:type="dxa"/>
              <w:start w:w="120" w:type="dxa"/>
              <w:bottom w:w="80" w:type="dxa"/>
              <w:end w:w="120" w:type="dxa"/>
            </w:tcMar>
            <w:vAlign w:val="center"/>
          </w:tcPr>
          <w:p>
            <w:pPr>
              <w:spacing w:after="0" w:line="264" w:lineRule="auto"/>
            </w:pPr>
            <w:r>
              <w:rPr>
                <w:rFonts w:ascii="Calibri" w:hAnsi="Calibri"/>
                <w:sz w:val="18"/>
              </w:rPr>
              <w:t>5. Feature engineering and modeling</w:t>
            </w:r>
          </w:p>
        </w:tc>
        <w:tc>
          <w:tcPr>
            <w:tcW w:type="dxa" w:w="900"/>
            <w:tcMar>
              <w:top w:w="80" w:type="dxa"/>
              <w:start w:w="120" w:type="dxa"/>
              <w:bottom w:w="80" w:type="dxa"/>
              <w:end w:w="120" w:type="dxa"/>
            </w:tcMar>
            <w:vAlign w:val="center"/>
          </w:tcPr>
          <w:p>
            <w:pPr>
              <w:spacing w:after="0" w:line="264" w:lineRule="auto"/>
            </w:pPr>
            <w:r>
              <w:rPr>
                <w:rFonts w:ascii="Calibri" w:hAnsi="Calibri"/>
                <w:sz w:val="18"/>
              </w:rPr>
              <w:t>6</w:t>
            </w:r>
          </w:p>
        </w:tc>
        <w:tc>
          <w:tcPr>
            <w:tcW w:type="dxa" w:w="5700"/>
            <w:tcMar>
              <w:top w:w="80" w:type="dxa"/>
              <w:start w:w="120" w:type="dxa"/>
              <w:bottom w:w="80" w:type="dxa"/>
              <w:end w:w="120" w:type="dxa"/>
            </w:tcMar>
            <w:vAlign w:val="center"/>
          </w:tcPr>
          <w:p>
            <w:pPr>
              <w:spacing w:after="0" w:line="264" w:lineRule="auto"/>
            </w:pPr>
            <w:r>
              <w:rPr>
                <w:rFonts w:ascii="Calibri" w:hAnsi="Calibri"/>
                <w:sz w:val="18"/>
              </w:rPr>
              <w:t>Leakage review; baseline and comparison model; validation results</w:t>
            </w:r>
          </w:p>
        </w:tc>
      </w:tr>
      <w:tr>
        <w:tc>
          <w:tcPr>
            <w:tcW w:type="dxa" w:w="2760"/>
            <w:tcMar>
              <w:top w:w="80" w:type="dxa"/>
              <w:start w:w="120" w:type="dxa"/>
              <w:bottom w:w="80" w:type="dxa"/>
              <w:end w:w="120" w:type="dxa"/>
            </w:tcMar>
            <w:vAlign w:val="center"/>
          </w:tcPr>
          <w:p>
            <w:pPr>
              <w:spacing w:after="0" w:line="264" w:lineRule="auto"/>
            </w:pPr>
            <w:r>
              <w:rPr>
                <w:rFonts w:ascii="Calibri" w:hAnsi="Calibri"/>
                <w:sz w:val="18"/>
              </w:rPr>
              <w:t>6. Visualization and dashboard prototype</w:t>
            </w:r>
          </w:p>
        </w:tc>
        <w:tc>
          <w:tcPr>
            <w:tcW w:type="dxa" w:w="900"/>
            <w:tcMar>
              <w:top w:w="80" w:type="dxa"/>
              <w:start w:w="120" w:type="dxa"/>
              <w:bottom w:w="80" w:type="dxa"/>
              <w:end w:w="120" w:type="dxa"/>
            </w:tcMar>
            <w:vAlign w:val="center"/>
          </w:tcPr>
          <w:p>
            <w:pPr>
              <w:spacing w:after="0" w:line="264" w:lineRule="auto"/>
            </w:pPr>
            <w:r>
              <w:rPr>
                <w:rFonts w:ascii="Calibri" w:hAnsi="Calibri"/>
                <w:sz w:val="18"/>
              </w:rPr>
              <w:t>4</w:t>
            </w:r>
          </w:p>
        </w:tc>
        <w:tc>
          <w:tcPr>
            <w:tcW w:type="dxa" w:w="5700"/>
            <w:tcMar>
              <w:top w:w="80" w:type="dxa"/>
              <w:start w:w="120" w:type="dxa"/>
              <w:bottom w:w="80" w:type="dxa"/>
              <w:end w:w="120" w:type="dxa"/>
            </w:tcMar>
            <w:vAlign w:val="center"/>
          </w:tcPr>
          <w:p>
            <w:pPr>
              <w:spacing w:after="0" w:line="264" w:lineRule="auto"/>
            </w:pPr>
            <w:r>
              <w:rPr>
                <w:rFonts w:ascii="Calibri" w:hAnsi="Calibri"/>
                <w:sz w:val="18"/>
              </w:rPr>
              <w:t>Decision-focused charts and annotated dashboard wireframe</w:t>
            </w:r>
          </w:p>
        </w:tc>
      </w:tr>
      <w:tr>
        <w:tc>
          <w:tcPr>
            <w:tcW w:type="dxa" w:w="2760"/>
            <w:tcMar>
              <w:top w:w="80" w:type="dxa"/>
              <w:start w:w="120" w:type="dxa"/>
              <w:bottom w:w="80" w:type="dxa"/>
              <w:end w:w="120" w:type="dxa"/>
            </w:tcMar>
            <w:vAlign w:val="center"/>
          </w:tcPr>
          <w:p>
            <w:pPr>
              <w:spacing w:after="0" w:line="264" w:lineRule="auto"/>
            </w:pPr>
            <w:r>
              <w:rPr>
                <w:rFonts w:ascii="Calibri" w:hAnsi="Calibri"/>
                <w:sz w:val="18"/>
              </w:rPr>
              <w:t>7. Validation, fairness, and risk review</w:t>
            </w:r>
          </w:p>
        </w:tc>
        <w:tc>
          <w:tcPr>
            <w:tcW w:type="dxa" w:w="900"/>
            <w:tcMar>
              <w:top w:w="80" w:type="dxa"/>
              <w:start w:w="120" w:type="dxa"/>
              <w:bottom w:w="80" w:type="dxa"/>
              <w:end w:w="120" w:type="dxa"/>
            </w:tcMar>
            <w:vAlign w:val="center"/>
          </w:tcPr>
          <w:p>
            <w:pPr>
              <w:spacing w:after="0" w:line="264" w:lineRule="auto"/>
            </w:pPr>
            <w:r>
              <w:rPr>
                <w:rFonts w:ascii="Calibri" w:hAnsi="Calibri"/>
                <w:sz w:val="18"/>
              </w:rPr>
              <w:t>3</w:t>
            </w:r>
          </w:p>
        </w:tc>
        <w:tc>
          <w:tcPr>
            <w:tcW w:type="dxa" w:w="5700"/>
            <w:tcMar>
              <w:top w:w="80" w:type="dxa"/>
              <w:start w:w="120" w:type="dxa"/>
              <w:bottom w:w="80" w:type="dxa"/>
              <w:end w:w="120" w:type="dxa"/>
            </w:tcMar>
            <w:vAlign w:val="center"/>
          </w:tcPr>
          <w:p>
            <w:pPr>
              <w:spacing w:after="0" w:line="264" w:lineRule="auto"/>
            </w:pPr>
            <w:r>
              <w:rPr>
                <w:rFonts w:ascii="Calibri" w:hAnsi="Calibri"/>
                <w:sz w:val="18"/>
              </w:rPr>
              <w:t>Calibration/fairness review; limitations and mitigations</w:t>
            </w:r>
          </w:p>
        </w:tc>
      </w:tr>
      <w:tr>
        <w:tc>
          <w:tcPr>
            <w:tcW w:type="dxa" w:w="2760"/>
            <w:tcMar>
              <w:top w:w="80" w:type="dxa"/>
              <w:start w:w="120" w:type="dxa"/>
              <w:bottom w:w="80" w:type="dxa"/>
              <w:end w:w="120" w:type="dxa"/>
            </w:tcMar>
            <w:vAlign w:val="center"/>
          </w:tcPr>
          <w:p>
            <w:pPr>
              <w:spacing w:after="0" w:line="264" w:lineRule="auto"/>
            </w:pPr>
            <w:r>
              <w:rPr>
                <w:rFonts w:ascii="Calibri" w:hAnsi="Calibri"/>
                <w:sz w:val="18"/>
              </w:rPr>
              <w:t>8. Documentation and presentation handoff</w:t>
            </w:r>
          </w:p>
        </w:tc>
        <w:tc>
          <w:tcPr>
            <w:tcW w:type="dxa" w:w="900"/>
            <w:tcMar>
              <w:top w:w="80" w:type="dxa"/>
              <w:start w:w="120" w:type="dxa"/>
              <w:bottom w:w="80" w:type="dxa"/>
              <w:end w:w="120" w:type="dxa"/>
            </w:tcMar>
            <w:vAlign w:val="center"/>
          </w:tcPr>
          <w:p>
            <w:pPr>
              <w:spacing w:after="0" w:line="264" w:lineRule="auto"/>
            </w:pPr>
            <w:r>
              <w:rPr>
                <w:rFonts w:ascii="Calibri" w:hAnsi="Calibri"/>
                <w:sz w:val="18"/>
              </w:rPr>
              <w:t>3</w:t>
            </w:r>
          </w:p>
        </w:tc>
        <w:tc>
          <w:tcPr>
            <w:tcW w:type="dxa" w:w="5700"/>
            <w:tcMar>
              <w:top w:w="80" w:type="dxa"/>
              <w:start w:w="120" w:type="dxa"/>
              <w:bottom w:w="80" w:type="dxa"/>
              <w:end w:w="120" w:type="dxa"/>
            </w:tcMar>
            <w:vAlign w:val="center"/>
          </w:tcPr>
          <w:p>
            <w:pPr>
              <w:spacing w:after="0" w:line="264" w:lineRule="auto"/>
            </w:pPr>
            <w:r>
              <w:rPr>
                <w:rFonts w:ascii="Calibri" w:hAnsi="Calibri"/>
                <w:sz w:val="18"/>
              </w:rPr>
              <w:t>Technical README, model card, executive summary, next-phase backlog</w:t>
            </w:r>
          </w:p>
        </w:tc>
      </w:tr>
    </w:tbl>
    <w:p>
      <w:pPr>
        <w:spacing w:after="40"/>
      </w:pPr>
    </w:p>
    <w:p>
      <w:r>
        <w:rPr>
          <w:rFonts w:ascii="Calibri" w:hAnsi="Calibri"/>
          <w:b/>
          <w:sz w:val="22"/>
        </w:rPr>
        <w:t>Total planned effort:</w:t>
      </w:r>
      <w:r>
        <w:rPr>
          <w:rFonts w:ascii="Calibri" w:hAnsi="Calibri"/>
          <w:sz w:val="22"/>
        </w:rPr>
        <w:t xml:space="preserve"> 36 hours. The core Week 1 strategic-planning deliverable can be completed in the first 30-35 hours; the final hour is a recommended contingency for stakeholder review and revisions.</w:t>
      </w:r>
    </w:p>
    <w:p>
      <w:pPr>
        <w:pStyle w:val="Heading1"/>
      </w:pPr>
      <w:r>
        <w:t>9. Success Measures</w:t>
      </w:r>
    </w:p>
    <w:tbl>
      <w:tblPr>
        <w:tblStyle w:val="TableGrid"/>
        <w:tblW w:type="dxa" w:w="9360"/>
        <w:jc w:val="left"/>
        <w:tblLayout w:type="fixed"/>
        <w:tblLook w:firstColumn="1" w:firstRow="1" w:lastColumn="0" w:lastRow="0" w:noHBand="0" w:noVBand="1" w:val="04A0"/>
        <w:tblInd w:w="120" w:type="dxa"/>
      </w:tblPr>
      <w:tblGrid>
        <w:gridCol w:w="2160"/>
        <w:gridCol w:w="3240"/>
        <w:gridCol w:w="3960"/>
      </w:tblGrid>
      <w:tr>
        <w:trPr>
          <w:tblHeader w:val="true"/>
        </w:trPr>
        <w:tc>
          <w:tcPr>
            <w:tcW w:type="dxa" w:w="2160"/>
            <w:shd w:fill="F2F4F7"/>
            <w:tcMar>
              <w:top w:w="80" w:type="dxa"/>
              <w:start w:w="120" w:type="dxa"/>
              <w:bottom w:w="80" w:type="dxa"/>
              <w:end w:w="120" w:type="dxa"/>
            </w:tcMar>
            <w:vAlign w:val="center"/>
          </w:tcPr>
          <w:p>
            <w:pPr>
              <w:spacing w:after="0"/>
            </w:pPr>
            <w:r>
              <w:rPr>
                <w:rFonts w:ascii="Calibri" w:hAnsi="Calibri"/>
                <w:b/>
                <w:color w:val="0B2545"/>
                <w:sz w:val="19"/>
              </w:rPr>
              <w:t>Dimension</w:t>
            </w:r>
          </w:p>
        </w:tc>
        <w:tc>
          <w:tcPr>
            <w:tcW w:type="dxa" w:w="3240"/>
            <w:shd w:fill="F2F4F7"/>
            <w:tcMar>
              <w:top w:w="80" w:type="dxa"/>
              <w:start w:w="120" w:type="dxa"/>
              <w:bottom w:w="80" w:type="dxa"/>
              <w:end w:w="120" w:type="dxa"/>
            </w:tcMar>
            <w:vAlign w:val="center"/>
          </w:tcPr>
          <w:p>
            <w:pPr>
              <w:spacing w:after="0"/>
            </w:pPr>
            <w:r>
              <w:rPr>
                <w:rFonts w:ascii="Calibri" w:hAnsi="Calibri"/>
                <w:b/>
                <w:color w:val="0B2545"/>
                <w:sz w:val="19"/>
              </w:rPr>
              <w:t>Measure</w:t>
            </w:r>
          </w:p>
        </w:tc>
        <w:tc>
          <w:tcPr>
            <w:tcW w:type="dxa" w:w="3960"/>
            <w:shd w:fill="F2F4F7"/>
            <w:tcMar>
              <w:top w:w="80" w:type="dxa"/>
              <w:start w:w="120" w:type="dxa"/>
              <w:bottom w:w="80" w:type="dxa"/>
              <w:end w:w="120" w:type="dxa"/>
            </w:tcMar>
            <w:vAlign w:val="center"/>
          </w:tcPr>
          <w:p>
            <w:pPr>
              <w:spacing w:after="0"/>
            </w:pPr>
            <w:r>
              <w:rPr>
                <w:rFonts w:ascii="Calibri" w:hAnsi="Calibri"/>
                <w:b/>
                <w:color w:val="0B2545"/>
                <w:sz w:val="19"/>
              </w:rPr>
              <w:t>Initial target</w:t>
            </w:r>
          </w:p>
        </w:tc>
      </w:tr>
      <w:tr>
        <w:tc>
          <w:tcPr>
            <w:tcW w:type="dxa" w:w="2160"/>
            <w:tcMar>
              <w:top w:w="80" w:type="dxa"/>
              <w:start w:w="120" w:type="dxa"/>
              <w:bottom w:w="80" w:type="dxa"/>
              <w:end w:w="120" w:type="dxa"/>
            </w:tcMar>
            <w:vAlign w:val="center"/>
          </w:tcPr>
          <w:p>
            <w:pPr>
              <w:spacing w:after="0" w:line="264" w:lineRule="auto"/>
            </w:pPr>
            <w:r>
              <w:rPr>
                <w:rFonts w:ascii="Calibri" w:hAnsi="Calibri"/>
                <w:sz w:val="18"/>
              </w:rPr>
              <w:t>Data readiness</w:t>
            </w:r>
          </w:p>
        </w:tc>
        <w:tc>
          <w:tcPr>
            <w:tcW w:type="dxa" w:w="3240"/>
            <w:tcMar>
              <w:top w:w="80" w:type="dxa"/>
              <w:start w:w="120" w:type="dxa"/>
              <w:bottom w:w="80" w:type="dxa"/>
              <w:end w:w="120" w:type="dxa"/>
            </w:tcMar>
            <w:vAlign w:val="center"/>
          </w:tcPr>
          <w:p>
            <w:pPr>
              <w:spacing w:after="0" w:line="264" w:lineRule="auto"/>
            </w:pPr>
            <w:r>
              <w:rPr>
                <w:rFonts w:ascii="Calibri" w:hAnsi="Calibri"/>
                <w:sz w:val="18"/>
              </w:rPr>
              <w:t>Percentage of required fields with documented quality status</w:t>
            </w:r>
          </w:p>
        </w:tc>
        <w:tc>
          <w:tcPr>
            <w:tcW w:type="dxa" w:w="3960"/>
            <w:tcMar>
              <w:top w:w="80" w:type="dxa"/>
              <w:start w:w="120" w:type="dxa"/>
              <w:bottom w:w="80" w:type="dxa"/>
              <w:end w:w="120" w:type="dxa"/>
            </w:tcMar>
            <w:vAlign w:val="center"/>
          </w:tcPr>
          <w:p>
            <w:pPr>
              <w:spacing w:after="0" w:line="264" w:lineRule="auto"/>
            </w:pPr>
            <w:r>
              <w:rPr>
                <w:rFonts w:ascii="Calibri" w:hAnsi="Calibri"/>
                <w:sz w:val="18"/>
              </w:rPr>
              <w:t>100% of required fields assessed; exceptions logged</w:t>
            </w:r>
          </w:p>
        </w:tc>
      </w:tr>
      <w:tr>
        <w:tc>
          <w:tcPr>
            <w:tcW w:type="dxa" w:w="2160"/>
            <w:tcMar>
              <w:top w:w="80" w:type="dxa"/>
              <w:start w:w="120" w:type="dxa"/>
              <w:bottom w:w="80" w:type="dxa"/>
              <w:end w:w="120" w:type="dxa"/>
            </w:tcMar>
            <w:vAlign w:val="center"/>
          </w:tcPr>
          <w:p>
            <w:pPr>
              <w:spacing w:after="0" w:line="264" w:lineRule="auto"/>
            </w:pPr>
            <w:r>
              <w:rPr>
                <w:rFonts w:ascii="Calibri" w:hAnsi="Calibri"/>
                <w:sz w:val="18"/>
              </w:rPr>
              <w:t>Analytic quality</w:t>
            </w:r>
          </w:p>
        </w:tc>
        <w:tc>
          <w:tcPr>
            <w:tcW w:type="dxa" w:w="3240"/>
            <w:tcMar>
              <w:top w:w="80" w:type="dxa"/>
              <w:start w:w="120" w:type="dxa"/>
              <w:bottom w:w="80" w:type="dxa"/>
              <w:end w:w="120" w:type="dxa"/>
            </w:tcMar>
            <w:vAlign w:val="center"/>
          </w:tcPr>
          <w:p>
            <w:pPr>
              <w:spacing w:after="0" w:line="264" w:lineRule="auto"/>
            </w:pPr>
            <w:r>
              <w:rPr>
                <w:rFonts w:ascii="Calibri" w:hAnsi="Calibri"/>
                <w:sz w:val="18"/>
              </w:rPr>
              <w:t>Temporal test-set calibration and discrimination</w:t>
            </w:r>
          </w:p>
        </w:tc>
        <w:tc>
          <w:tcPr>
            <w:tcW w:type="dxa" w:w="3960"/>
            <w:tcMar>
              <w:top w:w="80" w:type="dxa"/>
              <w:start w:w="120" w:type="dxa"/>
              <w:bottom w:w="80" w:type="dxa"/>
              <w:end w:w="120" w:type="dxa"/>
            </w:tcMar>
            <w:vAlign w:val="center"/>
          </w:tcPr>
          <w:p>
            <w:pPr>
              <w:spacing w:after="0" w:line="264" w:lineRule="auto"/>
            </w:pPr>
            <w:r>
              <w:rPr>
                <w:rFonts w:ascii="Calibri" w:hAnsi="Calibri"/>
                <w:sz w:val="18"/>
              </w:rPr>
              <w:t>Baseline established; improvement must be clinically and operationally meaningful</w:t>
            </w:r>
          </w:p>
        </w:tc>
      </w:tr>
      <w:tr>
        <w:tc>
          <w:tcPr>
            <w:tcW w:type="dxa" w:w="2160"/>
            <w:tcMar>
              <w:top w:w="80" w:type="dxa"/>
              <w:start w:w="120" w:type="dxa"/>
              <w:bottom w:w="80" w:type="dxa"/>
              <w:end w:w="120" w:type="dxa"/>
            </w:tcMar>
            <w:vAlign w:val="center"/>
          </w:tcPr>
          <w:p>
            <w:pPr>
              <w:spacing w:after="0" w:line="264" w:lineRule="auto"/>
            </w:pPr>
            <w:r>
              <w:rPr>
                <w:rFonts w:ascii="Calibri" w:hAnsi="Calibri"/>
                <w:sz w:val="18"/>
              </w:rPr>
              <w:t>Operational relevance</w:t>
            </w:r>
          </w:p>
        </w:tc>
        <w:tc>
          <w:tcPr>
            <w:tcW w:type="dxa" w:w="3240"/>
            <w:tcMar>
              <w:top w:w="80" w:type="dxa"/>
              <w:start w:w="120" w:type="dxa"/>
              <w:bottom w:w="80" w:type="dxa"/>
              <w:end w:w="120" w:type="dxa"/>
            </w:tcMar>
            <w:vAlign w:val="center"/>
          </w:tcPr>
          <w:p>
            <w:pPr>
              <w:spacing w:after="0" w:line="264" w:lineRule="auto"/>
            </w:pPr>
            <w:r>
              <w:rPr>
                <w:rFonts w:ascii="Calibri" w:hAnsi="Calibri"/>
                <w:sz w:val="18"/>
              </w:rPr>
              <w:t>Stakeholder agreement on an actionable cohort view</w:t>
            </w:r>
          </w:p>
        </w:tc>
        <w:tc>
          <w:tcPr>
            <w:tcW w:type="dxa" w:w="3960"/>
            <w:tcMar>
              <w:top w:w="80" w:type="dxa"/>
              <w:start w:w="120" w:type="dxa"/>
              <w:bottom w:w="80" w:type="dxa"/>
              <w:end w:w="120" w:type="dxa"/>
            </w:tcMar>
            <w:vAlign w:val="center"/>
          </w:tcPr>
          <w:p>
            <w:pPr>
              <w:spacing w:after="0" w:line="264" w:lineRule="auto"/>
            </w:pPr>
            <w:r>
              <w:rPr>
                <w:rFonts w:ascii="Calibri" w:hAnsi="Calibri"/>
                <w:sz w:val="18"/>
              </w:rPr>
              <w:t>Care-transition sponsor validates at least one use case</w:t>
            </w:r>
          </w:p>
        </w:tc>
      </w:tr>
      <w:tr>
        <w:tc>
          <w:tcPr>
            <w:tcW w:type="dxa" w:w="2160"/>
            <w:tcMar>
              <w:top w:w="80" w:type="dxa"/>
              <w:start w:w="120" w:type="dxa"/>
              <w:bottom w:w="80" w:type="dxa"/>
              <w:end w:w="120" w:type="dxa"/>
            </w:tcMar>
            <w:vAlign w:val="center"/>
          </w:tcPr>
          <w:p>
            <w:pPr>
              <w:spacing w:after="0" w:line="264" w:lineRule="auto"/>
            </w:pPr>
            <w:r>
              <w:rPr>
                <w:rFonts w:ascii="Calibri" w:hAnsi="Calibri"/>
                <w:sz w:val="18"/>
              </w:rPr>
              <w:t>Equity and safety</w:t>
            </w:r>
          </w:p>
        </w:tc>
        <w:tc>
          <w:tcPr>
            <w:tcW w:type="dxa" w:w="3240"/>
            <w:tcMar>
              <w:top w:w="80" w:type="dxa"/>
              <w:start w:w="120" w:type="dxa"/>
              <w:bottom w:w="80" w:type="dxa"/>
              <w:end w:w="120" w:type="dxa"/>
            </w:tcMar>
            <w:vAlign w:val="center"/>
          </w:tcPr>
          <w:p>
            <w:pPr>
              <w:spacing w:after="0" w:line="264" w:lineRule="auto"/>
            </w:pPr>
            <w:r>
              <w:rPr>
                <w:rFonts w:ascii="Calibri" w:hAnsi="Calibri"/>
                <w:sz w:val="18"/>
              </w:rPr>
              <w:t>Subgroup performance and review of potential harm</w:t>
            </w:r>
          </w:p>
        </w:tc>
        <w:tc>
          <w:tcPr>
            <w:tcW w:type="dxa" w:w="3960"/>
            <w:tcMar>
              <w:top w:w="80" w:type="dxa"/>
              <w:start w:w="120" w:type="dxa"/>
              <w:bottom w:w="80" w:type="dxa"/>
              <w:end w:w="120" w:type="dxa"/>
            </w:tcMar>
            <w:vAlign w:val="center"/>
          </w:tcPr>
          <w:p>
            <w:pPr>
              <w:spacing w:after="0" w:line="264" w:lineRule="auto"/>
            </w:pPr>
            <w:r>
              <w:rPr>
                <w:rFonts w:ascii="Calibri" w:hAnsi="Calibri"/>
                <w:sz w:val="18"/>
              </w:rPr>
              <w:t>No unresolved material disparity before any prospective pilot</w:t>
            </w:r>
          </w:p>
        </w:tc>
      </w:tr>
      <w:tr>
        <w:tc>
          <w:tcPr>
            <w:tcW w:type="dxa" w:w="2160"/>
            <w:tcMar>
              <w:top w:w="80" w:type="dxa"/>
              <w:start w:w="120" w:type="dxa"/>
              <w:bottom w:w="80" w:type="dxa"/>
              <w:end w:w="120" w:type="dxa"/>
            </w:tcMar>
            <w:vAlign w:val="center"/>
          </w:tcPr>
          <w:p>
            <w:pPr>
              <w:spacing w:after="0" w:line="264" w:lineRule="auto"/>
            </w:pPr>
            <w:r>
              <w:rPr>
                <w:rFonts w:ascii="Calibri" w:hAnsi="Calibri"/>
                <w:sz w:val="18"/>
              </w:rPr>
              <w:t>Reproducibility</w:t>
            </w:r>
          </w:p>
        </w:tc>
        <w:tc>
          <w:tcPr>
            <w:tcW w:type="dxa" w:w="3240"/>
            <w:tcMar>
              <w:top w:w="80" w:type="dxa"/>
              <w:start w:w="120" w:type="dxa"/>
              <w:bottom w:w="80" w:type="dxa"/>
              <w:end w:w="120" w:type="dxa"/>
            </w:tcMar>
            <w:vAlign w:val="center"/>
          </w:tcPr>
          <w:p>
            <w:pPr>
              <w:spacing w:after="0" w:line="264" w:lineRule="auto"/>
            </w:pPr>
            <w:r>
              <w:rPr>
                <w:rFonts w:ascii="Calibri" w:hAnsi="Calibri"/>
                <w:sz w:val="18"/>
              </w:rPr>
              <w:t>Ability to rerun pipeline from approved source extract</w:t>
            </w:r>
          </w:p>
        </w:tc>
        <w:tc>
          <w:tcPr>
            <w:tcW w:type="dxa" w:w="3960"/>
            <w:tcMar>
              <w:top w:w="80" w:type="dxa"/>
              <w:start w:w="120" w:type="dxa"/>
              <w:bottom w:w="80" w:type="dxa"/>
              <w:end w:w="120" w:type="dxa"/>
            </w:tcMar>
            <w:vAlign w:val="center"/>
          </w:tcPr>
          <w:p>
            <w:pPr>
              <w:spacing w:after="0" w:line="264" w:lineRule="auto"/>
            </w:pPr>
            <w:r>
              <w:rPr>
                <w:rFonts w:ascii="Calibri" w:hAnsi="Calibri"/>
                <w:sz w:val="18"/>
              </w:rPr>
              <w:t>One-command or documented repeatable workflow</w:t>
            </w:r>
          </w:p>
        </w:tc>
      </w:tr>
    </w:tbl>
    <w:p>
      <w:pPr>
        <w:spacing w:after="40"/>
      </w:pPr>
    </w:p>
    <w:p>
      <w:pPr>
        <w:pStyle w:val="Heading1"/>
      </w:pPr>
      <w:r>
        <w:t>10. Anticipated Challenges and Mitigations</w:t>
      </w:r>
    </w:p>
    <w:tbl>
      <w:tblPr>
        <w:tblStyle w:val="TableGrid"/>
        <w:tblW w:type="dxa" w:w="9360"/>
        <w:jc w:val="left"/>
        <w:tblLayout w:type="fixed"/>
        <w:tblLook w:firstColumn="1" w:firstRow="1" w:lastColumn="0" w:lastRow="0" w:noHBand="0" w:noVBand="1" w:val="04A0"/>
        <w:tblInd w:w="120" w:type="dxa"/>
      </w:tblPr>
      <w:tblGrid>
        <w:gridCol w:w="2220"/>
        <w:gridCol w:w="3240"/>
        <w:gridCol w:w="3900"/>
      </w:tblGrid>
      <w:tr>
        <w:trPr>
          <w:tblHeader w:val="true"/>
        </w:trPr>
        <w:tc>
          <w:tcPr>
            <w:tcW w:type="dxa" w:w="2220"/>
            <w:shd w:fill="F2F4F7"/>
            <w:tcMar>
              <w:top w:w="80" w:type="dxa"/>
              <w:start w:w="120" w:type="dxa"/>
              <w:bottom w:w="80" w:type="dxa"/>
              <w:end w:w="120" w:type="dxa"/>
            </w:tcMar>
            <w:vAlign w:val="center"/>
          </w:tcPr>
          <w:p>
            <w:pPr>
              <w:spacing w:after="0"/>
            </w:pPr>
            <w:r>
              <w:rPr>
                <w:rFonts w:ascii="Calibri" w:hAnsi="Calibri"/>
                <w:b/>
                <w:color w:val="0B2545"/>
                <w:sz w:val="19"/>
              </w:rPr>
              <w:t>Challenge</w:t>
            </w:r>
          </w:p>
        </w:tc>
        <w:tc>
          <w:tcPr>
            <w:tcW w:type="dxa" w:w="3240"/>
            <w:shd w:fill="F2F4F7"/>
            <w:tcMar>
              <w:top w:w="80" w:type="dxa"/>
              <w:start w:w="120" w:type="dxa"/>
              <w:bottom w:w="80" w:type="dxa"/>
              <w:end w:w="120" w:type="dxa"/>
            </w:tcMar>
            <w:vAlign w:val="center"/>
          </w:tcPr>
          <w:p>
            <w:pPr>
              <w:spacing w:after="0"/>
            </w:pPr>
            <w:r>
              <w:rPr>
                <w:rFonts w:ascii="Calibri" w:hAnsi="Calibri"/>
                <w:b/>
                <w:color w:val="0B2545"/>
                <w:sz w:val="19"/>
              </w:rPr>
              <w:t>Likely effect</w:t>
            </w:r>
          </w:p>
        </w:tc>
        <w:tc>
          <w:tcPr>
            <w:tcW w:type="dxa" w:w="3900"/>
            <w:shd w:fill="F2F4F7"/>
            <w:tcMar>
              <w:top w:w="80" w:type="dxa"/>
              <w:start w:w="120" w:type="dxa"/>
              <w:bottom w:w="80" w:type="dxa"/>
              <w:end w:w="120" w:type="dxa"/>
            </w:tcMar>
            <w:vAlign w:val="center"/>
          </w:tcPr>
          <w:p>
            <w:pPr>
              <w:spacing w:after="0"/>
            </w:pPr>
            <w:r>
              <w:rPr>
                <w:rFonts w:ascii="Calibri" w:hAnsi="Calibri"/>
                <w:b/>
                <w:color w:val="0B2545"/>
                <w:sz w:val="19"/>
              </w:rPr>
              <w:t>Mitigation</w:t>
            </w:r>
          </w:p>
        </w:tc>
      </w:tr>
      <w:tr>
        <w:tc>
          <w:tcPr>
            <w:tcW w:type="dxa" w:w="2220"/>
            <w:tcMar>
              <w:top w:w="80" w:type="dxa"/>
              <w:start w:w="120" w:type="dxa"/>
              <w:bottom w:w="80" w:type="dxa"/>
              <w:end w:w="120" w:type="dxa"/>
            </w:tcMar>
            <w:vAlign w:val="center"/>
          </w:tcPr>
          <w:p>
            <w:pPr>
              <w:spacing w:after="0" w:line="264" w:lineRule="auto"/>
            </w:pPr>
            <w:r>
              <w:rPr>
                <w:rFonts w:ascii="Calibri" w:hAnsi="Calibri"/>
                <w:sz w:val="18"/>
              </w:rPr>
              <w:t>Fragmented data sources and inconsistent coding</w:t>
            </w:r>
          </w:p>
        </w:tc>
        <w:tc>
          <w:tcPr>
            <w:tcW w:type="dxa" w:w="3240"/>
            <w:tcMar>
              <w:top w:w="80" w:type="dxa"/>
              <w:start w:w="120" w:type="dxa"/>
              <w:bottom w:w="80" w:type="dxa"/>
              <w:end w:w="120" w:type="dxa"/>
            </w:tcMar>
            <w:vAlign w:val="center"/>
          </w:tcPr>
          <w:p>
            <w:pPr>
              <w:spacing w:after="0" w:line="264" w:lineRule="auto"/>
            </w:pPr>
            <w:r>
              <w:rPr>
                <w:rFonts w:ascii="Calibri" w:hAnsi="Calibri"/>
                <w:sz w:val="18"/>
              </w:rPr>
              <w:t>Incomplete features and misleading comparisons</w:t>
            </w:r>
          </w:p>
        </w:tc>
        <w:tc>
          <w:tcPr>
            <w:tcW w:type="dxa" w:w="3900"/>
            <w:tcMar>
              <w:top w:w="80" w:type="dxa"/>
              <w:start w:w="120" w:type="dxa"/>
              <w:bottom w:w="80" w:type="dxa"/>
              <w:end w:w="120" w:type="dxa"/>
            </w:tcMar>
            <w:vAlign w:val="center"/>
          </w:tcPr>
          <w:p>
            <w:pPr>
              <w:spacing w:after="0" w:line="264" w:lineRule="auto"/>
            </w:pPr>
            <w:r>
              <w:rPr>
                <w:rFonts w:ascii="Calibri" w:hAnsi="Calibri"/>
                <w:sz w:val="18"/>
              </w:rPr>
              <w:t>Start with a narrow cohort, map fields, standardize codes, and quantify missingness</w:t>
            </w:r>
          </w:p>
        </w:tc>
      </w:tr>
      <w:tr>
        <w:tc>
          <w:tcPr>
            <w:tcW w:type="dxa" w:w="2220"/>
            <w:tcMar>
              <w:top w:w="80" w:type="dxa"/>
              <w:start w:w="120" w:type="dxa"/>
              <w:bottom w:w="80" w:type="dxa"/>
              <w:end w:w="120" w:type="dxa"/>
            </w:tcMar>
            <w:vAlign w:val="center"/>
          </w:tcPr>
          <w:p>
            <w:pPr>
              <w:spacing w:after="0" w:line="264" w:lineRule="auto"/>
            </w:pPr>
            <w:r>
              <w:rPr>
                <w:rFonts w:ascii="Calibri" w:hAnsi="Calibri"/>
                <w:sz w:val="18"/>
              </w:rPr>
              <w:t>Outcome ambiguity or planned readmissions</w:t>
            </w:r>
          </w:p>
        </w:tc>
        <w:tc>
          <w:tcPr>
            <w:tcW w:type="dxa" w:w="3240"/>
            <w:tcMar>
              <w:top w:w="80" w:type="dxa"/>
              <w:start w:w="120" w:type="dxa"/>
              <w:bottom w:w="80" w:type="dxa"/>
              <w:end w:w="120" w:type="dxa"/>
            </w:tcMar>
            <w:vAlign w:val="center"/>
          </w:tcPr>
          <w:p>
            <w:pPr>
              <w:spacing w:after="0" w:line="264" w:lineRule="auto"/>
            </w:pPr>
            <w:r>
              <w:rPr>
                <w:rFonts w:ascii="Calibri" w:hAnsi="Calibri"/>
                <w:sz w:val="18"/>
              </w:rPr>
              <w:t>Invalid labels</w:t>
            </w:r>
          </w:p>
        </w:tc>
        <w:tc>
          <w:tcPr>
            <w:tcW w:type="dxa" w:w="3900"/>
            <w:tcMar>
              <w:top w:w="80" w:type="dxa"/>
              <w:start w:w="120" w:type="dxa"/>
              <w:bottom w:w="80" w:type="dxa"/>
              <w:end w:w="120" w:type="dxa"/>
            </w:tcMar>
            <w:vAlign w:val="center"/>
          </w:tcPr>
          <w:p>
            <w:pPr>
              <w:spacing w:after="0" w:line="264" w:lineRule="auto"/>
            </w:pPr>
            <w:r>
              <w:rPr>
                <w:rFonts w:ascii="Calibri" w:hAnsi="Calibri"/>
                <w:sz w:val="18"/>
              </w:rPr>
              <w:t>Agree outcome rules with clinical stakeholders before modeling</w:t>
            </w:r>
          </w:p>
        </w:tc>
      </w:tr>
      <w:tr>
        <w:tc>
          <w:tcPr>
            <w:tcW w:type="dxa" w:w="2220"/>
            <w:tcMar>
              <w:top w:w="80" w:type="dxa"/>
              <w:start w:w="120" w:type="dxa"/>
              <w:bottom w:w="80" w:type="dxa"/>
              <w:end w:w="120" w:type="dxa"/>
            </w:tcMar>
            <w:vAlign w:val="center"/>
          </w:tcPr>
          <w:p>
            <w:pPr>
              <w:spacing w:after="0" w:line="264" w:lineRule="auto"/>
            </w:pPr>
            <w:r>
              <w:rPr>
                <w:rFonts w:ascii="Calibri" w:hAnsi="Calibri"/>
                <w:sz w:val="18"/>
              </w:rPr>
              <w:t>Data leakage</w:t>
            </w:r>
          </w:p>
        </w:tc>
        <w:tc>
          <w:tcPr>
            <w:tcW w:type="dxa" w:w="3240"/>
            <w:tcMar>
              <w:top w:w="80" w:type="dxa"/>
              <w:start w:w="120" w:type="dxa"/>
              <w:bottom w:w="80" w:type="dxa"/>
              <w:end w:w="120" w:type="dxa"/>
            </w:tcMar>
            <w:vAlign w:val="center"/>
          </w:tcPr>
          <w:p>
            <w:pPr>
              <w:spacing w:after="0" w:line="264" w:lineRule="auto"/>
            </w:pPr>
            <w:r>
              <w:rPr>
                <w:rFonts w:ascii="Calibri" w:hAnsi="Calibri"/>
                <w:sz w:val="18"/>
              </w:rPr>
              <w:t>Overstated model performance</w:t>
            </w:r>
          </w:p>
        </w:tc>
        <w:tc>
          <w:tcPr>
            <w:tcW w:type="dxa" w:w="3900"/>
            <w:tcMar>
              <w:top w:w="80" w:type="dxa"/>
              <w:start w:w="120" w:type="dxa"/>
              <w:bottom w:w="80" w:type="dxa"/>
              <w:end w:w="120" w:type="dxa"/>
            </w:tcMar>
            <w:vAlign w:val="center"/>
          </w:tcPr>
          <w:p>
            <w:pPr>
              <w:spacing w:after="0" w:line="264" w:lineRule="auto"/>
            </w:pPr>
            <w:r>
              <w:rPr>
                <w:rFonts w:ascii="Calibri" w:hAnsi="Calibri"/>
                <w:sz w:val="18"/>
              </w:rPr>
              <w:t>Feature availability review; temporal split; peer review of pipeline</w:t>
            </w:r>
          </w:p>
        </w:tc>
      </w:tr>
      <w:tr>
        <w:tc>
          <w:tcPr>
            <w:tcW w:type="dxa" w:w="2220"/>
            <w:tcMar>
              <w:top w:w="80" w:type="dxa"/>
              <w:start w:w="120" w:type="dxa"/>
              <w:bottom w:w="80" w:type="dxa"/>
              <w:end w:w="120" w:type="dxa"/>
            </w:tcMar>
            <w:vAlign w:val="center"/>
          </w:tcPr>
          <w:p>
            <w:pPr>
              <w:spacing w:after="0" w:line="264" w:lineRule="auto"/>
            </w:pPr>
            <w:r>
              <w:rPr>
                <w:rFonts w:ascii="Calibri" w:hAnsi="Calibri"/>
                <w:sz w:val="18"/>
              </w:rPr>
              <w:t>Class imbalance</w:t>
            </w:r>
          </w:p>
        </w:tc>
        <w:tc>
          <w:tcPr>
            <w:tcW w:type="dxa" w:w="3240"/>
            <w:tcMar>
              <w:top w:w="80" w:type="dxa"/>
              <w:start w:w="120" w:type="dxa"/>
              <w:bottom w:w="80" w:type="dxa"/>
              <w:end w:w="120" w:type="dxa"/>
            </w:tcMar>
            <w:vAlign w:val="center"/>
          </w:tcPr>
          <w:p>
            <w:pPr>
              <w:spacing w:after="0" w:line="264" w:lineRule="auto"/>
            </w:pPr>
            <w:r>
              <w:rPr>
                <w:rFonts w:ascii="Calibri" w:hAnsi="Calibri"/>
                <w:sz w:val="18"/>
              </w:rPr>
              <w:t>Unhelpful accuracy metric</w:t>
            </w:r>
          </w:p>
        </w:tc>
        <w:tc>
          <w:tcPr>
            <w:tcW w:type="dxa" w:w="3900"/>
            <w:tcMar>
              <w:top w:w="80" w:type="dxa"/>
              <w:start w:w="120" w:type="dxa"/>
              <w:bottom w:w="80" w:type="dxa"/>
              <w:end w:w="120" w:type="dxa"/>
            </w:tcMar>
            <w:vAlign w:val="center"/>
          </w:tcPr>
          <w:p>
            <w:pPr>
              <w:spacing w:after="0" w:line="264" w:lineRule="auto"/>
            </w:pPr>
            <w:r>
              <w:rPr>
                <w:rFonts w:ascii="Calibri" w:hAnsi="Calibri"/>
                <w:sz w:val="18"/>
              </w:rPr>
              <w:t>Use precision-recall, calibration, threshold workload, and sensitivity</w:t>
            </w:r>
          </w:p>
        </w:tc>
      </w:tr>
      <w:tr>
        <w:tc>
          <w:tcPr>
            <w:tcW w:type="dxa" w:w="2220"/>
            <w:tcMar>
              <w:top w:w="80" w:type="dxa"/>
              <w:start w:w="120" w:type="dxa"/>
              <w:bottom w:w="80" w:type="dxa"/>
              <w:end w:w="120" w:type="dxa"/>
            </w:tcMar>
            <w:vAlign w:val="center"/>
          </w:tcPr>
          <w:p>
            <w:pPr>
              <w:spacing w:after="0" w:line="264" w:lineRule="auto"/>
            </w:pPr>
            <w:r>
              <w:rPr>
                <w:rFonts w:ascii="Calibri" w:hAnsi="Calibri"/>
                <w:sz w:val="18"/>
              </w:rPr>
              <w:t>Bias in historical utilization patterns</w:t>
            </w:r>
          </w:p>
        </w:tc>
        <w:tc>
          <w:tcPr>
            <w:tcW w:type="dxa" w:w="3240"/>
            <w:tcMar>
              <w:top w:w="80" w:type="dxa"/>
              <w:start w:w="120" w:type="dxa"/>
              <w:bottom w:w="80" w:type="dxa"/>
              <w:end w:w="120" w:type="dxa"/>
            </w:tcMar>
            <w:vAlign w:val="center"/>
          </w:tcPr>
          <w:p>
            <w:pPr>
              <w:spacing w:after="0" w:line="264" w:lineRule="auto"/>
            </w:pPr>
            <w:r>
              <w:rPr>
                <w:rFonts w:ascii="Calibri" w:hAnsi="Calibri"/>
                <w:sz w:val="18"/>
              </w:rPr>
              <w:t>Unequal errors or access consequences</w:t>
            </w:r>
          </w:p>
        </w:tc>
        <w:tc>
          <w:tcPr>
            <w:tcW w:type="dxa" w:w="3900"/>
            <w:tcMar>
              <w:top w:w="80" w:type="dxa"/>
              <w:start w:w="120" w:type="dxa"/>
              <w:bottom w:w="80" w:type="dxa"/>
              <w:end w:w="120" w:type="dxa"/>
            </w:tcMar>
            <w:vAlign w:val="center"/>
          </w:tcPr>
          <w:p>
            <w:pPr>
              <w:spacing w:after="0" w:line="264" w:lineRule="auto"/>
            </w:pPr>
            <w:r>
              <w:rPr>
                <w:rFonts w:ascii="Calibri" w:hAnsi="Calibri"/>
                <w:sz w:val="18"/>
              </w:rPr>
              <w:t>Subgroup evaluation, clinician review, and constrained use case</w:t>
            </w:r>
          </w:p>
        </w:tc>
      </w:tr>
      <w:tr>
        <w:tc>
          <w:tcPr>
            <w:tcW w:type="dxa" w:w="2220"/>
            <w:tcMar>
              <w:top w:w="80" w:type="dxa"/>
              <w:start w:w="120" w:type="dxa"/>
              <w:bottom w:w="80" w:type="dxa"/>
              <w:end w:w="120" w:type="dxa"/>
            </w:tcMar>
            <w:vAlign w:val="center"/>
          </w:tcPr>
          <w:p>
            <w:pPr>
              <w:spacing w:after="0" w:line="264" w:lineRule="auto"/>
            </w:pPr>
            <w:r>
              <w:rPr>
                <w:rFonts w:ascii="Calibri" w:hAnsi="Calibri"/>
                <w:sz w:val="18"/>
              </w:rPr>
              <w:t>Limited stakeholder time</w:t>
            </w:r>
          </w:p>
        </w:tc>
        <w:tc>
          <w:tcPr>
            <w:tcW w:type="dxa" w:w="3240"/>
            <w:tcMar>
              <w:top w:w="80" w:type="dxa"/>
              <w:start w:w="120" w:type="dxa"/>
              <w:bottom w:w="80" w:type="dxa"/>
              <w:end w:w="120" w:type="dxa"/>
            </w:tcMar>
            <w:vAlign w:val="center"/>
          </w:tcPr>
          <w:p>
            <w:pPr>
              <w:spacing w:after="0" w:line="264" w:lineRule="auto"/>
            </w:pPr>
            <w:r>
              <w:rPr>
                <w:rFonts w:ascii="Calibri" w:hAnsi="Calibri"/>
                <w:sz w:val="18"/>
              </w:rPr>
              <w:t>Insights not adopted</w:t>
            </w:r>
          </w:p>
        </w:tc>
        <w:tc>
          <w:tcPr>
            <w:tcW w:type="dxa" w:w="3900"/>
            <w:tcMar>
              <w:top w:w="80" w:type="dxa"/>
              <w:start w:w="120" w:type="dxa"/>
              <w:bottom w:w="80" w:type="dxa"/>
              <w:end w:w="120" w:type="dxa"/>
            </w:tcMar>
            <w:vAlign w:val="center"/>
          </w:tcPr>
          <w:p>
            <w:pPr>
              <w:spacing w:after="0" w:line="264" w:lineRule="auto"/>
            </w:pPr>
            <w:r>
              <w:rPr>
                <w:rFonts w:ascii="Calibri" w:hAnsi="Calibri"/>
                <w:sz w:val="18"/>
              </w:rPr>
              <w:t>Use short readouts, decision-oriented visuals, and milestone demos</w:t>
            </w:r>
          </w:p>
        </w:tc>
      </w:tr>
    </w:tbl>
    <w:p>
      <w:pPr>
        <w:spacing w:after="40"/>
      </w:pPr>
    </w:p>
    <w:p>
      <w:pPr>
        <w:pStyle w:val="Heading1"/>
      </w:pPr>
      <w:r>
        <w:t>11. Deliverables and Next-Phase Recommendation</w:t>
      </w:r>
    </w:p>
    <w:p>
      <w:pPr>
        <w:pStyle w:val="ListBullet"/>
      </w:pPr>
      <w:r>
        <w:rPr>
          <w:rFonts w:ascii="Calibri" w:hAnsi="Calibri"/>
          <w:sz w:val="22"/>
        </w:rPr>
        <w:t>Week 1 strategic plan (this document), including scope, questions, methodology, governance, milestones, risks, and measures of success.</w:t>
      </w:r>
    </w:p>
    <w:p>
      <w:pPr>
        <w:pStyle w:val="ListBullet"/>
      </w:pPr>
      <w:r>
        <w:rPr>
          <w:rFonts w:ascii="Calibri" w:hAnsi="Calibri"/>
          <w:sz w:val="22"/>
        </w:rPr>
        <w:t>Data inventory and dictionary template, cohort-definition specification, and data-quality checklist.</w:t>
      </w:r>
    </w:p>
    <w:p>
      <w:pPr>
        <w:pStyle w:val="ListBullet"/>
      </w:pPr>
      <w:r>
        <w:rPr>
          <w:rFonts w:ascii="Calibri" w:hAnsi="Calibri"/>
          <w:sz w:val="22"/>
        </w:rPr>
        <w:t>Python project skeleton: ingestion, cleaning, analysis, modeling, visualization, tests, and documentation folders.</w:t>
      </w:r>
    </w:p>
    <w:p>
      <w:pPr>
        <w:pStyle w:val="ListBullet"/>
      </w:pPr>
      <w:r>
        <w:rPr>
          <w:rFonts w:ascii="Calibri" w:hAnsi="Calibri"/>
          <w:sz w:val="22"/>
        </w:rPr>
        <w:t>Exploratory-analysis notebook and stakeholder-ready dashboard prototype for a de-identified retrospective cohort.</w:t>
      </w:r>
    </w:p>
    <w:p>
      <w:pPr>
        <w:pStyle w:val="ListBullet"/>
      </w:pPr>
      <w:r>
        <w:rPr>
          <w:rFonts w:ascii="Calibri" w:hAnsi="Calibri"/>
          <w:sz w:val="22"/>
        </w:rPr>
        <w:t>Model card and prospective-pilot decision memo after clinical, privacy, and governance review.</w:t>
      </w:r>
    </w:p>
    <w:p>
      <w:r>
        <w:rPr>
          <w:rFonts w:ascii="Calibri" w:hAnsi="Calibri"/>
          <w:sz w:val="22"/>
        </w:rPr>
        <w:t>Recommended next step: conduct a 60-minute discovery session with a care-transition lead, data steward, and privacy representative to confirm the outcome definition, eligible data elements, operational decision point, and success threshold. This converts the hypothetical scope into an implementable, governed project charter.</w:t>
      </w:r>
    </w:p>
    <w:p>
      <w:pPr>
        <w:pStyle w:val="Heading1"/>
      </w:pPr>
      <w:r>
        <w:t>12. References</w:t>
      </w:r>
    </w:p>
    <w:p>
      <w:pPr>
        <w:spacing w:after="120"/>
        <w:ind w:left="360" w:hanging="360"/>
      </w:pPr>
      <w:r>
        <w:rPr>
          <w:rFonts w:ascii="Calibri" w:hAnsi="Calibri"/>
          <w:color w:val="333333"/>
          <w:sz w:val="19"/>
        </w:rPr>
        <w:t>Centers for Disease Control and Prevention. (2026). About the Public Health Data Strategy. https://www.cdc.gov/public-health-data-strategy/php/about/index.html</w:t>
      </w:r>
    </w:p>
    <w:p>
      <w:pPr>
        <w:spacing w:after="120"/>
        <w:ind w:left="360" w:hanging="360"/>
      </w:pPr>
      <w:r>
        <w:rPr>
          <w:rFonts w:ascii="Calibri" w:hAnsi="Calibri"/>
          <w:color w:val="333333"/>
          <w:sz w:val="19"/>
        </w:rPr>
        <w:t>Centers for Disease Control and Prevention. (2022). Data Modernization Implementation Guidance Portal for Public Health Departments. https://www.cdc.gov/csels/dmi-support/guidance-portal/index.html</w:t>
      </w:r>
    </w:p>
    <w:p>
      <w:pPr>
        <w:spacing w:after="120"/>
        <w:ind w:left="360" w:hanging="360"/>
      </w:pPr>
      <w:r>
        <w:rPr>
          <w:rFonts w:ascii="Calibri" w:hAnsi="Calibri"/>
          <w:color w:val="333333"/>
          <w:sz w:val="19"/>
        </w:rPr>
        <w:t>World Health Organization Regional Office for Europe. (2025). Health data governance in the age of artificial intelligence: policy imperatives for the WHO European Region. https://www.who.int/europe/publications/i/item/WHO-EURO-2025-11462-51234-78079</w:t>
      </w:r>
    </w:p>
    <w:p>
      <w:pPr>
        <w:spacing w:after="120"/>
        <w:ind w:left="360" w:hanging="360"/>
      </w:pPr>
      <w:r>
        <w:rPr>
          <w:rFonts w:ascii="Calibri" w:hAnsi="Calibri"/>
          <w:color w:val="333333"/>
          <w:sz w:val="19"/>
        </w:rPr>
        <w:t>Centers for Disease Control and Prevention. (2025). Public Health Data Authority. https://www.cdc.gov/data-modernization/php/policy-standards/index.html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F6B76"/>
        <w:sz w:val="17"/>
      </w:rPr>
      <w:t>Strategic Planning and Project Scope Definition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F6B76"/>
        <w:sz w:val="17"/>
      </w:rPr>
      <w:t>HEALTHCARE DATA ANALYTICS |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Data Analytics Strategic Plan - Week 1</dc:title>
  <dc:subject>Strategic planning and project scope definition</dc:subject>
  <dc:creator>Healthcare Data Analytics Intern</dc:creator>
  <cp:keywords/>
  <dc:description>generated by python-docx</dc:description>
  <cp:lastModifiedBy/>
  <cp:revision>1</cp:revision>
  <dcterms:created xsi:type="dcterms:W3CDTF">2013-12-23T23:15:00Z</dcterms:created>
  <dcterms:modified xsi:type="dcterms:W3CDTF">2013-12-23T23:15:00Z</dcterms:modified>
  <cp:category/>
</cp:coreProperties>
</file>