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5B5"/>
          <w:sz w:val="30"/>
        </w:rPr>
        <w:t>WEEK 4 PROJECT</w:t>
      </w:r>
    </w:p>
    <w:p>
      <w:pPr>
        <w:jc w:val="center"/>
      </w:pPr>
      <w:r>
        <w:rPr>
          <w:b/>
          <w:color w:val="17365D"/>
          <w:sz w:val="48"/>
        </w:rPr>
        <w:t>Predictive Modeling and Machine Learning Strategy Development</w:t>
      </w:r>
    </w:p>
    <w:p>
      <w:pPr>
        <w:jc w:val="center"/>
      </w:pPr>
      <w:r>
        <w:rPr>
          <w:color w:val="2F75B5"/>
          <w:sz w:val="28"/>
        </w:rPr>
        <w:t>Healthcare Data Analytics — Patient Readmission Risk Prediction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Pr>
                <w:color w:val="FFFFFF"/>
              </w:rPr>
            </w:r>
            <w:r>
              <w:rPr>
                <w:rFonts w:ascii="Aptos" w:hAnsi="Aptos"/>
                <w:b/>
                <w:color w:val="17365D"/>
                <w:sz w:val="19"/>
              </w:rPr>
              <w:t>Project Component</w:t>
            </w:r>
          </w:p>
        </w:tc>
        <w:tc>
          <w:tcPr>
            <w:tcW w:type="dxa" w:w="5040"/>
            <w:vAlign w:val="center"/>
            <w:shd w:fill="17365D"/>
          </w:tcPr>
          <w:p>
            <w:r>
              <w:rPr>
                <w:color w:val="FFFFFF"/>
              </w:rPr>
            </w:r>
            <w:r>
              <w:rPr>
                <w:rFonts w:ascii="Aptos" w:hAnsi="Aptos"/>
                <w:b/>
                <w:color w:val="17365D"/>
                <w:sz w:val="19"/>
              </w:rPr>
              <w:t>Details</w:t>
            </w:r>
          </w:p>
        </w:tc>
      </w:tr>
      <w:tr>
        <w:tc>
          <w:tcPr>
            <w:tcW w:type="dxa" w:w="5040"/>
            <w:vAlign w:val="center"/>
            <w:shd w:fill="F3F7FB"/>
          </w:tcPr>
          <w:p>
            <w:r/>
            <w:r>
              <w:rPr>
                <w:rFonts w:ascii="Aptos" w:hAnsi="Aptos"/>
                <w:b w:val="0"/>
                <w:color w:val="17365D"/>
                <w:sz w:val="19"/>
              </w:rPr>
              <w:t>Domain</w:t>
            </w:r>
          </w:p>
        </w:tc>
        <w:tc>
          <w:tcPr>
            <w:tcW w:type="dxa" w:w="5040"/>
            <w:vAlign w:val="center"/>
            <w:shd w:fill="F3F7FB"/>
          </w:tcPr>
          <w:p>
            <w:r/>
            <w:r>
              <w:rPr>
                <w:rFonts w:ascii="Aptos" w:hAnsi="Aptos"/>
                <w:b w:val="0"/>
                <w:color w:val="17365D"/>
                <w:sz w:val="19"/>
              </w:rPr>
              <w:t>Healthcare Data Analytics</w:t>
            </w:r>
          </w:p>
        </w:tc>
      </w:tr>
      <w:tr>
        <w:tc>
          <w:tcPr>
            <w:tcW w:type="dxa" w:w="5040"/>
            <w:vAlign w:val="center"/>
          </w:tcPr>
          <w:p>
            <w:r/>
            <w:r>
              <w:rPr>
                <w:rFonts w:ascii="Aptos" w:hAnsi="Aptos"/>
                <w:b w:val="0"/>
                <w:color w:val="17365D"/>
                <w:sz w:val="19"/>
              </w:rPr>
              <w:t>Problem</w:t>
            </w:r>
          </w:p>
        </w:tc>
        <w:tc>
          <w:tcPr>
            <w:tcW w:type="dxa" w:w="5040"/>
            <w:vAlign w:val="center"/>
          </w:tcPr>
          <w:p>
            <w:r/>
            <w:r>
              <w:rPr>
                <w:rFonts w:ascii="Aptos" w:hAnsi="Aptos"/>
                <w:b w:val="0"/>
                <w:color w:val="17365D"/>
                <w:sz w:val="19"/>
              </w:rPr>
              <w:t>Predicting patient 30-day hospital readmission risk</w:t>
            </w:r>
          </w:p>
        </w:tc>
      </w:tr>
      <w:tr>
        <w:tc>
          <w:tcPr>
            <w:tcW w:type="dxa" w:w="5040"/>
            <w:vAlign w:val="center"/>
            <w:shd w:fill="F3F7FB"/>
          </w:tcPr>
          <w:p>
            <w:r/>
            <w:r>
              <w:rPr>
                <w:rFonts w:ascii="Aptos" w:hAnsi="Aptos"/>
                <w:b w:val="0"/>
                <w:color w:val="17365D"/>
                <w:sz w:val="19"/>
              </w:rPr>
              <w:t>Programming</w:t>
            </w:r>
          </w:p>
        </w:tc>
        <w:tc>
          <w:tcPr>
            <w:tcW w:type="dxa" w:w="5040"/>
            <w:vAlign w:val="center"/>
            <w:shd w:fill="F3F7FB"/>
          </w:tcPr>
          <w:p>
            <w:r/>
            <w:r>
              <w:rPr>
                <w:rFonts w:ascii="Aptos" w:hAnsi="Aptos"/>
                <w:b w:val="0"/>
                <w:color w:val="17365D"/>
                <w:sz w:val="19"/>
              </w:rPr>
              <w:t>Python</w:t>
            </w:r>
          </w:p>
        </w:tc>
      </w:tr>
      <w:tr>
        <w:tc>
          <w:tcPr>
            <w:tcW w:type="dxa" w:w="5040"/>
            <w:vAlign w:val="center"/>
          </w:tcPr>
          <w:p>
            <w:r/>
            <w:r>
              <w:rPr>
                <w:rFonts w:ascii="Aptos" w:hAnsi="Aptos"/>
                <w:b w:val="0"/>
                <w:color w:val="17365D"/>
                <w:sz w:val="19"/>
              </w:rPr>
              <w:t>Candidate Models</w:t>
            </w:r>
          </w:p>
        </w:tc>
        <w:tc>
          <w:tcPr>
            <w:tcW w:type="dxa" w:w="5040"/>
            <w:vAlign w:val="center"/>
          </w:tcPr>
          <w:p>
            <w:r/>
            <w:r>
              <w:rPr>
                <w:rFonts w:ascii="Aptos" w:hAnsi="Aptos"/>
                <w:b w:val="0"/>
                <w:color w:val="17365D"/>
                <w:sz w:val="19"/>
              </w:rPr>
              <w:t>Logistic Regression and Random Forest</w:t>
            </w:r>
          </w:p>
        </w:tc>
      </w:tr>
      <w:tr>
        <w:tc>
          <w:tcPr>
            <w:tcW w:type="dxa" w:w="5040"/>
            <w:vAlign w:val="center"/>
            <w:shd w:fill="F3F7FB"/>
          </w:tcPr>
          <w:p>
            <w:r/>
            <w:r>
              <w:rPr>
                <w:rFonts w:ascii="Aptos" w:hAnsi="Aptos"/>
                <w:b w:val="0"/>
                <w:color w:val="17365D"/>
                <w:sz w:val="19"/>
              </w:rPr>
              <w:t>Validation</w:t>
            </w:r>
          </w:p>
        </w:tc>
        <w:tc>
          <w:tcPr>
            <w:tcW w:type="dxa" w:w="5040"/>
            <w:vAlign w:val="center"/>
            <w:shd w:fill="F3F7FB"/>
          </w:tcPr>
          <w:p>
            <w:r/>
            <w:r>
              <w:rPr>
                <w:rFonts w:ascii="Aptos" w:hAnsi="Aptos"/>
                <w:b w:val="0"/>
                <w:color w:val="17365D"/>
                <w:sz w:val="19"/>
              </w:rPr>
              <w:t>Stratified train/validation/test split + 5-fold cross-validation</w:t>
            </w:r>
          </w:p>
        </w:tc>
      </w:tr>
      <w:tr>
        <w:tc>
          <w:tcPr>
            <w:tcW w:type="dxa" w:w="5040"/>
            <w:vAlign w:val="center"/>
          </w:tcPr>
          <w:p>
            <w:r/>
            <w:r>
              <w:rPr>
                <w:rFonts w:ascii="Aptos" w:hAnsi="Aptos"/>
                <w:b w:val="0"/>
                <w:color w:val="17365D"/>
                <w:sz w:val="19"/>
              </w:rPr>
              <w:t>Primary Metrics</w:t>
            </w:r>
          </w:p>
        </w:tc>
        <w:tc>
          <w:tcPr>
            <w:tcW w:type="dxa" w:w="5040"/>
            <w:vAlign w:val="center"/>
          </w:tcPr>
          <w:p>
            <w:r/>
            <w:r>
              <w:rPr>
                <w:rFonts w:ascii="Aptos" w:hAnsi="Aptos"/>
                <w:b w:val="0"/>
                <w:color w:val="17365D"/>
                <w:sz w:val="19"/>
              </w:rPr>
              <w:t>ROC-AUC, Recall, Precision, F1-score, PR-AUC, Accuracy</w:t>
            </w:r>
          </w:p>
        </w:tc>
      </w:tr>
      <w:tr>
        <w:tc>
          <w:tcPr>
            <w:tcW w:type="dxa" w:w="5040"/>
            <w:vAlign w:val="center"/>
            <w:shd w:fill="F3F7FB"/>
          </w:tcPr>
          <w:p>
            <w:r/>
            <w:r>
              <w:rPr>
                <w:rFonts w:ascii="Aptos" w:hAnsi="Aptos"/>
                <w:b w:val="0"/>
                <w:color w:val="17365D"/>
                <w:sz w:val="19"/>
              </w:rPr>
              <w:t>Primary Goal</w:t>
            </w:r>
          </w:p>
        </w:tc>
        <w:tc>
          <w:tcPr>
            <w:tcW w:type="dxa" w:w="5040"/>
            <w:vAlign w:val="center"/>
            <w:shd w:fill="F3F7FB"/>
          </w:tcPr>
          <w:p>
            <w:r/>
            <w:r>
              <w:rPr>
                <w:rFonts w:ascii="Aptos" w:hAnsi="Aptos"/>
                <w:b w:val="0"/>
                <w:color w:val="17365D"/>
                <w:sz w:val="19"/>
              </w:rPr>
              <w:t>Reliable and interpretable risk prediction with emphasis on patient safety</w:t>
            </w:r>
          </w:p>
        </w:tc>
      </w:tr>
    </w:tbl>
    <w:p/>
    <w:p>
      <w:pPr>
        <w:jc w:val="center"/>
      </w:pPr>
      <w:r>
        <w:rPr>
          <w:i/>
          <w:color w:val="666666"/>
        </w:rPr>
        <w:t>Prepared as a practical Week 4 predictive modeling strategy</w:t>
      </w:r>
    </w:p>
    <w:p>
      <w:r>
        <w:br w:type="page"/>
      </w:r>
    </w:p>
    <w:p>
      <w:pPr>
        <w:pStyle w:val="Heading1"/>
      </w:pPr>
      <w:r>
        <w:t>Table of Contents</w:t>
      </w:r>
    </w:p>
    <w:p>
      <w:r>
        <w:t>1. Executive Summary</w:t>
      </w:r>
    </w:p>
    <w:p>
      <w:r>
        <w:t>2. Problem Definition and Objectives</w:t>
      </w:r>
    </w:p>
    <w:p>
      <w:r>
        <w:t>3. Literature Review and Healthcare ML Techniques</w:t>
      </w:r>
    </w:p>
    <w:p>
      <w:r>
        <w:t>4. Dataset Strategy and Data Dictionary</w:t>
      </w:r>
    </w:p>
    <w:p>
      <w:r>
        <w:t>5. Data Preprocessing and Feature Engineering</w:t>
      </w:r>
    </w:p>
    <w:p>
      <w:r>
        <w:t>6. Predictive Modeling Strategy</w:t>
      </w:r>
    </w:p>
    <w:p>
      <w:r>
        <w:t>7. Model Comparison</w:t>
      </w:r>
    </w:p>
    <w:p>
      <w:r>
        <w:t>8. Data Splitting and Validation Strategy</w:t>
      </w:r>
    </w:p>
    <w:p>
      <w:r>
        <w:t>9. Model Training, Hyperparameter Tuning and Selection</w:t>
      </w:r>
    </w:p>
    <w:p>
      <w:r>
        <w:t>10. Performance Evaluation Metrics</w:t>
      </w:r>
    </w:p>
    <w:p>
      <w:r>
        <w:t>11. Common Healthcare Modeling Challenges and Solutions</w:t>
      </w:r>
    </w:p>
    <w:p>
      <w:r>
        <w:t>12. Explainability, Fairness, Privacy and Clinical Safety</w:t>
      </w:r>
    </w:p>
    <w:p>
      <w:r>
        <w:t>13. Practical Python Workflow</w:t>
      </w:r>
    </w:p>
    <w:p>
      <w:r>
        <w:t>14. Expected Results and Interpretation</w:t>
      </w:r>
    </w:p>
    <w:p>
      <w:r>
        <w:t>15. Conclusion</w:t>
      </w:r>
    </w:p>
    <w:p>
      <w:r>
        <w:t>16. References</w:t>
      </w:r>
    </w:p>
    <w:p>
      <w:pPr>
        <w:pStyle w:val="Heading1"/>
      </w:pPr>
      <w:r>
        <w:t>1. Executive Summary</w:t>
      </w:r>
    </w:p>
    <w:p>
      <w:r>
        <w:t>This project proposes a scientifically sound machine learning workflow for predicting whether a patient will be readmitted to a hospital within 30 days of discharge. Early identification of patients at elevated readmission risk can support targeted follow-up, discharge planning and resource allocation. The proposed strategy uses two complementary supervised learning models: Logistic Regression as an interpretable baseline and Random Forest as a non-linear ensemble model. The workflow emphasizes leakage prevention, stratified data splitting, cross-validation, class-imbalance handling, clinically meaningful feature engineering, threshold selection and multiple evaluation metrics rather than accuracy alone.</w:t>
      </w:r>
    </w:p>
    <w:p>
      <w:r>
        <w:t>The project is designed as a decision-support research prototype, not as an autonomous clinical decision system. Any real deployment would require clinical validation, prospective testing, privacy controls, bias assessment, calibration analysis and appropriate regulatory and institutional review.</w:t>
      </w:r>
    </w:p>
    <w:p>
      <w:pPr>
        <w:pStyle w:val="Heading1"/>
      </w:pPr>
      <w:r>
        <w:t>2. Problem Definition and Objectives</w:t>
      </w:r>
    </w:p>
    <w:p>
      <w:pPr>
        <w:pStyle w:val="Heading2"/>
      </w:pPr>
      <w:r>
        <w:t>2.1 Healthcare Problem</w:t>
      </w:r>
    </w:p>
    <w:p>
      <w:r>
        <w:t>Hospital readmission is a common healthcare analytics problem. The prediction task is formulated as a binary classification problem: given information available before discharge, predict whether a patient will be readmitted within 30 days.</w:t>
      </w:r>
    </w:p>
    <w:p>
      <w:pPr>
        <w:pStyle w:val="Heading2"/>
      </w:pPr>
      <w:r>
        <w:t>2.2 Problem Statement</w:t>
      </w:r>
    </w:p>
    <w:p>
      <w:r>
        <w:t>Develop and evaluate a Python-based machine learning pipeline that estimates 30-day readmission risk from patient demographic, clinical, utilization and treatment-related variables while minimizing data leakage and maintaining interpretable evaluation.</w:t>
      </w:r>
    </w:p>
    <w:p>
      <w:pPr>
        <w:pStyle w:val="Heading2"/>
      </w:pPr>
      <w:r>
        <w:t>2.3 Objectives</w:t>
      </w:r>
    </w:p>
    <w:p>
      <w:pPr>
        <w:pStyle w:val="ListBullet"/>
        <w:spacing w:after="40"/>
      </w:pPr>
      <w:r>
        <w:t>Identify patient-level predictors associated with 30-day readmission.</w:t>
      </w:r>
    </w:p>
    <w:p>
      <w:pPr>
        <w:pStyle w:val="ListBullet"/>
        <w:spacing w:after="40"/>
      </w:pPr>
      <w:r>
        <w:t>Build an interpretable Logistic Regression baseline.</w:t>
      </w:r>
    </w:p>
    <w:p>
      <w:pPr>
        <w:pStyle w:val="ListBullet"/>
        <w:spacing w:after="40"/>
      </w:pPr>
      <w:r>
        <w:t>Build a Random Forest model capable of learning non-linear relationships and interactions.</w:t>
      </w:r>
    </w:p>
    <w:p>
      <w:pPr>
        <w:pStyle w:val="ListBullet"/>
        <w:spacing w:after="40"/>
      </w:pPr>
      <w:r>
        <w:t>Use appropriate train/validation/test splitting and cross-validation.</w:t>
      </w:r>
    </w:p>
    <w:p>
      <w:pPr>
        <w:pStyle w:val="ListBullet"/>
        <w:spacing w:after="40"/>
      </w:pPr>
      <w:r>
        <w:t>Compare models using ROC-AUC, PR-AUC, precision, recall, F1-score and accuracy.</w:t>
      </w:r>
    </w:p>
    <w:p>
      <w:pPr>
        <w:pStyle w:val="ListBullet"/>
        <w:spacing w:after="40"/>
      </w:pPr>
      <w:r>
        <w:t>Investigate class imbalance and select an operating threshold based on the intended healthcare use.</w:t>
      </w:r>
    </w:p>
    <w:p>
      <w:pPr>
        <w:pStyle w:val="ListBullet"/>
        <w:spacing w:after="40"/>
      </w:pPr>
      <w:r>
        <w:t>Document limitations, fairness considerations and risks of clinical misuse.</w:t>
      </w:r>
    </w:p>
    <w:p>
      <w:pPr>
        <w:pStyle w:val="Heading1"/>
      </w:pPr>
      <w:r>
        <w:t>3. Literature Review and Healthcare ML Techniques</w:t>
      </w:r>
    </w:p>
    <w:p>
      <w:r>
        <w:t>Machine learning in healthcare commonly involves supervised classification, regression, survival analysis, clustering and deep learning. For structured tabular clinical data, classical models remain useful because they can be comparatively efficient, interpretable and easier to validate.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r>
              <w:rPr>
                <w:color w:val="FFFFFF"/>
              </w:rPr>
            </w:r>
            <w:r>
              <w:rPr>
                <w:rFonts w:ascii="Aptos" w:hAnsi="Aptos"/>
                <w:b/>
                <w:color w:val="17365D"/>
                <w:sz w:val="19"/>
              </w:rPr>
              <w:t>Technique</w:t>
            </w:r>
          </w:p>
        </w:tc>
        <w:tc>
          <w:tcPr>
            <w:tcW w:type="dxa" w:w="2520"/>
            <w:vAlign w:val="center"/>
            <w:shd w:fill="17365D"/>
          </w:tcPr>
          <w:p>
            <w:r>
              <w:rPr>
                <w:color w:val="FFFFFF"/>
              </w:rPr>
            </w:r>
            <w:r>
              <w:rPr>
                <w:rFonts w:ascii="Aptos" w:hAnsi="Aptos"/>
                <w:b/>
                <w:color w:val="17365D"/>
                <w:sz w:val="19"/>
              </w:rPr>
              <w:t>Typical use</w:t>
            </w:r>
          </w:p>
        </w:tc>
        <w:tc>
          <w:tcPr>
            <w:tcW w:type="dxa" w:w="2520"/>
            <w:vAlign w:val="center"/>
            <w:shd w:fill="17365D"/>
          </w:tcPr>
          <w:p>
            <w:r>
              <w:rPr>
                <w:color w:val="FFFFFF"/>
              </w:rPr>
            </w:r>
            <w:r>
              <w:rPr>
                <w:rFonts w:ascii="Aptos" w:hAnsi="Aptos"/>
                <w:b/>
                <w:color w:val="17365D"/>
                <w:sz w:val="19"/>
              </w:rPr>
              <w:t>Strength</w:t>
            </w:r>
          </w:p>
        </w:tc>
        <w:tc>
          <w:tcPr>
            <w:tcW w:type="dxa" w:w="2520"/>
            <w:vAlign w:val="center"/>
            <w:shd w:fill="17365D"/>
          </w:tcPr>
          <w:p>
            <w:r>
              <w:rPr>
                <w:color w:val="FFFFFF"/>
              </w:rPr>
            </w:r>
            <w:r>
              <w:rPr>
                <w:rFonts w:ascii="Aptos" w:hAnsi="Aptos"/>
                <w:b/>
                <w:color w:val="17365D"/>
                <w:sz w:val="19"/>
              </w:rPr>
              <w:t>Limitation</w:t>
            </w:r>
          </w:p>
        </w:tc>
      </w:tr>
      <w:tr>
        <w:tc>
          <w:tcPr>
            <w:tcW w:type="dxa" w:w="2520"/>
            <w:vAlign w:val="center"/>
            <w:shd w:fill="F3F7FB"/>
          </w:tcPr>
          <w:p>
            <w:r/>
            <w:r>
              <w:rPr>
                <w:rFonts w:ascii="Aptos" w:hAnsi="Aptos"/>
                <w:b w:val="0"/>
                <w:color w:val="17365D"/>
                <w:sz w:val="19"/>
              </w:rPr>
              <w:t>Logistic Regression</w:t>
            </w:r>
          </w:p>
        </w:tc>
        <w:tc>
          <w:tcPr>
            <w:tcW w:type="dxa" w:w="2520"/>
            <w:vAlign w:val="center"/>
            <w:shd w:fill="F3F7FB"/>
          </w:tcPr>
          <w:p>
            <w:r/>
            <w:r>
              <w:rPr>
                <w:rFonts w:ascii="Aptos" w:hAnsi="Aptos"/>
                <w:b w:val="0"/>
                <w:color w:val="17365D"/>
                <w:sz w:val="19"/>
              </w:rPr>
              <w:t>Risk/class probability</w:t>
            </w:r>
          </w:p>
        </w:tc>
        <w:tc>
          <w:tcPr>
            <w:tcW w:type="dxa" w:w="2520"/>
            <w:vAlign w:val="center"/>
            <w:shd w:fill="F3F7FB"/>
          </w:tcPr>
          <w:p>
            <w:r/>
            <w:r>
              <w:rPr>
                <w:rFonts w:ascii="Aptos" w:hAnsi="Aptos"/>
                <w:b w:val="0"/>
                <w:color w:val="17365D"/>
                <w:sz w:val="19"/>
              </w:rPr>
              <w:t>Simple, interpretable baseline</w:t>
            </w:r>
          </w:p>
        </w:tc>
        <w:tc>
          <w:tcPr>
            <w:tcW w:type="dxa" w:w="2520"/>
            <w:vAlign w:val="center"/>
            <w:shd w:fill="F3F7FB"/>
          </w:tcPr>
          <w:p>
            <w:r/>
            <w:r>
              <w:rPr>
                <w:rFonts w:ascii="Aptos" w:hAnsi="Aptos"/>
                <w:b w:val="0"/>
                <w:color w:val="17365D"/>
                <w:sz w:val="19"/>
              </w:rPr>
              <w:t>Linear decision boundary</w:t>
            </w:r>
          </w:p>
        </w:tc>
      </w:tr>
      <w:tr>
        <w:tc>
          <w:tcPr>
            <w:tcW w:type="dxa" w:w="2520"/>
            <w:vAlign w:val="center"/>
          </w:tcPr>
          <w:p>
            <w:r/>
            <w:r>
              <w:rPr>
                <w:rFonts w:ascii="Aptos" w:hAnsi="Aptos"/>
                <w:b w:val="0"/>
                <w:color w:val="17365D"/>
                <w:sz w:val="19"/>
              </w:rPr>
              <w:t>Decision Tree</w:t>
            </w:r>
          </w:p>
        </w:tc>
        <w:tc>
          <w:tcPr>
            <w:tcW w:type="dxa" w:w="2520"/>
            <w:vAlign w:val="center"/>
          </w:tcPr>
          <w:p>
            <w:r/>
            <w:r>
              <w:rPr>
                <w:rFonts w:ascii="Aptos" w:hAnsi="Aptos"/>
                <w:b w:val="0"/>
                <w:color w:val="17365D"/>
                <w:sz w:val="19"/>
              </w:rPr>
              <w:t>Classification/risk rules</w:t>
            </w:r>
          </w:p>
        </w:tc>
        <w:tc>
          <w:tcPr>
            <w:tcW w:type="dxa" w:w="2520"/>
            <w:vAlign w:val="center"/>
          </w:tcPr>
          <w:p>
            <w:r/>
            <w:r>
              <w:rPr>
                <w:rFonts w:ascii="Aptos" w:hAnsi="Aptos"/>
                <w:b w:val="0"/>
                <w:color w:val="17365D"/>
                <w:sz w:val="19"/>
              </w:rPr>
              <w:t>Easy to visualize and explain</w:t>
            </w:r>
          </w:p>
        </w:tc>
        <w:tc>
          <w:tcPr>
            <w:tcW w:type="dxa" w:w="2520"/>
            <w:vAlign w:val="center"/>
          </w:tcPr>
          <w:p>
            <w:r/>
            <w:r>
              <w:rPr>
                <w:rFonts w:ascii="Aptos" w:hAnsi="Aptos"/>
                <w:b w:val="0"/>
                <w:color w:val="17365D"/>
                <w:sz w:val="19"/>
              </w:rPr>
              <w:t>Can overfit without regularization</w:t>
            </w:r>
          </w:p>
        </w:tc>
      </w:tr>
      <w:tr>
        <w:tc>
          <w:tcPr>
            <w:tcW w:type="dxa" w:w="2520"/>
            <w:vAlign w:val="center"/>
            <w:shd w:fill="F3F7FB"/>
          </w:tcPr>
          <w:p>
            <w:r/>
            <w:r>
              <w:rPr>
                <w:rFonts w:ascii="Aptos" w:hAnsi="Aptos"/>
                <w:b w:val="0"/>
                <w:color w:val="17365D"/>
                <w:sz w:val="19"/>
              </w:rPr>
              <w:t>Random Forest</w:t>
            </w:r>
          </w:p>
        </w:tc>
        <w:tc>
          <w:tcPr>
            <w:tcW w:type="dxa" w:w="2520"/>
            <w:vAlign w:val="center"/>
            <w:shd w:fill="F3F7FB"/>
          </w:tcPr>
          <w:p>
            <w:r/>
            <w:r>
              <w:rPr>
                <w:rFonts w:ascii="Aptos" w:hAnsi="Aptos"/>
                <w:b w:val="0"/>
                <w:color w:val="17365D"/>
                <w:sz w:val="19"/>
              </w:rPr>
              <w:t>Tabular classification</w:t>
            </w:r>
          </w:p>
        </w:tc>
        <w:tc>
          <w:tcPr>
            <w:tcW w:type="dxa" w:w="2520"/>
            <w:vAlign w:val="center"/>
            <w:shd w:fill="F3F7FB"/>
          </w:tcPr>
          <w:p>
            <w:r/>
            <w:r>
              <w:rPr>
                <w:rFonts w:ascii="Aptos" w:hAnsi="Aptos"/>
                <w:b w:val="0"/>
                <w:color w:val="17365D"/>
                <w:sz w:val="19"/>
              </w:rPr>
              <w:t>Non-linear patterns; robust ensemble</w:t>
            </w:r>
          </w:p>
        </w:tc>
        <w:tc>
          <w:tcPr>
            <w:tcW w:type="dxa" w:w="2520"/>
            <w:vAlign w:val="center"/>
            <w:shd w:fill="F3F7FB"/>
          </w:tcPr>
          <w:p>
            <w:r/>
            <w:r>
              <w:rPr>
                <w:rFonts w:ascii="Aptos" w:hAnsi="Aptos"/>
                <w:b w:val="0"/>
                <w:color w:val="17365D"/>
                <w:sz w:val="19"/>
              </w:rPr>
              <w:t>Less transparent than a single tree</w:t>
            </w:r>
          </w:p>
        </w:tc>
      </w:tr>
      <w:tr>
        <w:tc>
          <w:tcPr>
            <w:tcW w:type="dxa" w:w="2520"/>
            <w:vAlign w:val="center"/>
          </w:tcPr>
          <w:p>
            <w:r/>
            <w:r>
              <w:rPr>
                <w:rFonts w:ascii="Aptos" w:hAnsi="Aptos"/>
                <w:b w:val="0"/>
                <w:color w:val="17365D"/>
                <w:sz w:val="19"/>
              </w:rPr>
              <w:t>Gradient Boosting</w:t>
            </w:r>
          </w:p>
        </w:tc>
        <w:tc>
          <w:tcPr>
            <w:tcW w:type="dxa" w:w="2520"/>
            <w:vAlign w:val="center"/>
          </w:tcPr>
          <w:p>
            <w:r/>
            <w:r>
              <w:rPr>
                <w:rFonts w:ascii="Aptos" w:hAnsi="Aptos"/>
                <w:b w:val="0"/>
                <w:color w:val="17365D"/>
                <w:sz w:val="19"/>
              </w:rPr>
              <w:t>Risk prediction</w:t>
            </w:r>
          </w:p>
        </w:tc>
        <w:tc>
          <w:tcPr>
            <w:tcW w:type="dxa" w:w="2520"/>
            <w:vAlign w:val="center"/>
          </w:tcPr>
          <w:p>
            <w:r/>
            <w:r>
              <w:rPr>
                <w:rFonts w:ascii="Aptos" w:hAnsi="Aptos"/>
                <w:b w:val="0"/>
                <w:color w:val="17365D"/>
                <w:sz w:val="19"/>
              </w:rPr>
              <w:t>Strong predictive performance on tabular data</w:t>
            </w:r>
          </w:p>
        </w:tc>
        <w:tc>
          <w:tcPr>
            <w:tcW w:type="dxa" w:w="2520"/>
            <w:vAlign w:val="center"/>
          </w:tcPr>
          <w:p>
            <w:r/>
            <w:r>
              <w:rPr>
                <w:rFonts w:ascii="Aptos" w:hAnsi="Aptos"/>
                <w:b w:val="0"/>
                <w:color w:val="17365D"/>
                <w:sz w:val="19"/>
              </w:rPr>
              <w:t>More tuning and explainability work</w:t>
            </w:r>
          </w:p>
        </w:tc>
      </w:tr>
      <w:tr>
        <w:tc>
          <w:tcPr>
            <w:tcW w:type="dxa" w:w="2520"/>
            <w:vAlign w:val="center"/>
            <w:shd w:fill="F3F7FB"/>
          </w:tcPr>
          <w:p>
            <w:r/>
            <w:r>
              <w:rPr>
                <w:rFonts w:ascii="Aptos" w:hAnsi="Aptos"/>
                <w:b w:val="0"/>
                <w:color w:val="17365D"/>
                <w:sz w:val="19"/>
              </w:rPr>
              <w:t>SVM</w:t>
            </w:r>
          </w:p>
        </w:tc>
        <w:tc>
          <w:tcPr>
            <w:tcW w:type="dxa" w:w="2520"/>
            <w:vAlign w:val="center"/>
            <w:shd w:fill="F3F7FB"/>
          </w:tcPr>
          <w:p>
            <w:r/>
            <w:r>
              <w:rPr>
                <w:rFonts w:ascii="Aptos" w:hAnsi="Aptos"/>
                <w:b w:val="0"/>
                <w:color w:val="17365D"/>
                <w:sz w:val="19"/>
              </w:rPr>
              <w:t>Binary classification</w:t>
            </w:r>
          </w:p>
        </w:tc>
        <w:tc>
          <w:tcPr>
            <w:tcW w:type="dxa" w:w="2520"/>
            <w:vAlign w:val="center"/>
            <w:shd w:fill="F3F7FB"/>
          </w:tcPr>
          <w:p>
            <w:r/>
            <w:r>
              <w:rPr>
                <w:rFonts w:ascii="Aptos" w:hAnsi="Aptos"/>
                <w:b w:val="0"/>
                <w:color w:val="17365D"/>
                <w:sz w:val="19"/>
              </w:rPr>
              <w:t>Effective in some high-dimensional settings</w:t>
            </w:r>
          </w:p>
        </w:tc>
        <w:tc>
          <w:tcPr>
            <w:tcW w:type="dxa" w:w="2520"/>
            <w:vAlign w:val="center"/>
            <w:shd w:fill="F3F7FB"/>
          </w:tcPr>
          <w:p>
            <w:r/>
            <w:r>
              <w:rPr>
                <w:rFonts w:ascii="Aptos" w:hAnsi="Aptos"/>
                <w:b w:val="0"/>
                <w:color w:val="17365D"/>
                <w:sz w:val="19"/>
              </w:rPr>
              <w:t>Scaling and probability interpretation can be harder</w:t>
            </w:r>
          </w:p>
        </w:tc>
      </w:tr>
      <w:tr>
        <w:tc>
          <w:tcPr>
            <w:tcW w:type="dxa" w:w="2520"/>
            <w:vAlign w:val="center"/>
          </w:tcPr>
          <w:p>
            <w:r/>
            <w:r>
              <w:rPr>
                <w:rFonts w:ascii="Aptos" w:hAnsi="Aptos"/>
                <w:b w:val="0"/>
                <w:color w:val="17365D"/>
                <w:sz w:val="19"/>
              </w:rPr>
              <w:t>Neural Networks</w:t>
            </w:r>
          </w:p>
        </w:tc>
        <w:tc>
          <w:tcPr>
            <w:tcW w:type="dxa" w:w="2520"/>
            <w:vAlign w:val="center"/>
          </w:tcPr>
          <w:p>
            <w:r/>
            <w:r>
              <w:rPr>
                <w:rFonts w:ascii="Aptos" w:hAnsi="Aptos"/>
                <w:b w:val="0"/>
                <w:color w:val="17365D"/>
                <w:sz w:val="19"/>
              </w:rPr>
              <w:t>Complex/high-dimensional data</w:t>
            </w:r>
          </w:p>
        </w:tc>
        <w:tc>
          <w:tcPr>
            <w:tcW w:type="dxa" w:w="2520"/>
            <w:vAlign w:val="center"/>
          </w:tcPr>
          <w:p>
            <w:r/>
            <w:r>
              <w:rPr>
                <w:rFonts w:ascii="Aptos" w:hAnsi="Aptos"/>
                <w:b w:val="0"/>
                <w:color w:val="17365D"/>
                <w:sz w:val="19"/>
              </w:rPr>
              <w:t>Flexible representation learning</w:t>
            </w:r>
          </w:p>
        </w:tc>
        <w:tc>
          <w:tcPr>
            <w:tcW w:type="dxa" w:w="2520"/>
            <w:vAlign w:val="center"/>
          </w:tcPr>
          <w:p>
            <w:r/>
            <w:r>
              <w:rPr>
                <w:rFonts w:ascii="Aptos" w:hAnsi="Aptos"/>
                <w:b w:val="0"/>
                <w:color w:val="17365D"/>
                <w:sz w:val="19"/>
              </w:rPr>
              <w:t>More data, tuning and explainability often required</w:t>
            </w:r>
          </w:p>
        </w:tc>
      </w:tr>
    </w:tbl>
    <w:p>
      <w:r>
        <w:t>For this assignment, Logistic Regression and Random Forest are selected because they provide a useful contrast: one offers a transparent linear baseline, while the other captures non-linear relationships and feature interactions without requiring manual specification of every interaction.</w:t>
      </w:r>
    </w:p>
    <w:p>
      <w:pPr>
        <w:pStyle w:val="Heading1"/>
      </w:pPr>
      <w:r>
        <w:t>4. Dataset Strategy and Data Dictionary</w:t>
      </w:r>
    </w:p>
    <w:p>
      <w:r>
        <w:t>A practical implementation can use a de-identified public hospital readmission dataset such as the UCI Diabetes 130-US Hospitals for Years 1999–2008 dataset, or a comparable openly licensed healthcare dataset. Before use, the exact dataset version, license, preprocessing decisions and target definition should be documented.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Pr>
                <w:color w:val="FFFFFF"/>
              </w:rPr>
            </w:r>
            <w:r>
              <w:rPr>
                <w:rFonts w:ascii="Aptos" w:hAnsi="Aptos"/>
                <w:b/>
                <w:color w:val="17365D"/>
                <w:sz w:val="19"/>
              </w:rPr>
              <w:t>Feature group</w:t>
            </w:r>
          </w:p>
        </w:tc>
        <w:tc>
          <w:tcPr>
            <w:tcW w:type="dxa" w:w="3360"/>
            <w:vAlign w:val="center"/>
            <w:shd w:fill="17365D"/>
          </w:tcPr>
          <w:p>
            <w:r>
              <w:rPr>
                <w:color w:val="FFFFFF"/>
              </w:rPr>
            </w:r>
            <w:r>
              <w:rPr>
                <w:rFonts w:ascii="Aptos" w:hAnsi="Aptos"/>
                <w:b/>
                <w:color w:val="17365D"/>
                <w:sz w:val="19"/>
              </w:rPr>
              <w:t>Examples</w:t>
            </w:r>
          </w:p>
        </w:tc>
        <w:tc>
          <w:tcPr>
            <w:tcW w:type="dxa" w:w="3360"/>
            <w:vAlign w:val="center"/>
            <w:shd w:fill="17365D"/>
          </w:tcPr>
          <w:p>
            <w:r>
              <w:rPr>
                <w:color w:val="FFFFFF"/>
              </w:rPr>
            </w:r>
            <w:r>
              <w:rPr>
                <w:rFonts w:ascii="Aptos" w:hAnsi="Aptos"/>
                <w:b/>
                <w:color w:val="17365D"/>
                <w:sz w:val="19"/>
              </w:rPr>
              <w:t>Role</w:t>
            </w:r>
          </w:p>
        </w:tc>
      </w:tr>
      <w:tr>
        <w:tc>
          <w:tcPr>
            <w:tcW w:type="dxa" w:w="3360"/>
            <w:vAlign w:val="center"/>
            <w:shd w:fill="F3F7FB"/>
          </w:tcPr>
          <w:p>
            <w:r/>
            <w:r>
              <w:rPr>
                <w:rFonts w:ascii="Aptos" w:hAnsi="Aptos"/>
                <w:b w:val="0"/>
                <w:color w:val="17365D"/>
                <w:sz w:val="19"/>
              </w:rPr>
              <w:t>Demographics</w:t>
            </w:r>
          </w:p>
        </w:tc>
        <w:tc>
          <w:tcPr>
            <w:tcW w:type="dxa" w:w="3360"/>
            <w:vAlign w:val="center"/>
            <w:shd w:fill="F3F7FB"/>
          </w:tcPr>
          <w:p>
            <w:r/>
            <w:r>
              <w:rPr>
                <w:rFonts w:ascii="Aptos" w:hAnsi="Aptos"/>
                <w:b w:val="0"/>
                <w:color w:val="17365D"/>
                <w:sz w:val="19"/>
              </w:rPr>
              <w:t>Age group, sex, race</w:t>
            </w:r>
          </w:p>
        </w:tc>
        <w:tc>
          <w:tcPr>
            <w:tcW w:type="dxa" w:w="3360"/>
            <w:vAlign w:val="center"/>
            <w:shd w:fill="F3F7FB"/>
          </w:tcPr>
          <w:p>
            <w:r/>
            <w:r>
              <w:rPr>
                <w:rFonts w:ascii="Aptos" w:hAnsi="Aptos"/>
                <w:b w:val="0"/>
                <w:color w:val="17365D"/>
                <w:sz w:val="19"/>
              </w:rPr>
              <w:t>Patient characteristics</w:t>
            </w:r>
          </w:p>
        </w:tc>
      </w:tr>
      <w:tr>
        <w:tc>
          <w:tcPr>
            <w:tcW w:type="dxa" w:w="3360"/>
            <w:vAlign w:val="center"/>
          </w:tcPr>
          <w:p>
            <w:r/>
            <w:r>
              <w:rPr>
                <w:rFonts w:ascii="Aptos" w:hAnsi="Aptos"/>
                <w:b w:val="0"/>
                <w:color w:val="17365D"/>
                <w:sz w:val="19"/>
              </w:rPr>
              <w:t>Utilization</w:t>
            </w:r>
          </w:p>
        </w:tc>
        <w:tc>
          <w:tcPr>
            <w:tcW w:type="dxa" w:w="3360"/>
            <w:vAlign w:val="center"/>
          </w:tcPr>
          <w:p>
            <w:r/>
            <w:r>
              <w:rPr>
                <w:rFonts w:ascii="Aptos" w:hAnsi="Aptos"/>
                <w:b w:val="0"/>
                <w:color w:val="17365D"/>
                <w:sz w:val="19"/>
              </w:rPr>
              <w:t>Prior inpatient visits, emergency visits, outpatient visits</w:t>
            </w:r>
          </w:p>
        </w:tc>
        <w:tc>
          <w:tcPr>
            <w:tcW w:type="dxa" w:w="3360"/>
            <w:vAlign w:val="center"/>
          </w:tcPr>
          <w:p>
            <w:r/>
            <w:r>
              <w:rPr>
                <w:rFonts w:ascii="Aptos" w:hAnsi="Aptos"/>
                <w:b w:val="0"/>
                <w:color w:val="17365D"/>
                <w:sz w:val="19"/>
              </w:rPr>
              <w:t>Healthcare utilization history</w:t>
            </w:r>
          </w:p>
        </w:tc>
      </w:tr>
      <w:tr>
        <w:tc>
          <w:tcPr>
            <w:tcW w:type="dxa" w:w="3360"/>
            <w:vAlign w:val="center"/>
            <w:shd w:fill="F3F7FB"/>
          </w:tcPr>
          <w:p>
            <w:r/>
            <w:r>
              <w:rPr>
                <w:rFonts w:ascii="Aptos" w:hAnsi="Aptos"/>
                <w:b w:val="0"/>
                <w:color w:val="17365D"/>
                <w:sz w:val="19"/>
              </w:rPr>
              <w:t>Clinical</w:t>
            </w:r>
          </w:p>
        </w:tc>
        <w:tc>
          <w:tcPr>
            <w:tcW w:type="dxa" w:w="3360"/>
            <w:vAlign w:val="center"/>
            <w:shd w:fill="F3F7FB"/>
          </w:tcPr>
          <w:p>
            <w:r/>
            <w:r>
              <w:rPr>
                <w:rFonts w:ascii="Aptos" w:hAnsi="Aptos"/>
                <w:b w:val="0"/>
                <w:color w:val="17365D"/>
                <w:sz w:val="19"/>
              </w:rPr>
              <w:t>Number of diagnoses, medications, procedures</w:t>
            </w:r>
          </w:p>
        </w:tc>
        <w:tc>
          <w:tcPr>
            <w:tcW w:type="dxa" w:w="3360"/>
            <w:vAlign w:val="center"/>
            <w:shd w:fill="F3F7FB"/>
          </w:tcPr>
          <w:p>
            <w:r/>
            <w:r>
              <w:rPr>
                <w:rFonts w:ascii="Aptos" w:hAnsi="Aptos"/>
                <w:b w:val="0"/>
                <w:color w:val="17365D"/>
                <w:sz w:val="19"/>
              </w:rPr>
              <w:t>Clinical complexity proxies</w:t>
            </w:r>
          </w:p>
        </w:tc>
      </w:tr>
      <w:tr>
        <w:tc>
          <w:tcPr>
            <w:tcW w:type="dxa" w:w="3360"/>
            <w:vAlign w:val="center"/>
          </w:tcPr>
          <w:p>
            <w:r/>
            <w:r>
              <w:rPr>
                <w:rFonts w:ascii="Aptos" w:hAnsi="Aptos"/>
                <w:b w:val="0"/>
                <w:color w:val="17365D"/>
                <w:sz w:val="19"/>
              </w:rPr>
              <w:t>Hospitalization</w:t>
            </w:r>
          </w:p>
        </w:tc>
        <w:tc>
          <w:tcPr>
            <w:tcW w:type="dxa" w:w="3360"/>
            <w:vAlign w:val="center"/>
          </w:tcPr>
          <w:p>
            <w:r/>
            <w:r>
              <w:rPr>
                <w:rFonts w:ascii="Aptos" w:hAnsi="Aptos"/>
                <w:b w:val="0"/>
                <w:color w:val="17365D"/>
                <w:sz w:val="19"/>
              </w:rPr>
              <w:t>Length of stay, admission/discharge information</w:t>
            </w:r>
          </w:p>
        </w:tc>
        <w:tc>
          <w:tcPr>
            <w:tcW w:type="dxa" w:w="3360"/>
            <w:vAlign w:val="center"/>
          </w:tcPr>
          <w:p>
            <w:r/>
            <w:r>
              <w:rPr>
                <w:rFonts w:ascii="Aptos" w:hAnsi="Aptos"/>
                <w:b w:val="0"/>
                <w:color w:val="17365D"/>
                <w:sz w:val="19"/>
              </w:rPr>
              <w:t>Encounter characteristics</w:t>
            </w:r>
          </w:p>
        </w:tc>
      </w:tr>
      <w:tr>
        <w:tc>
          <w:tcPr>
            <w:tcW w:type="dxa" w:w="3360"/>
            <w:vAlign w:val="center"/>
            <w:shd w:fill="F3F7FB"/>
          </w:tcPr>
          <w:p>
            <w:r/>
            <w:r>
              <w:rPr>
                <w:rFonts w:ascii="Aptos" w:hAnsi="Aptos"/>
                <w:b w:val="0"/>
                <w:color w:val="17365D"/>
                <w:sz w:val="19"/>
              </w:rPr>
              <w:t>Treatment</w:t>
            </w:r>
          </w:p>
        </w:tc>
        <w:tc>
          <w:tcPr>
            <w:tcW w:type="dxa" w:w="3360"/>
            <w:vAlign w:val="center"/>
            <w:shd w:fill="F3F7FB"/>
          </w:tcPr>
          <w:p>
            <w:r/>
            <w:r>
              <w:rPr>
                <w:rFonts w:ascii="Aptos" w:hAnsi="Aptos"/>
                <w:b w:val="0"/>
                <w:color w:val="17365D"/>
                <w:sz w:val="19"/>
              </w:rPr>
              <w:t>Medication-related variables</w:t>
            </w:r>
          </w:p>
        </w:tc>
        <w:tc>
          <w:tcPr>
            <w:tcW w:type="dxa" w:w="3360"/>
            <w:vAlign w:val="center"/>
            <w:shd w:fill="F3F7FB"/>
          </w:tcPr>
          <w:p>
            <w:r/>
            <w:r>
              <w:rPr>
                <w:rFonts w:ascii="Aptos" w:hAnsi="Aptos"/>
                <w:b w:val="0"/>
                <w:color w:val="17365D"/>
                <w:sz w:val="19"/>
              </w:rPr>
              <w:t>Treatment context</w:t>
            </w:r>
          </w:p>
        </w:tc>
      </w:tr>
      <w:tr>
        <w:tc>
          <w:tcPr>
            <w:tcW w:type="dxa" w:w="3360"/>
            <w:vAlign w:val="center"/>
          </w:tcPr>
          <w:p>
            <w:r/>
            <w:r>
              <w:rPr>
                <w:rFonts w:ascii="Aptos" w:hAnsi="Aptos"/>
                <w:b w:val="0"/>
                <w:color w:val="17365D"/>
                <w:sz w:val="19"/>
              </w:rPr>
              <w:t>Target</w:t>
            </w:r>
          </w:p>
        </w:tc>
        <w:tc>
          <w:tcPr>
            <w:tcW w:type="dxa" w:w="3360"/>
            <w:vAlign w:val="center"/>
          </w:tcPr>
          <w:p>
            <w:r/>
            <w:r>
              <w:rPr>
                <w:rFonts w:ascii="Aptos" w:hAnsi="Aptos"/>
                <w:b w:val="0"/>
                <w:color w:val="17365D"/>
                <w:sz w:val="19"/>
              </w:rPr>
              <w:t>Readmitted within 30 days: Yes/No</w:t>
            </w:r>
          </w:p>
        </w:tc>
        <w:tc>
          <w:tcPr>
            <w:tcW w:type="dxa" w:w="3360"/>
            <w:vAlign w:val="center"/>
          </w:tcPr>
          <w:p>
            <w:r/>
            <w:r>
              <w:rPr>
                <w:rFonts w:ascii="Aptos" w:hAnsi="Aptos"/>
                <w:b w:val="0"/>
                <w:color w:val="17365D"/>
                <w:sz w:val="19"/>
              </w:rPr>
              <w:t>Binary prediction target</w:t>
            </w:r>
          </w:p>
        </w:tc>
      </w:tr>
    </w:tbl>
    <w:p>
      <w:r>
        <w:t>Important: variables that are only known after discharge or that directly reveal the future outcome must not be used as predictors. The target should be constructed so that the model receives only information available at the prediction time.</w:t>
      </w:r>
    </w:p>
    <w:p>
      <w:pPr>
        <w:pStyle w:val="Heading1"/>
      </w:pPr>
      <w:r>
        <w:t>5. Data Preprocessing and Feature Engineering</w:t>
      </w:r>
    </w:p>
    <w:p>
      <w:pPr>
        <w:pStyle w:val="Heading2"/>
      </w:pPr>
      <w:r>
        <w:t>5.1 Data Quality Checks</w:t>
      </w:r>
    </w:p>
    <w:p>
      <w:pPr>
        <w:pStyle w:val="ListBullet"/>
        <w:spacing w:after="40"/>
      </w:pPr>
      <w:r>
        <w:t>Inspect shape, data types, missing values, duplicate records and impossible values.</w:t>
      </w:r>
    </w:p>
    <w:p>
      <w:pPr>
        <w:pStyle w:val="ListBullet"/>
        <w:spacing w:after="40"/>
      </w:pPr>
      <w:r>
        <w:t>Check the target distribution and calculate the proportion of positive readmission cases.</w:t>
      </w:r>
    </w:p>
    <w:p>
      <w:pPr>
        <w:pStyle w:val="ListBullet"/>
        <w:spacing w:after="40"/>
      </w:pPr>
      <w:r>
        <w:t>Review categorical levels for rare or inconsistent categories.</w:t>
      </w:r>
    </w:p>
    <w:p>
      <w:pPr>
        <w:pStyle w:val="ListBullet"/>
        <w:spacing w:after="40"/>
      </w:pPr>
      <w:r>
        <w:t>Document whether missingness has clinical meaning rather than automatically treating every missing value as random.</w:t>
      </w:r>
    </w:p>
    <w:p>
      <w:pPr>
        <w:pStyle w:val="Heading2"/>
      </w:pPr>
      <w:r>
        <w:t>5.2 Missing Values</w:t>
      </w:r>
    </w:p>
    <w:p>
      <w:r>
        <w:t>Numerical features can be imputed using training-set median values. Categorical features can be imputed using the most frequent category or an explicit 'Unknown' category. Imputation must be fitted only on the training data inside the modeling pipeline to prevent information leakage.</w:t>
      </w:r>
    </w:p>
    <w:p>
      <w:pPr>
        <w:pStyle w:val="Heading2"/>
      </w:pPr>
      <w:r>
        <w:t>5.3 Encoding and Scaling</w:t>
      </w:r>
    </w:p>
    <w:p>
      <w:r>
        <w:t>Categorical variables can be transformed using one-hot encoding. Logistic Regression benefits from standardized numeric features, while Random Forest does not require feature scaling. A ColumnTransformer and Pipeline in scikit-learn can keep these transformations reproducible and leakage-resistant.</w:t>
      </w:r>
    </w:p>
    <w:p>
      <w:pPr>
        <w:pStyle w:val="Heading2"/>
      </w:pPr>
      <w:r>
        <w:t>5.4 Feature Engineering</w:t>
      </w:r>
    </w:p>
    <w:p>
      <w:pPr>
        <w:pStyle w:val="ListBullet"/>
        <w:spacing w:after="40"/>
      </w:pPr>
      <w:r>
        <w:t>Utilization intensity: combine recent emergency, inpatient and outpatient encounter counts where clinically justified.</w:t>
      </w:r>
    </w:p>
    <w:p>
      <w:pPr>
        <w:pStyle w:val="ListBullet"/>
        <w:spacing w:after="40"/>
      </w:pPr>
      <w:r>
        <w:t>Comorbidity burden: create a count or validated index from diagnosis information when appropriate.</w:t>
      </w:r>
    </w:p>
    <w:p>
      <w:pPr>
        <w:pStyle w:val="ListBullet"/>
        <w:spacing w:after="40"/>
      </w:pPr>
      <w:r>
        <w:t>Age grouping: convert raw age into clinically meaningful bands if this improves interpretability.</w:t>
      </w:r>
    </w:p>
    <w:p>
      <w:pPr>
        <w:pStyle w:val="ListBullet"/>
        <w:spacing w:after="40"/>
      </w:pPr>
      <w:r>
        <w:t>Medication burden: derive the number of active medications when the definition is consistent.</w:t>
      </w:r>
    </w:p>
    <w:p>
      <w:pPr>
        <w:pStyle w:val="ListBullet"/>
        <w:spacing w:after="40"/>
      </w:pPr>
      <w:r>
        <w:t>Prior utilization indicators: binary variables such as whether a patient had a previous inpatient admission.</w:t>
      </w:r>
    </w:p>
    <w:p>
      <w:r>
        <w:t>Feature engineering should be performed using domain knowledge and should be reproducible. Highly correlated or redundant variables should be reviewed, and features with post-outcome information must be excluded.</w:t>
      </w:r>
    </w:p>
    <w:p>
      <w:pPr>
        <w:pStyle w:val="Heading1"/>
      </w:pPr>
      <w:r>
        <w:t>6. Predictive Modeling Strategy</w:t>
      </w:r>
    </w:p>
    <w:p>
      <w:pPr>
        <w:pStyle w:val="Heading2"/>
      </w:pPr>
      <w:r>
        <w:t>6.1 Model 1 — Logistic Regression</w:t>
      </w:r>
    </w:p>
    <w:p>
      <w:r>
        <w:t>Logistic Regression estimates the probability of the positive class using a logistic function. It is selected as the baseline because coefficients can be inspected to understand the direction and relative contribution of features after preprocessing.</w:t>
      </w:r>
    </w:p>
    <w:p>
      <w:r>
        <w:t>General form:  p(y=1|x) = 1 / (1 + e^-(β0 + β1x1 + ... + βpxp))</w:t>
      </w:r>
    </w:p>
    <w:p>
      <w:r>
        <w:t>The model can use L2 regularization to reduce overfitting. Class weighting can be tested when the positive class is under-represented.</w:t>
      </w:r>
    </w:p>
    <w:p>
      <w:pPr>
        <w:pStyle w:val="Heading2"/>
      </w:pPr>
      <w:r>
        <w:t>6.2 Model 2 — Random Forest</w:t>
      </w:r>
    </w:p>
    <w:p>
      <w:r>
        <w:t>Random Forest combines many decision trees trained on different bootstrap samples and feature subsets. It is selected because healthcare tabular data can contain non-linear relationships, interactions and mixed feature effects that may not be captured by a linear model.</w:t>
      </w:r>
    </w:p>
    <w:p>
      <w:r>
        <w:t>Important hyperparameters include n_estimators, max_depth, min_samples_split, min_samples_leaf, max_features and class_weight. Random Forest does not require feature scaling.</w:t>
      </w:r>
    </w:p>
    <w:p>
      <w:pPr>
        <w:pStyle w:val="Heading1"/>
      </w:pPr>
      <w:r>
        <w:t>7. Model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Pr>
                <w:color w:val="FFFFFF"/>
              </w:rPr>
            </w:r>
            <w:r>
              <w:rPr>
                <w:rFonts w:ascii="Aptos" w:hAnsi="Aptos"/>
                <w:b/>
                <w:color w:val="17365D"/>
                <w:sz w:val="19"/>
              </w:rPr>
              <w:t>Criterion</w:t>
            </w:r>
          </w:p>
        </w:tc>
        <w:tc>
          <w:tcPr>
            <w:tcW w:type="dxa" w:w="3360"/>
            <w:vAlign w:val="center"/>
            <w:shd w:fill="17365D"/>
          </w:tcPr>
          <w:p>
            <w:r>
              <w:rPr>
                <w:color w:val="FFFFFF"/>
              </w:rPr>
            </w:r>
            <w:r>
              <w:rPr>
                <w:rFonts w:ascii="Aptos" w:hAnsi="Aptos"/>
                <w:b/>
                <w:color w:val="17365D"/>
                <w:sz w:val="19"/>
              </w:rPr>
              <w:t>Logistic Regression</w:t>
            </w:r>
          </w:p>
        </w:tc>
        <w:tc>
          <w:tcPr>
            <w:tcW w:type="dxa" w:w="3360"/>
            <w:vAlign w:val="center"/>
            <w:shd w:fill="17365D"/>
          </w:tcPr>
          <w:p>
            <w:r>
              <w:rPr>
                <w:color w:val="FFFFFF"/>
              </w:rPr>
            </w:r>
            <w:r>
              <w:rPr>
                <w:rFonts w:ascii="Aptos" w:hAnsi="Aptos"/>
                <w:b/>
                <w:color w:val="17365D"/>
                <w:sz w:val="19"/>
              </w:rPr>
              <w:t>Random Forest</w:t>
            </w:r>
          </w:p>
        </w:tc>
      </w:tr>
      <w:tr>
        <w:tc>
          <w:tcPr>
            <w:tcW w:type="dxa" w:w="3360"/>
            <w:vAlign w:val="center"/>
            <w:shd w:fill="F3F7FB"/>
          </w:tcPr>
          <w:p>
            <w:r/>
            <w:r>
              <w:rPr>
                <w:rFonts w:ascii="Aptos" w:hAnsi="Aptos"/>
                <w:b w:val="0"/>
                <w:color w:val="17365D"/>
                <w:sz w:val="19"/>
              </w:rPr>
              <w:t>Model type</w:t>
            </w:r>
          </w:p>
        </w:tc>
        <w:tc>
          <w:tcPr>
            <w:tcW w:type="dxa" w:w="3360"/>
            <w:vAlign w:val="center"/>
            <w:shd w:fill="F3F7FB"/>
          </w:tcPr>
          <w:p>
            <w:r/>
            <w:r>
              <w:rPr>
                <w:rFonts w:ascii="Aptos" w:hAnsi="Aptos"/>
                <w:b w:val="0"/>
                <w:color w:val="17365D"/>
                <w:sz w:val="19"/>
              </w:rPr>
              <w:t>Linear probabilistic classifier</w:t>
            </w:r>
          </w:p>
        </w:tc>
        <w:tc>
          <w:tcPr>
            <w:tcW w:type="dxa" w:w="3360"/>
            <w:vAlign w:val="center"/>
            <w:shd w:fill="F3F7FB"/>
          </w:tcPr>
          <w:p>
            <w:r/>
            <w:r>
              <w:rPr>
                <w:rFonts w:ascii="Aptos" w:hAnsi="Aptos"/>
                <w:b w:val="0"/>
                <w:color w:val="17365D"/>
                <w:sz w:val="19"/>
              </w:rPr>
              <w:t>Tree-based ensemble</w:t>
            </w:r>
          </w:p>
        </w:tc>
      </w:tr>
      <w:tr>
        <w:tc>
          <w:tcPr>
            <w:tcW w:type="dxa" w:w="3360"/>
            <w:vAlign w:val="center"/>
          </w:tcPr>
          <w:p>
            <w:r/>
            <w:r>
              <w:rPr>
                <w:rFonts w:ascii="Aptos" w:hAnsi="Aptos"/>
                <w:b w:val="0"/>
                <w:color w:val="17365D"/>
                <w:sz w:val="19"/>
              </w:rPr>
              <w:t>Interpretability</w:t>
            </w:r>
          </w:p>
        </w:tc>
        <w:tc>
          <w:tcPr>
            <w:tcW w:type="dxa" w:w="3360"/>
            <w:vAlign w:val="center"/>
          </w:tcPr>
          <w:p>
            <w:r/>
            <w:r>
              <w:rPr>
                <w:rFonts w:ascii="Aptos" w:hAnsi="Aptos"/>
                <w:b w:val="0"/>
                <w:color w:val="17365D"/>
                <w:sz w:val="19"/>
              </w:rPr>
              <w:t>High; coefficients can be inspected</w:t>
            </w:r>
          </w:p>
        </w:tc>
        <w:tc>
          <w:tcPr>
            <w:tcW w:type="dxa" w:w="3360"/>
            <w:vAlign w:val="center"/>
          </w:tcPr>
          <w:p>
            <w:r/>
            <w:r>
              <w:rPr>
                <w:rFonts w:ascii="Aptos" w:hAnsi="Aptos"/>
                <w:b w:val="0"/>
                <w:color w:val="17365D"/>
                <w:sz w:val="19"/>
              </w:rPr>
              <w:t>Moderate; feature importance/SHAP can help</w:t>
            </w:r>
          </w:p>
        </w:tc>
      </w:tr>
      <w:tr>
        <w:tc>
          <w:tcPr>
            <w:tcW w:type="dxa" w:w="3360"/>
            <w:vAlign w:val="center"/>
            <w:shd w:fill="F3F7FB"/>
          </w:tcPr>
          <w:p>
            <w:r/>
            <w:r>
              <w:rPr>
                <w:rFonts w:ascii="Aptos" w:hAnsi="Aptos"/>
                <w:b w:val="0"/>
                <w:color w:val="17365D"/>
                <w:sz w:val="19"/>
              </w:rPr>
              <w:t>Non-linear patterns</w:t>
            </w:r>
          </w:p>
        </w:tc>
        <w:tc>
          <w:tcPr>
            <w:tcW w:type="dxa" w:w="3360"/>
            <w:vAlign w:val="center"/>
            <w:shd w:fill="F3F7FB"/>
          </w:tcPr>
          <w:p>
            <w:r/>
            <w:r>
              <w:rPr>
                <w:rFonts w:ascii="Aptos" w:hAnsi="Aptos"/>
                <w:b w:val="0"/>
                <w:color w:val="17365D"/>
                <w:sz w:val="19"/>
              </w:rPr>
              <w:t>Limited unless features are transformed</w:t>
            </w:r>
          </w:p>
        </w:tc>
        <w:tc>
          <w:tcPr>
            <w:tcW w:type="dxa" w:w="3360"/>
            <w:vAlign w:val="center"/>
            <w:shd w:fill="F3F7FB"/>
          </w:tcPr>
          <w:p>
            <w:r/>
            <w:r>
              <w:rPr>
                <w:rFonts w:ascii="Aptos" w:hAnsi="Aptos"/>
                <w:b w:val="0"/>
                <w:color w:val="17365D"/>
                <w:sz w:val="19"/>
              </w:rPr>
              <w:t>Yes</w:t>
            </w:r>
          </w:p>
        </w:tc>
      </w:tr>
      <w:tr>
        <w:tc>
          <w:tcPr>
            <w:tcW w:type="dxa" w:w="3360"/>
            <w:vAlign w:val="center"/>
          </w:tcPr>
          <w:p>
            <w:r/>
            <w:r>
              <w:rPr>
                <w:rFonts w:ascii="Aptos" w:hAnsi="Aptos"/>
                <w:b w:val="0"/>
                <w:color w:val="17365D"/>
                <w:sz w:val="19"/>
              </w:rPr>
              <w:t>Feature interactions</w:t>
            </w:r>
          </w:p>
        </w:tc>
        <w:tc>
          <w:tcPr>
            <w:tcW w:type="dxa" w:w="3360"/>
            <w:vAlign w:val="center"/>
          </w:tcPr>
          <w:p>
            <w:r/>
            <w:r>
              <w:rPr>
                <w:rFonts w:ascii="Aptos" w:hAnsi="Aptos"/>
                <w:b w:val="0"/>
                <w:color w:val="17365D"/>
                <w:sz w:val="19"/>
              </w:rPr>
              <w:t>Need explicit interaction terms</w:t>
            </w:r>
          </w:p>
        </w:tc>
        <w:tc>
          <w:tcPr>
            <w:tcW w:type="dxa" w:w="3360"/>
            <w:vAlign w:val="center"/>
          </w:tcPr>
          <w:p>
            <w:r/>
            <w:r>
              <w:rPr>
                <w:rFonts w:ascii="Aptos" w:hAnsi="Aptos"/>
                <w:b w:val="0"/>
                <w:color w:val="17365D"/>
                <w:sz w:val="19"/>
              </w:rPr>
              <w:t>Can learn interactions automatically</w:t>
            </w:r>
          </w:p>
        </w:tc>
      </w:tr>
      <w:tr>
        <w:tc>
          <w:tcPr>
            <w:tcW w:type="dxa" w:w="3360"/>
            <w:vAlign w:val="center"/>
            <w:shd w:fill="F3F7FB"/>
          </w:tcPr>
          <w:p>
            <w:r/>
            <w:r>
              <w:rPr>
                <w:rFonts w:ascii="Aptos" w:hAnsi="Aptos"/>
                <w:b w:val="0"/>
                <w:color w:val="17365D"/>
                <w:sz w:val="19"/>
              </w:rPr>
              <w:t>Scaling</w:t>
            </w:r>
          </w:p>
        </w:tc>
        <w:tc>
          <w:tcPr>
            <w:tcW w:type="dxa" w:w="3360"/>
            <w:vAlign w:val="center"/>
            <w:shd w:fill="F3F7FB"/>
          </w:tcPr>
          <w:p>
            <w:r/>
            <w:r>
              <w:rPr>
                <w:rFonts w:ascii="Aptos" w:hAnsi="Aptos"/>
                <w:b w:val="0"/>
                <w:color w:val="17365D"/>
                <w:sz w:val="19"/>
              </w:rPr>
              <w:t>Usually recommended</w:t>
            </w:r>
          </w:p>
        </w:tc>
        <w:tc>
          <w:tcPr>
            <w:tcW w:type="dxa" w:w="3360"/>
            <w:vAlign w:val="center"/>
            <w:shd w:fill="F3F7FB"/>
          </w:tcPr>
          <w:p>
            <w:r/>
            <w:r>
              <w:rPr>
                <w:rFonts w:ascii="Aptos" w:hAnsi="Aptos"/>
                <w:b w:val="0"/>
                <w:color w:val="17365D"/>
                <w:sz w:val="19"/>
              </w:rPr>
              <w:t>Not required</w:t>
            </w:r>
          </w:p>
        </w:tc>
      </w:tr>
      <w:tr>
        <w:tc>
          <w:tcPr>
            <w:tcW w:type="dxa" w:w="3360"/>
            <w:vAlign w:val="center"/>
          </w:tcPr>
          <w:p>
            <w:r/>
            <w:r>
              <w:rPr>
                <w:rFonts w:ascii="Aptos" w:hAnsi="Aptos"/>
                <w:b w:val="0"/>
                <w:color w:val="17365D"/>
                <w:sz w:val="19"/>
              </w:rPr>
              <w:t>Overfitting control</w:t>
            </w:r>
          </w:p>
        </w:tc>
        <w:tc>
          <w:tcPr>
            <w:tcW w:type="dxa" w:w="3360"/>
            <w:vAlign w:val="center"/>
          </w:tcPr>
          <w:p>
            <w:r/>
            <w:r>
              <w:rPr>
                <w:rFonts w:ascii="Aptos" w:hAnsi="Aptos"/>
                <w:b w:val="0"/>
                <w:color w:val="17365D"/>
                <w:sz w:val="19"/>
              </w:rPr>
              <w:t>Regularization</w:t>
            </w:r>
          </w:p>
        </w:tc>
        <w:tc>
          <w:tcPr>
            <w:tcW w:type="dxa" w:w="3360"/>
            <w:vAlign w:val="center"/>
          </w:tcPr>
          <w:p>
            <w:r/>
            <w:r>
              <w:rPr>
                <w:rFonts w:ascii="Aptos" w:hAnsi="Aptos"/>
                <w:b w:val="0"/>
                <w:color w:val="17365D"/>
                <w:sz w:val="19"/>
              </w:rPr>
              <w:t>Tree depth, leaf size, feature sampling, ensemble averaging</w:t>
            </w:r>
          </w:p>
        </w:tc>
      </w:tr>
      <w:tr>
        <w:tc>
          <w:tcPr>
            <w:tcW w:type="dxa" w:w="3360"/>
            <w:vAlign w:val="center"/>
            <w:shd w:fill="F3F7FB"/>
          </w:tcPr>
          <w:p>
            <w:r/>
            <w:r>
              <w:rPr>
                <w:rFonts w:ascii="Aptos" w:hAnsi="Aptos"/>
                <w:b w:val="0"/>
                <w:color w:val="17365D"/>
                <w:sz w:val="19"/>
              </w:rPr>
              <w:t>Healthcare rationale</w:t>
            </w:r>
          </w:p>
        </w:tc>
        <w:tc>
          <w:tcPr>
            <w:tcW w:type="dxa" w:w="3360"/>
            <w:vAlign w:val="center"/>
            <w:shd w:fill="F3F7FB"/>
          </w:tcPr>
          <w:p>
            <w:r/>
            <w:r>
              <w:rPr>
                <w:rFonts w:ascii="Aptos" w:hAnsi="Aptos"/>
                <w:b w:val="0"/>
                <w:color w:val="17365D"/>
                <w:sz w:val="19"/>
              </w:rPr>
              <w:t>Transparent baseline and probability model</w:t>
            </w:r>
          </w:p>
        </w:tc>
        <w:tc>
          <w:tcPr>
            <w:tcW w:type="dxa" w:w="3360"/>
            <w:vAlign w:val="center"/>
            <w:shd w:fill="F3F7FB"/>
          </w:tcPr>
          <w:p>
            <w:r/>
            <w:r>
              <w:rPr>
                <w:rFonts w:ascii="Aptos" w:hAnsi="Aptos"/>
                <w:b w:val="0"/>
                <w:color w:val="17365D"/>
                <w:sz w:val="19"/>
              </w:rPr>
              <w:t>Flexible model for complex tabular relationships</w:t>
            </w:r>
          </w:p>
        </w:tc>
      </w:tr>
      <w:tr>
        <w:tc>
          <w:tcPr>
            <w:tcW w:type="dxa" w:w="3360"/>
            <w:vAlign w:val="center"/>
          </w:tcPr>
          <w:p>
            <w:r/>
            <w:r>
              <w:rPr>
                <w:rFonts w:ascii="Aptos" w:hAnsi="Aptos"/>
                <w:b w:val="0"/>
                <w:color w:val="17365D"/>
                <w:sz w:val="19"/>
              </w:rPr>
              <w:t>Main risk</w:t>
            </w:r>
          </w:p>
        </w:tc>
        <w:tc>
          <w:tcPr>
            <w:tcW w:type="dxa" w:w="3360"/>
            <w:vAlign w:val="center"/>
          </w:tcPr>
          <w:p>
            <w:r/>
            <w:r>
              <w:rPr>
                <w:rFonts w:ascii="Aptos" w:hAnsi="Aptos"/>
                <w:b w:val="0"/>
                <w:color w:val="17365D"/>
                <w:sz w:val="19"/>
              </w:rPr>
              <w:t>Underfitting complex patterns</w:t>
            </w:r>
          </w:p>
        </w:tc>
        <w:tc>
          <w:tcPr>
            <w:tcW w:type="dxa" w:w="3360"/>
            <w:vAlign w:val="center"/>
          </w:tcPr>
          <w:p>
            <w:r/>
            <w:r>
              <w:rPr>
                <w:rFonts w:ascii="Aptos" w:hAnsi="Aptos"/>
                <w:b w:val="0"/>
                <w:color w:val="17365D"/>
                <w:sz w:val="19"/>
              </w:rPr>
              <w:t>Reduced transparency and potential overfitting if poorly tuned</w:t>
            </w:r>
          </w:p>
        </w:tc>
      </w:tr>
    </w:tbl>
    <w:p>
      <w:r>
        <w:t>The models should not be compared using a single metric. Their probability quality, discrimination, threshold performance and calibration should all be considered. The final model should be selected according to the intended use case and validated on data not used for training or tuning.</w:t>
      </w:r>
    </w:p>
    <w:p>
      <w:pPr>
        <w:pStyle w:val="Heading1"/>
      </w:pPr>
      <w:r>
        <w:t>8. Data Splitting and Validation Strategy</w:t>
      </w:r>
    </w:p>
    <w:p>
      <w:r>
        <w:t>A recommended starting strategy is a stratified split of 70% training, 15% validation and 15% test data when the dataset is sufficiently large. Stratification preserves approximately the same target-class proportion across partitions.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Pr>
                <w:color w:val="FFFFFF"/>
              </w:rPr>
            </w:r>
            <w:r>
              <w:rPr>
                <w:rFonts w:ascii="Aptos" w:hAnsi="Aptos"/>
                <w:b/>
                <w:color w:val="17365D"/>
                <w:sz w:val="19"/>
              </w:rPr>
              <w:t>Stage</w:t>
            </w:r>
          </w:p>
        </w:tc>
        <w:tc>
          <w:tcPr>
            <w:tcW w:type="dxa" w:w="5040"/>
            <w:vAlign w:val="center"/>
            <w:shd w:fill="17365D"/>
          </w:tcPr>
          <w:p>
            <w:r>
              <w:rPr>
                <w:color w:val="FFFFFF"/>
              </w:rPr>
            </w:r>
            <w:r>
              <w:rPr>
                <w:rFonts w:ascii="Aptos" w:hAnsi="Aptos"/>
                <w:b/>
                <w:color w:val="17365D"/>
                <w:sz w:val="19"/>
              </w:rPr>
              <w:t>Purpose</w:t>
            </w:r>
          </w:p>
        </w:tc>
      </w:tr>
      <w:tr>
        <w:tc>
          <w:tcPr>
            <w:tcW w:type="dxa" w:w="5040"/>
            <w:vAlign w:val="center"/>
            <w:shd w:fill="F3F7FB"/>
          </w:tcPr>
          <w:p>
            <w:r/>
            <w:r>
              <w:rPr>
                <w:rFonts w:ascii="Aptos" w:hAnsi="Aptos"/>
                <w:b w:val="0"/>
                <w:color w:val="17365D"/>
                <w:sz w:val="19"/>
              </w:rPr>
              <w:t>Training set (70%)</w:t>
            </w:r>
          </w:p>
        </w:tc>
        <w:tc>
          <w:tcPr>
            <w:tcW w:type="dxa" w:w="5040"/>
            <w:vAlign w:val="center"/>
            <w:shd w:fill="F3F7FB"/>
          </w:tcPr>
          <w:p>
            <w:r/>
            <w:r>
              <w:rPr>
                <w:rFonts w:ascii="Aptos" w:hAnsi="Aptos"/>
                <w:b w:val="0"/>
                <w:color w:val="17365D"/>
                <w:sz w:val="19"/>
              </w:rPr>
              <w:t>Fit preprocessing and model parameters</w:t>
            </w:r>
          </w:p>
        </w:tc>
      </w:tr>
      <w:tr>
        <w:tc>
          <w:tcPr>
            <w:tcW w:type="dxa" w:w="5040"/>
            <w:vAlign w:val="center"/>
          </w:tcPr>
          <w:p>
            <w:r/>
            <w:r>
              <w:rPr>
                <w:rFonts w:ascii="Aptos" w:hAnsi="Aptos"/>
                <w:b w:val="0"/>
                <w:color w:val="17365D"/>
                <w:sz w:val="19"/>
              </w:rPr>
              <w:t>Validation set (15%)</w:t>
            </w:r>
          </w:p>
        </w:tc>
        <w:tc>
          <w:tcPr>
            <w:tcW w:type="dxa" w:w="5040"/>
            <w:vAlign w:val="center"/>
          </w:tcPr>
          <w:p>
            <w:r/>
            <w:r>
              <w:rPr>
                <w:rFonts w:ascii="Aptos" w:hAnsi="Aptos"/>
                <w:b w:val="0"/>
                <w:color w:val="17365D"/>
                <w:sz w:val="19"/>
              </w:rPr>
              <w:t>Tune hyperparameters and choose an operating threshold</w:t>
            </w:r>
          </w:p>
        </w:tc>
      </w:tr>
      <w:tr>
        <w:tc>
          <w:tcPr>
            <w:tcW w:type="dxa" w:w="5040"/>
            <w:vAlign w:val="center"/>
            <w:shd w:fill="F3F7FB"/>
          </w:tcPr>
          <w:p>
            <w:r/>
            <w:r>
              <w:rPr>
                <w:rFonts w:ascii="Aptos" w:hAnsi="Aptos"/>
                <w:b w:val="0"/>
                <w:color w:val="17365D"/>
                <w:sz w:val="19"/>
              </w:rPr>
              <w:t>Test set (15%)</w:t>
            </w:r>
          </w:p>
        </w:tc>
        <w:tc>
          <w:tcPr>
            <w:tcW w:type="dxa" w:w="5040"/>
            <w:vAlign w:val="center"/>
            <w:shd w:fill="F3F7FB"/>
          </w:tcPr>
          <w:p>
            <w:r/>
            <w:r>
              <w:rPr>
                <w:rFonts w:ascii="Aptos" w:hAnsi="Aptos"/>
                <w:b w:val="0"/>
                <w:color w:val="17365D"/>
                <w:sz w:val="19"/>
              </w:rPr>
              <w:t>Final unbiased performance estimate after decisions are frozen</w:t>
            </w:r>
          </w:p>
        </w:tc>
      </w:tr>
      <w:tr>
        <w:tc>
          <w:tcPr>
            <w:tcW w:type="dxa" w:w="5040"/>
            <w:vAlign w:val="center"/>
          </w:tcPr>
          <w:p>
            <w:r/>
            <w:r>
              <w:rPr>
                <w:rFonts w:ascii="Aptos" w:hAnsi="Aptos"/>
                <w:b w:val="0"/>
                <w:color w:val="17365D"/>
                <w:sz w:val="19"/>
              </w:rPr>
              <w:t>5-fold stratified CV on training</w:t>
            </w:r>
          </w:p>
        </w:tc>
        <w:tc>
          <w:tcPr>
            <w:tcW w:type="dxa" w:w="5040"/>
            <w:vAlign w:val="center"/>
          </w:tcPr>
          <w:p>
            <w:r/>
            <w:r>
              <w:rPr>
                <w:rFonts w:ascii="Aptos" w:hAnsi="Aptos"/>
                <w:b w:val="0"/>
                <w:color w:val="17365D"/>
                <w:sz w:val="19"/>
              </w:rPr>
              <w:t>Estimate stability during model and hyperparameter selection</w:t>
            </w:r>
          </w:p>
        </w:tc>
      </w:tr>
    </w:tbl>
    <w:p>
      <w:r>
        <w:t>If multiple encounters belong to the same patient, patient-level splitting should be used so records from the same individual do not appear in both training and test sets. If the dataset has strong temporal structure, a temporal validation design may be more appropriate than a random split.</w:t>
      </w:r>
    </w:p>
    <w:p>
      <w:pPr>
        <w:pStyle w:val="Heading1"/>
      </w:pPr>
      <w:r>
        <w:t>9. Model Training, Hyperparameter Tuning and Selection</w:t>
      </w:r>
    </w:p>
    <w:p>
      <w:pPr>
        <w:pStyle w:val="Heading2"/>
      </w:pPr>
      <w:r>
        <w:t>9.1 Training Workflow</w:t>
      </w:r>
    </w:p>
    <w:p>
      <w:pPr>
        <w:pStyle w:val="ListNumber"/>
        <w:spacing w:after="40"/>
      </w:pPr>
      <w:r>
        <w:t>Load and audit the raw dataset.</w:t>
      </w:r>
    </w:p>
    <w:p>
      <w:pPr>
        <w:pStyle w:val="ListNumber"/>
        <w:spacing w:after="40"/>
      </w:pPr>
      <w:r>
        <w:t>Define the prediction target and eligible prediction-time features.</w:t>
      </w:r>
    </w:p>
    <w:p>
      <w:pPr>
        <w:pStyle w:val="ListNumber"/>
        <w:spacing w:after="40"/>
      </w:pPr>
      <w:r>
        <w:t>Split the data before fitting transformations.</w:t>
      </w:r>
    </w:p>
    <w:p>
      <w:pPr>
        <w:pStyle w:val="ListNumber"/>
        <w:spacing w:after="40"/>
      </w:pPr>
      <w:r>
        <w:t>Build preprocessing pipelines for numeric and categorical variables.</w:t>
      </w:r>
    </w:p>
    <w:p>
      <w:pPr>
        <w:pStyle w:val="ListNumber"/>
        <w:spacing w:after="40"/>
      </w:pPr>
      <w:r>
        <w:t>Train Logistic Regression as the baseline.</w:t>
      </w:r>
    </w:p>
    <w:p>
      <w:pPr>
        <w:pStyle w:val="ListNumber"/>
        <w:spacing w:after="40"/>
      </w:pPr>
      <w:r>
        <w:t>Train Random Forest using the same target definition and split.</w:t>
      </w:r>
    </w:p>
    <w:p>
      <w:pPr>
        <w:pStyle w:val="ListNumber"/>
        <w:spacing w:after="40"/>
      </w:pPr>
      <w:r>
        <w:t>Use stratified cross-validation on the training data for tuning.</w:t>
      </w:r>
    </w:p>
    <w:p>
      <w:pPr>
        <w:pStyle w:val="ListNumber"/>
        <w:spacing w:after="40"/>
      </w:pPr>
      <w:r>
        <w:t>Evaluate candidate configurations on the validation set.</w:t>
      </w:r>
    </w:p>
    <w:p>
      <w:pPr>
        <w:pStyle w:val="ListNumber"/>
        <w:spacing w:after="40"/>
      </w:pPr>
      <w:r>
        <w:t>Freeze the selected model and threshold.</w:t>
      </w:r>
    </w:p>
    <w:p>
      <w:pPr>
        <w:pStyle w:val="ListNumber"/>
        <w:spacing w:after="40"/>
      </w:pPr>
      <w:r>
        <w:t>Evaluate once on the untouched test set.</w:t>
      </w:r>
    </w:p>
    <w:p>
      <w:pPr>
        <w:pStyle w:val="Heading2"/>
      </w:pPr>
      <w:r>
        <w:t>9.2 Hyperparameter Tuning</w:t>
      </w:r>
    </w:p>
    <w:p>
      <w:r>
        <w:t>GridSearchCV or RandomizedSearchCV can be used with StratifiedKFold. Randomized search is often more efficient when the hyperparameter space is large. ROC-AUC or average precision can be used as a tuning objective, depending on the clinical objective and class imbalance.</w:t>
      </w:r>
    </w:p>
    <w:p>
      <w:pPr>
        <w:pStyle w:val="Heading2"/>
      </w:pPr>
      <w:r>
        <w:t>9.3 Threshold Selection</w:t>
      </w:r>
    </w:p>
    <w:p>
      <w:r>
        <w:t>The default 0.50 probability threshold should not automatically be treated as optimal. A healthcare screening application may prioritize recall to reduce missed high-risk patients, whereas a limited intervention program may need stronger precision. The threshold should be selected on validation data using a pre-defined criterion and then kept fixed for final test evaluation.</w:t>
      </w:r>
    </w:p>
    <w:p>
      <w:pPr>
        <w:pStyle w:val="Heading1"/>
      </w:pPr>
      <w:r>
        <w:t>10. Performance Evaluation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Pr>
                <w:color w:val="FFFFFF"/>
              </w:rPr>
            </w:r>
            <w:r>
              <w:rPr>
                <w:rFonts w:ascii="Aptos" w:hAnsi="Aptos"/>
                <w:b/>
                <w:color w:val="17365D"/>
                <w:sz w:val="19"/>
              </w:rPr>
              <w:t>Metric</w:t>
            </w:r>
          </w:p>
        </w:tc>
        <w:tc>
          <w:tcPr>
            <w:tcW w:type="dxa" w:w="3360"/>
            <w:vAlign w:val="center"/>
            <w:shd w:fill="17365D"/>
          </w:tcPr>
          <w:p>
            <w:r>
              <w:rPr>
                <w:color w:val="FFFFFF"/>
              </w:rPr>
            </w:r>
            <w:r>
              <w:rPr>
                <w:rFonts w:ascii="Aptos" w:hAnsi="Aptos"/>
                <w:b/>
                <w:color w:val="17365D"/>
                <w:sz w:val="19"/>
              </w:rPr>
              <w:t>Formula / Meaning</w:t>
            </w:r>
          </w:p>
        </w:tc>
        <w:tc>
          <w:tcPr>
            <w:tcW w:type="dxa" w:w="3360"/>
            <w:vAlign w:val="center"/>
            <w:shd w:fill="17365D"/>
          </w:tcPr>
          <w:p>
            <w:r>
              <w:rPr>
                <w:color w:val="FFFFFF"/>
              </w:rPr>
            </w:r>
            <w:r>
              <w:rPr>
                <w:rFonts w:ascii="Aptos" w:hAnsi="Aptos"/>
                <w:b/>
                <w:color w:val="17365D"/>
                <w:sz w:val="19"/>
              </w:rPr>
              <w:t>Why it matters</w:t>
            </w:r>
          </w:p>
        </w:tc>
      </w:tr>
      <w:tr>
        <w:tc>
          <w:tcPr>
            <w:tcW w:type="dxa" w:w="3360"/>
            <w:vAlign w:val="center"/>
            <w:shd w:fill="F3F7FB"/>
          </w:tcPr>
          <w:p>
            <w:r/>
            <w:r>
              <w:rPr>
                <w:rFonts w:ascii="Aptos" w:hAnsi="Aptos"/>
                <w:b w:val="0"/>
                <w:color w:val="17365D"/>
                <w:sz w:val="19"/>
              </w:rPr>
              <w:t>Accuracy</w:t>
            </w:r>
          </w:p>
        </w:tc>
        <w:tc>
          <w:tcPr>
            <w:tcW w:type="dxa" w:w="3360"/>
            <w:vAlign w:val="center"/>
            <w:shd w:fill="F3F7FB"/>
          </w:tcPr>
          <w:p>
            <w:r/>
            <w:r>
              <w:rPr>
                <w:rFonts w:ascii="Aptos" w:hAnsi="Aptos"/>
                <w:b w:val="0"/>
                <w:color w:val="17365D"/>
                <w:sz w:val="19"/>
              </w:rPr>
              <w:t>(TP+TN)/(TP+TN+FP+FN)</w:t>
            </w:r>
          </w:p>
        </w:tc>
        <w:tc>
          <w:tcPr>
            <w:tcW w:type="dxa" w:w="3360"/>
            <w:vAlign w:val="center"/>
            <w:shd w:fill="F3F7FB"/>
          </w:tcPr>
          <w:p>
            <w:r/>
            <w:r>
              <w:rPr>
                <w:rFonts w:ascii="Aptos" w:hAnsi="Aptos"/>
                <w:b w:val="0"/>
                <w:color w:val="17365D"/>
                <w:sz w:val="19"/>
              </w:rPr>
              <w:t>Overall proportion correct; can mislead with imbalance</w:t>
            </w:r>
          </w:p>
        </w:tc>
      </w:tr>
      <w:tr>
        <w:tc>
          <w:tcPr>
            <w:tcW w:type="dxa" w:w="3360"/>
            <w:vAlign w:val="center"/>
          </w:tcPr>
          <w:p>
            <w:r/>
            <w:r>
              <w:rPr>
                <w:rFonts w:ascii="Aptos" w:hAnsi="Aptos"/>
                <w:b w:val="0"/>
                <w:color w:val="17365D"/>
                <w:sz w:val="19"/>
              </w:rPr>
              <w:t>Precision</w:t>
            </w:r>
          </w:p>
        </w:tc>
        <w:tc>
          <w:tcPr>
            <w:tcW w:type="dxa" w:w="3360"/>
            <w:vAlign w:val="center"/>
          </w:tcPr>
          <w:p>
            <w:r/>
            <w:r>
              <w:rPr>
                <w:rFonts w:ascii="Aptos" w:hAnsi="Aptos"/>
                <w:b w:val="0"/>
                <w:color w:val="17365D"/>
                <w:sz w:val="19"/>
              </w:rPr>
              <w:t>TP/(TP+FP)</w:t>
            </w:r>
          </w:p>
        </w:tc>
        <w:tc>
          <w:tcPr>
            <w:tcW w:type="dxa" w:w="3360"/>
            <w:vAlign w:val="center"/>
          </w:tcPr>
          <w:p>
            <w:r/>
            <w:r>
              <w:rPr>
                <w:rFonts w:ascii="Aptos" w:hAnsi="Aptos"/>
                <w:b w:val="0"/>
                <w:color w:val="17365D"/>
                <w:sz w:val="19"/>
              </w:rPr>
              <w:t>Among predicted high-risk patients, how many truly are high-risk</w:t>
            </w:r>
          </w:p>
        </w:tc>
      </w:tr>
      <w:tr>
        <w:tc>
          <w:tcPr>
            <w:tcW w:type="dxa" w:w="3360"/>
            <w:vAlign w:val="center"/>
            <w:shd w:fill="F3F7FB"/>
          </w:tcPr>
          <w:p>
            <w:r/>
            <w:r>
              <w:rPr>
                <w:rFonts w:ascii="Aptos" w:hAnsi="Aptos"/>
                <w:b w:val="0"/>
                <w:color w:val="17365D"/>
                <w:sz w:val="19"/>
              </w:rPr>
              <w:t>Recall / Sensitivity</w:t>
            </w:r>
          </w:p>
        </w:tc>
        <w:tc>
          <w:tcPr>
            <w:tcW w:type="dxa" w:w="3360"/>
            <w:vAlign w:val="center"/>
            <w:shd w:fill="F3F7FB"/>
          </w:tcPr>
          <w:p>
            <w:r/>
            <w:r>
              <w:rPr>
                <w:rFonts w:ascii="Aptos" w:hAnsi="Aptos"/>
                <w:b w:val="0"/>
                <w:color w:val="17365D"/>
                <w:sz w:val="19"/>
              </w:rPr>
              <w:t>TP/(TP+FN)</w:t>
            </w:r>
          </w:p>
        </w:tc>
        <w:tc>
          <w:tcPr>
            <w:tcW w:type="dxa" w:w="3360"/>
            <w:vAlign w:val="center"/>
            <w:shd w:fill="F3F7FB"/>
          </w:tcPr>
          <w:p>
            <w:r/>
            <w:r>
              <w:rPr>
                <w:rFonts w:ascii="Aptos" w:hAnsi="Aptos"/>
                <w:b w:val="0"/>
                <w:color w:val="17365D"/>
                <w:sz w:val="19"/>
              </w:rPr>
              <w:t>Among actual high-risk patients, how many are identified</w:t>
            </w:r>
          </w:p>
        </w:tc>
      </w:tr>
      <w:tr>
        <w:tc>
          <w:tcPr>
            <w:tcW w:type="dxa" w:w="3360"/>
            <w:vAlign w:val="center"/>
          </w:tcPr>
          <w:p>
            <w:r/>
            <w:r>
              <w:rPr>
                <w:rFonts w:ascii="Aptos" w:hAnsi="Aptos"/>
                <w:b w:val="0"/>
                <w:color w:val="17365D"/>
                <w:sz w:val="19"/>
              </w:rPr>
              <w:t>Specificity</w:t>
            </w:r>
          </w:p>
        </w:tc>
        <w:tc>
          <w:tcPr>
            <w:tcW w:type="dxa" w:w="3360"/>
            <w:vAlign w:val="center"/>
          </w:tcPr>
          <w:p>
            <w:r/>
            <w:r>
              <w:rPr>
                <w:rFonts w:ascii="Aptos" w:hAnsi="Aptos"/>
                <w:b w:val="0"/>
                <w:color w:val="17365D"/>
                <w:sz w:val="19"/>
              </w:rPr>
              <w:t>TN/(TN+FP)</w:t>
            </w:r>
          </w:p>
        </w:tc>
        <w:tc>
          <w:tcPr>
            <w:tcW w:type="dxa" w:w="3360"/>
            <w:vAlign w:val="center"/>
          </w:tcPr>
          <w:p>
            <w:r/>
            <w:r>
              <w:rPr>
                <w:rFonts w:ascii="Aptos" w:hAnsi="Aptos"/>
                <w:b w:val="0"/>
                <w:color w:val="17365D"/>
                <w:sz w:val="19"/>
              </w:rPr>
              <w:t>Among non-readmitted patients, how many are correctly ruled out</w:t>
            </w:r>
          </w:p>
        </w:tc>
      </w:tr>
      <w:tr>
        <w:tc>
          <w:tcPr>
            <w:tcW w:type="dxa" w:w="3360"/>
            <w:vAlign w:val="center"/>
            <w:shd w:fill="F3F7FB"/>
          </w:tcPr>
          <w:p>
            <w:r/>
            <w:r>
              <w:rPr>
                <w:rFonts w:ascii="Aptos" w:hAnsi="Aptos"/>
                <w:b w:val="0"/>
                <w:color w:val="17365D"/>
                <w:sz w:val="19"/>
              </w:rPr>
              <w:t>F1-score</w:t>
            </w:r>
          </w:p>
        </w:tc>
        <w:tc>
          <w:tcPr>
            <w:tcW w:type="dxa" w:w="3360"/>
            <w:vAlign w:val="center"/>
            <w:shd w:fill="F3F7FB"/>
          </w:tcPr>
          <w:p>
            <w:r/>
            <w:r>
              <w:rPr>
                <w:rFonts w:ascii="Aptos" w:hAnsi="Aptos"/>
                <w:b w:val="0"/>
                <w:color w:val="17365D"/>
                <w:sz w:val="19"/>
              </w:rPr>
              <w:t>2×Precision×Recall/(Precision+Recall)</w:t>
            </w:r>
          </w:p>
        </w:tc>
        <w:tc>
          <w:tcPr>
            <w:tcW w:type="dxa" w:w="3360"/>
            <w:vAlign w:val="center"/>
            <w:shd w:fill="F3F7FB"/>
          </w:tcPr>
          <w:p>
            <w:r/>
            <w:r>
              <w:rPr>
                <w:rFonts w:ascii="Aptos" w:hAnsi="Aptos"/>
                <w:b w:val="0"/>
                <w:color w:val="17365D"/>
                <w:sz w:val="19"/>
              </w:rPr>
              <w:t>Balances precision and recall</w:t>
            </w:r>
          </w:p>
        </w:tc>
      </w:tr>
      <w:tr>
        <w:tc>
          <w:tcPr>
            <w:tcW w:type="dxa" w:w="3360"/>
            <w:vAlign w:val="center"/>
          </w:tcPr>
          <w:p>
            <w:r/>
            <w:r>
              <w:rPr>
                <w:rFonts w:ascii="Aptos" w:hAnsi="Aptos"/>
                <w:b w:val="0"/>
                <w:color w:val="17365D"/>
                <w:sz w:val="19"/>
              </w:rPr>
              <w:t>ROC-AUC</w:t>
            </w:r>
          </w:p>
        </w:tc>
        <w:tc>
          <w:tcPr>
            <w:tcW w:type="dxa" w:w="3360"/>
            <w:vAlign w:val="center"/>
          </w:tcPr>
          <w:p>
            <w:r/>
            <w:r>
              <w:rPr>
                <w:rFonts w:ascii="Aptos" w:hAnsi="Aptos"/>
                <w:b w:val="0"/>
                <w:color w:val="17365D"/>
                <w:sz w:val="19"/>
              </w:rPr>
              <w:t>Area under ROC curve</w:t>
            </w:r>
          </w:p>
        </w:tc>
        <w:tc>
          <w:tcPr>
            <w:tcW w:type="dxa" w:w="3360"/>
            <w:vAlign w:val="center"/>
          </w:tcPr>
          <w:p>
            <w:r/>
            <w:r>
              <w:rPr>
                <w:rFonts w:ascii="Aptos" w:hAnsi="Aptos"/>
                <w:b w:val="0"/>
                <w:color w:val="17365D"/>
                <w:sz w:val="19"/>
              </w:rPr>
              <w:t>Measures ranking/discrimination across thresholds</w:t>
            </w:r>
          </w:p>
        </w:tc>
      </w:tr>
      <w:tr>
        <w:tc>
          <w:tcPr>
            <w:tcW w:type="dxa" w:w="3360"/>
            <w:vAlign w:val="center"/>
            <w:shd w:fill="F3F7FB"/>
          </w:tcPr>
          <w:p>
            <w:r/>
            <w:r>
              <w:rPr>
                <w:rFonts w:ascii="Aptos" w:hAnsi="Aptos"/>
                <w:b w:val="0"/>
                <w:color w:val="17365D"/>
                <w:sz w:val="19"/>
              </w:rPr>
              <w:t>PR-AUC</w:t>
            </w:r>
          </w:p>
        </w:tc>
        <w:tc>
          <w:tcPr>
            <w:tcW w:type="dxa" w:w="3360"/>
            <w:vAlign w:val="center"/>
            <w:shd w:fill="F3F7FB"/>
          </w:tcPr>
          <w:p>
            <w:r/>
            <w:r>
              <w:rPr>
                <w:rFonts w:ascii="Aptos" w:hAnsi="Aptos"/>
                <w:b w:val="0"/>
                <w:color w:val="17365D"/>
                <w:sz w:val="19"/>
              </w:rPr>
              <w:t>Area under Precision-Recall curve</w:t>
            </w:r>
          </w:p>
        </w:tc>
        <w:tc>
          <w:tcPr>
            <w:tcW w:type="dxa" w:w="3360"/>
            <w:vAlign w:val="center"/>
            <w:shd w:fill="F3F7FB"/>
          </w:tcPr>
          <w:p>
            <w:r/>
            <w:r>
              <w:rPr>
                <w:rFonts w:ascii="Aptos" w:hAnsi="Aptos"/>
                <w:b w:val="0"/>
                <w:color w:val="17365D"/>
                <w:sz w:val="19"/>
              </w:rPr>
              <w:t>Especially informative when positive cases are relatively uncommon</w:t>
            </w:r>
          </w:p>
        </w:tc>
      </w:tr>
      <w:tr>
        <w:tc>
          <w:tcPr>
            <w:tcW w:type="dxa" w:w="3360"/>
            <w:vAlign w:val="center"/>
          </w:tcPr>
          <w:p>
            <w:r/>
            <w:r>
              <w:rPr>
                <w:rFonts w:ascii="Aptos" w:hAnsi="Aptos"/>
                <w:b w:val="0"/>
                <w:color w:val="17365D"/>
                <w:sz w:val="19"/>
              </w:rPr>
              <w:t>Calibration</w:t>
            </w:r>
          </w:p>
        </w:tc>
        <w:tc>
          <w:tcPr>
            <w:tcW w:type="dxa" w:w="3360"/>
            <w:vAlign w:val="center"/>
          </w:tcPr>
          <w:p>
            <w:r/>
            <w:r>
              <w:rPr>
                <w:rFonts w:ascii="Aptos" w:hAnsi="Aptos"/>
                <w:b w:val="0"/>
                <w:color w:val="17365D"/>
                <w:sz w:val="19"/>
              </w:rPr>
              <w:t>Agreement between predicted probabilities and observed outcomes</w:t>
            </w:r>
          </w:p>
        </w:tc>
        <w:tc>
          <w:tcPr>
            <w:tcW w:type="dxa" w:w="3360"/>
            <w:vAlign w:val="center"/>
          </w:tcPr>
          <w:p>
            <w:r/>
            <w:r>
              <w:rPr>
                <w:rFonts w:ascii="Aptos" w:hAnsi="Aptos"/>
                <w:b w:val="0"/>
                <w:color w:val="17365D"/>
                <w:sz w:val="19"/>
              </w:rPr>
              <w:t>Important when probabilities guide risk decisions</w:t>
            </w:r>
          </w:p>
        </w:tc>
      </w:tr>
    </w:tbl>
    <w:p>
      <w:pPr>
        <w:pStyle w:val="Heading2"/>
      </w:pPr>
      <w:r>
        <w:t>10.1 Confusion Matrix</w:t>
      </w:r>
    </w:p>
    <w:p>
      <w:r>
        <w:t>The confusion matrix contains four outcomes: True Positive (TP), True Negative (TN), False Positive (FP), and False Negative (FN). In readmission prediction, a false negative means a patient who is later readmitted was not identified by the model. A false positive means the model flags a patient who is not readmitted. The relative cost of these errors should be defined with the healthcare use case.</w:t>
      </w:r>
    </w:p>
    <w:p>
      <w:pPr>
        <w:pStyle w:val="Heading2"/>
      </w:pPr>
      <w:r>
        <w:t>10.2 Evaluation Pitfalls</w:t>
      </w:r>
    </w:p>
    <w:p>
      <w:pPr>
        <w:pStyle w:val="ListBullet"/>
        <w:spacing w:after="40"/>
      </w:pPr>
      <w:r>
        <w:t>Using accuracy alone when classes are imbalanced.</w:t>
      </w:r>
    </w:p>
    <w:p>
      <w:pPr>
        <w:pStyle w:val="ListBullet"/>
        <w:spacing w:after="40"/>
      </w:pPr>
      <w:r>
        <w:t>Choosing the test-set threshold after repeatedly inspecting test results.</w:t>
      </w:r>
    </w:p>
    <w:p>
      <w:pPr>
        <w:pStyle w:val="ListBullet"/>
        <w:spacing w:after="40"/>
      </w:pPr>
      <w:r>
        <w:t>Performing imputation, scaling or feature selection before the train/test split.</w:t>
      </w:r>
    </w:p>
    <w:p>
      <w:pPr>
        <w:pStyle w:val="ListBullet"/>
        <w:spacing w:after="40"/>
      </w:pPr>
      <w:r>
        <w:t>Allowing patient duplicates or multiple encounters to cross partitions.</w:t>
      </w:r>
    </w:p>
    <w:p>
      <w:pPr>
        <w:pStyle w:val="ListBullet"/>
        <w:spacing w:after="40"/>
      </w:pPr>
      <w:r>
        <w:t>Using post-discharge variables that leak information about the outcome.</w:t>
      </w:r>
    </w:p>
    <w:p>
      <w:pPr>
        <w:pStyle w:val="ListBullet"/>
        <w:spacing w:after="40"/>
      </w:pPr>
      <w:r>
        <w:t>Reporting ROC-AUC without examining precision-recall behavior and calibration.</w:t>
      </w:r>
    </w:p>
    <w:p>
      <w:pPr>
        <w:pStyle w:val="ListBullet"/>
        <w:spacing w:after="40"/>
      </w:pPr>
      <w:r>
        <w:t>Comparing models on different data subsets or different target definitions.</w:t>
      </w:r>
    </w:p>
    <w:p>
      <w:pPr>
        <w:pStyle w:val="Heading1"/>
      </w:pPr>
      <w:r>
        <w:t>11. Common Healthcare Modeling Challenges and Solutions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Pr>
                <w:color w:val="FFFFFF"/>
              </w:rPr>
            </w:r>
            <w:r>
              <w:rPr>
                <w:rFonts w:ascii="Aptos" w:hAnsi="Aptos"/>
                <w:b/>
                <w:color w:val="17365D"/>
                <w:sz w:val="19"/>
              </w:rPr>
              <w:t>Challenge</w:t>
            </w:r>
          </w:p>
        </w:tc>
        <w:tc>
          <w:tcPr>
            <w:tcW w:type="dxa" w:w="3360"/>
            <w:vAlign w:val="center"/>
            <w:shd w:fill="17365D"/>
          </w:tcPr>
          <w:p>
            <w:r>
              <w:rPr>
                <w:color w:val="FFFFFF"/>
              </w:rPr>
            </w:r>
            <w:r>
              <w:rPr>
                <w:rFonts w:ascii="Aptos" w:hAnsi="Aptos"/>
                <w:b/>
                <w:color w:val="17365D"/>
                <w:sz w:val="19"/>
              </w:rPr>
              <w:t>Impact</w:t>
            </w:r>
          </w:p>
        </w:tc>
        <w:tc>
          <w:tcPr>
            <w:tcW w:type="dxa" w:w="3360"/>
            <w:vAlign w:val="center"/>
            <w:shd w:fill="17365D"/>
          </w:tcPr>
          <w:p>
            <w:r>
              <w:rPr>
                <w:color w:val="FFFFFF"/>
              </w:rPr>
            </w:r>
            <w:r>
              <w:rPr>
                <w:rFonts w:ascii="Aptos" w:hAnsi="Aptos"/>
                <w:b/>
                <w:color w:val="17365D"/>
                <w:sz w:val="19"/>
              </w:rPr>
              <w:t>Proposed solution</w:t>
            </w:r>
          </w:p>
        </w:tc>
      </w:tr>
      <w:tr>
        <w:tc>
          <w:tcPr>
            <w:tcW w:type="dxa" w:w="3360"/>
            <w:vAlign w:val="center"/>
            <w:shd w:fill="F3F7FB"/>
          </w:tcPr>
          <w:p>
            <w:r/>
            <w:r>
              <w:rPr>
                <w:rFonts w:ascii="Aptos" w:hAnsi="Aptos"/>
                <w:b w:val="0"/>
                <w:color w:val="17365D"/>
                <w:sz w:val="19"/>
              </w:rPr>
              <w:t>Class imbalance</w:t>
            </w:r>
          </w:p>
        </w:tc>
        <w:tc>
          <w:tcPr>
            <w:tcW w:type="dxa" w:w="3360"/>
            <w:vAlign w:val="center"/>
            <w:shd w:fill="F3F7FB"/>
          </w:tcPr>
          <w:p>
            <w:r/>
            <w:r>
              <w:rPr>
                <w:rFonts w:ascii="Aptos" w:hAnsi="Aptos"/>
                <w:b w:val="0"/>
                <w:color w:val="17365D"/>
                <w:sz w:val="19"/>
              </w:rPr>
              <w:t>Minority class may be poorly detected</w:t>
            </w:r>
          </w:p>
        </w:tc>
        <w:tc>
          <w:tcPr>
            <w:tcW w:type="dxa" w:w="3360"/>
            <w:vAlign w:val="center"/>
            <w:shd w:fill="F3F7FB"/>
          </w:tcPr>
          <w:p>
            <w:r/>
            <w:r>
              <w:rPr>
                <w:rFonts w:ascii="Aptos" w:hAnsi="Aptos"/>
                <w:b w:val="0"/>
                <w:color w:val="17365D"/>
                <w:sz w:val="19"/>
              </w:rPr>
              <w:t>Stratification, class weights, PR-AUC, threshold tuning</w:t>
            </w:r>
          </w:p>
        </w:tc>
      </w:tr>
      <w:tr>
        <w:tc>
          <w:tcPr>
            <w:tcW w:type="dxa" w:w="3360"/>
            <w:vAlign w:val="center"/>
          </w:tcPr>
          <w:p>
            <w:r/>
            <w:r>
              <w:rPr>
                <w:rFonts w:ascii="Aptos" w:hAnsi="Aptos"/>
                <w:b w:val="0"/>
                <w:color w:val="17365D"/>
                <w:sz w:val="19"/>
              </w:rPr>
              <w:t>Missing clinical data</w:t>
            </w:r>
          </w:p>
        </w:tc>
        <w:tc>
          <w:tcPr>
            <w:tcW w:type="dxa" w:w="3360"/>
            <w:vAlign w:val="center"/>
          </w:tcPr>
          <w:p>
            <w:r/>
            <w:r>
              <w:rPr>
                <w:rFonts w:ascii="Aptos" w:hAnsi="Aptos"/>
                <w:b w:val="0"/>
                <w:color w:val="17365D"/>
                <w:sz w:val="19"/>
              </w:rPr>
              <w:t>Bias or reduced sample size</w:t>
            </w:r>
          </w:p>
        </w:tc>
        <w:tc>
          <w:tcPr>
            <w:tcW w:type="dxa" w:w="3360"/>
            <w:vAlign w:val="center"/>
          </w:tcPr>
          <w:p>
            <w:r/>
            <w:r>
              <w:rPr>
                <w:rFonts w:ascii="Aptos" w:hAnsi="Aptos"/>
                <w:b w:val="0"/>
                <w:color w:val="17365D"/>
                <w:sz w:val="19"/>
              </w:rPr>
              <w:t>Pipeline-based imputation and missingness analysis</w:t>
            </w:r>
          </w:p>
        </w:tc>
      </w:tr>
      <w:tr>
        <w:tc>
          <w:tcPr>
            <w:tcW w:type="dxa" w:w="3360"/>
            <w:vAlign w:val="center"/>
            <w:shd w:fill="F3F7FB"/>
          </w:tcPr>
          <w:p>
            <w:r/>
            <w:r>
              <w:rPr>
                <w:rFonts w:ascii="Aptos" w:hAnsi="Aptos"/>
                <w:b w:val="0"/>
                <w:color w:val="17365D"/>
                <w:sz w:val="19"/>
              </w:rPr>
              <w:t>Data leakage</w:t>
            </w:r>
          </w:p>
        </w:tc>
        <w:tc>
          <w:tcPr>
            <w:tcW w:type="dxa" w:w="3360"/>
            <w:vAlign w:val="center"/>
            <w:shd w:fill="F3F7FB"/>
          </w:tcPr>
          <w:p>
            <w:r/>
            <w:r>
              <w:rPr>
                <w:rFonts w:ascii="Aptos" w:hAnsi="Aptos"/>
                <w:b w:val="0"/>
                <w:color w:val="17365D"/>
                <w:sz w:val="19"/>
              </w:rPr>
              <w:t>Artificially high test performance</w:t>
            </w:r>
          </w:p>
        </w:tc>
        <w:tc>
          <w:tcPr>
            <w:tcW w:type="dxa" w:w="3360"/>
            <w:vAlign w:val="center"/>
            <w:shd w:fill="F3F7FB"/>
          </w:tcPr>
          <w:p>
            <w:r/>
            <w:r>
              <w:rPr>
                <w:rFonts w:ascii="Aptos" w:hAnsi="Aptos"/>
                <w:b w:val="0"/>
                <w:color w:val="17365D"/>
                <w:sz w:val="19"/>
              </w:rPr>
              <w:t>Split first; fit preprocessing only on training data</w:t>
            </w:r>
          </w:p>
        </w:tc>
      </w:tr>
      <w:tr>
        <w:tc>
          <w:tcPr>
            <w:tcW w:type="dxa" w:w="3360"/>
            <w:vAlign w:val="center"/>
          </w:tcPr>
          <w:p>
            <w:r/>
            <w:r>
              <w:rPr>
                <w:rFonts w:ascii="Aptos" w:hAnsi="Aptos"/>
                <w:b w:val="0"/>
                <w:color w:val="17365D"/>
                <w:sz w:val="19"/>
              </w:rPr>
              <w:t>High dimensionality</w:t>
            </w:r>
          </w:p>
        </w:tc>
        <w:tc>
          <w:tcPr>
            <w:tcW w:type="dxa" w:w="3360"/>
            <w:vAlign w:val="center"/>
          </w:tcPr>
          <w:p>
            <w:r/>
            <w:r>
              <w:rPr>
                <w:rFonts w:ascii="Aptos" w:hAnsi="Aptos"/>
                <w:b w:val="0"/>
                <w:color w:val="17365D"/>
                <w:sz w:val="19"/>
              </w:rPr>
              <w:t>Overfitting/noise</w:t>
            </w:r>
          </w:p>
        </w:tc>
        <w:tc>
          <w:tcPr>
            <w:tcW w:type="dxa" w:w="3360"/>
            <w:vAlign w:val="center"/>
          </w:tcPr>
          <w:p>
            <w:r/>
            <w:r>
              <w:rPr>
                <w:rFonts w:ascii="Aptos" w:hAnsi="Aptos"/>
                <w:b w:val="0"/>
                <w:color w:val="17365D"/>
                <w:sz w:val="19"/>
              </w:rPr>
              <w:t>Regularization, feature selection and domain review</w:t>
            </w:r>
          </w:p>
        </w:tc>
      </w:tr>
      <w:tr>
        <w:tc>
          <w:tcPr>
            <w:tcW w:type="dxa" w:w="3360"/>
            <w:vAlign w:val="center"/>
            <w:shd w:fill="F3F7FB"/>
          </w:tcPr>
          <w:p>
            <w:r/>
            <w:r>
              <w:rPr>
                <w:rFonts w:ascii="Aptos" w:hAnsi="Aptos"/>
                <w:b w:val="0"/>
                <w:color w:val="17365D"/>
                <w:sz w:val="19"/>
              </w:rPr>
              <w:t>Patient-level dependence</w:t>
            </w:r>
          </w:p>
        </w:tc>
        <w:tc>
          <w:tcPr>
            <w:tcW w:type="dxa" w:w="3360"/>
            <w:vAlign w:val="center"/>
            <w:shd w:fill="F3F7FB"/>
          </w:tcPr>
          <w:p>
            <w:r/>
            <w:r>
              <w:rPr>
                <w:rFonts w:ascii="Aptos" w:hAnsi="Aptos"/>
                <w:b w:val="0"/>
                <w:color w:val="17365D"/>
                <w:sz w:val="19"/>
              </w:rPr>
              <w:t>Overoptimistic generalization</w:t>
            </w:r>
          </w:p>
        </w:tc>
        <w:tc>
          <w:tcPr>
            <w:tcW w:type="dxa" w:w="3360"/>
            <w:vAlign w:val="center"/>
            <w:shd w:fill="F3F7FB"/>
          </w:tcPr>
          <w:p>
            <w:r/>
            <w:r>
              <w:rPr>
                <w:rFonts w:ascii="Aptos" w:hAnsi="Aptos"/>
                <w:b w:val="0"/>
                <w:color w:val="17365D"/>
                <w:sz w:val="19"/>
              </w:rPr>
              <w:t>Group/patient-level splitting</w:t>
            </w:r>
          </w:p>
        </w:tc>
      </w:tr>
      <w:tr>
        <w:tc>
          <w:tcPr>
            <w:tcW w:type="dxa" w:w="3360"/>
            <w:vAlign w:val="center"/>
          </w:tcPr>
          <w:p>
            <w:r/>
            <w:r>
              <w:rPr>
                <w:rFonts w:ascii="Aptos" w:hAnsi="Aptos"/>
                <w:b w:val="0"/>
                <w:color w:val="17365D"/>
                <w:sz w:val="19"/>
              </w:rPr>
              <w:t>Temporal drift</w:t>
            </w:r>
          </w:p>
        </w:tc>
        <w:tc>
          <w:tcPr>
            <w:tcW w:type="dxa" w:w="3360"/>
            <w:vAlign w:val="center"/>
          </w:tcPr>
          <w:p>
            <w:r/>
            <w:r>
              <w:rPr>
                <w:rFonts w:ascii="Aptos" w:hAnsi="Aptos"/>
                <w:b w:val="0"/>
                <w:color w:val="17365D"/>
                <w:sz w:val="19"/>
              </w:rPr>
              <w:t>Performance changes over time</w:t>
            </w:r>
          </w:p>
        </w:tc>
        <w:tc>
          <w:tcPr>
            <w:tcW w:type="dxa" w:w="3360"/>
            <w:vAlign w:val="center"/>
          </w:tcPr>
          <w:p>
            <w:r/>
            <w:r>
              <w:rPr>
                <w:rFonts w:ascii="Aptos" w:hAnsi="Aptos"/>
                <w:b w:val="0"/>
                <w:color w:val="17365D"/>
                <w:sz w:val="19"/>
              </w:rPr>
              <w:t>Temporal validation and periodic monitoring</w:t>
            </w:r>
          </w:p>
        </w:tc>
      </w:tr>
      <w:tr>
        <w:tc>
          <w:tcPr>
            <w:tcW w:type="dxa" w:w="3360"/>
            <w:vAlign w:val="center"/>
            <w:shd w:fill="F3F7FB"/>
          </w:tcPr>
          <w:p>
            <w:r/>
            <w:r>
              <w:rPr>
                <w:rFonts w:ascii="Aptos" w:hAnsi="Aptos"/>
                <w:b w:val="0"/>
                <w:color w:val="17365D"/>
                <w:sz w:val="19"/>
              </w:rPr>
              <w:t>Bias across groups</w:t>
            </w:r>
          </w:p>
        </w:tc>
        <w:tc>
          <w:tcPr>
            <w:tcW w:type="dxa" w:w="3360"/>
            <w:vAlign w:val="center"/>
            <w:shd w:fill="F3F7FB"/>
          </w:tcPr>
          <w:p>
            <w:r/>
            <w:r>
              <w:rPr>
                <w:rFonts w:ascii="Aptos" w:hAnsi="Aptos"/>
                <w:b w:val="0"/>
                <w:color w:val="17365D"/>
                <w:sz w:val="19"/>
              </w:rPr>
              <w:t>Unequal error rates</w:t>
            </w:r>
          </w:p>
        </w:tc>
        <w:tc>
          <w:tcPr>
            <w:tcW w:type="dxa" w:w="3360"/>
            <w:vAlign w:val="center"/>
            <w:shd w:fill="F3F7FB"/>
          </w:tcPr>
          <w:p>
            <w:r/>
            <w:r>
              <w:rPr>
                <w:rFonts w:ascii="Aptos" w:hAnsi="Aptos"/>
                <w:b w:val="0"/>
                <w:color w:val="17365D"/>
                <w:sz w:val="19"/>
              </w:rPr>
              <w:t>Subgroup evaluation and fairness review</w:t>
            </w:r>
          </w:p>
        </w:tc>
      </w:tr>
      <w:tr>
        <w:tc>
          <w:tcPr>
            <w:tcW w:type="dxa" w:w="3360"/>
            <w:vAlign w:val="center"/>
          </w:tcPr>
          <w:p>
            <w:r/>
            <w:r>
              <w:rPr>
                <w:rFonts w:ascii="Aptos" w:hAnsi="Aptos"/>
                <w:b w:val="0"/>
                <w:color w:val="17365D"/>
                <w:sz w:val="19"/>
              </w:rPr>
              <w:t>Limited interpretability</w:t>
            </w:r>
          </w:p>
        </w:tc>
        <w:tc>
          <w:tcPr>
            <w:tcW w:type="dxa" w:w="3360"/>
            <w:vAlign w:val="center"/>
          </w:tcPr>
          <w:p>
            <w:r/>
            <w:r>
              <w:rPr>
                <w:rFonts w:ascii="Aptos" w:hAnsi="Aptos"/>
                <w:b w:val="0"/>
                <w:color w:val="17365D"/>
                <w:sz w:val="19"/>
              </w:rPr>
              <w:t>Low clinical trust</w:t>
            </w:r>
          </w:p>
        </w:tc>
        <w:tc>
          <w:tcPr>
            <w:tcW w:type="dxa" w:w="3360"/>
            <w:vAlign w:val="center"/>
          </w:tcPr>
          <w:p>
            <w:r/>
            <w:r>
              <w:rPr>
                <w:rFonts w:ascii="Aptos" w:hAnsi="Aptos"/>
                <w:b w:val="0"/>
                <w:color w:val="17365D"/>
                <w:sz w:val="19"/>
              </w:rPr>
              <w:t>Explainability methods and clinician review</w:t>
            </w:r>
          </w:p>
        </w:tc>
      </w:tr>
      <w:tr>
        <w:tc>
          <w:tcPr>
            <w:tcW w:type="dxa" w:w="3360"/>
            <w:vAlign w:val="center"/>
            <w:shd w:fill="F3F7FB"/>
          </w:tcPr>
          <w:p>
            <w:r/>
            <w:r>
              <w:rPr>
                <w:rFonts w:ascii="Aptos" w:hAnsi="Aptos"/>
                <w:b w:val="0"/>
                <w:color w:val="17365D"/>
                <w:sz w:val="19"/>
              </w:rPr>
              <w:t>Small sample size</w:t>
            </w:r>
          </w:p>
        </w:tc>
        <w:tc>
          <w:tcPr>
            <w:tcW w:type="dxa" w:w="3360"/>
            <w:vAlign w:val="center"/>
            <w:shd w:fill="F3F7FB"/>
          </w:tcPr>
          <w:p>
            <w:r/>
            <w:r>
              <w:rPr>
                <w:rFonts w:ascii="Aptos" w:hAnsi="Aptos"/>
                <w:b w:val="0"/>
                <w:color w:val="17365D"/>
                <w:sz w:val="19"/>
              </w:rPr>
              <w:t>Unstable estimates</w:t>
            </w:r>
          </w:p>
        </w:tc>
        <w:tc>
          <w:tcPr>
            <w:tcW w:type="dxa" w:w="3360"/>
            <w:vAlign w:val="center"/>
            <w:shd w:fill="F3F7FB"/>
          </w:tcPr>
          <w:p>
            <w:r/>
            <w:r>
              <w:rPr>
                <w:rFonts w:ascii="Aptos" w:hAnsi="Aptos"/>
                <w:b w:val="0"/>
                <w:color w:val="17365D"/>
                <w:sz w:val="19"/>
              </w:rPr>
              <w:t>Cross-validation, simpler models and confidence intervals</w:t>
            </w:r>
          </w:p>
        </w:tc>
      </w:tr>
    </w:tbl>
    <w:p>
      <w:r>
        <w:t>Healthcare data also has an important distinction between statistical prediction and clinical usefulness. A model can have strong discrimination but still be poorly calibrated or operationally unhelpful. Therefore, evaluation should include both technical performance and the intended workflow.</w:t>
      </w:r>
    </w:p>
    <w:p>
      <w:pPr>
        <w:pStyle w:val="Heading1"/>
      </w:pPr>
      <w:r>
        <w:t>12. Explainability, Fairness, Privacy and Clinical Safety</w:t>
      </w:r>
    </w:p>
    <w:p>
      <w:pPr>
        <w:pStyle w:val="Heading2"/>
      </w:pPr>
      <w:r>
        <w:t>12.1 Explainability</w:t>
      </w:r>
    </w:p>
    <w:p>
      <w:r>
        <w:t>Logistic Regression coefficients provide a direct baseline explanation. For Random Forest, permutation importance and SHAP-style explanations can help investigate which features influence predictions. Explanations should be treated as model behavior descriptions, not proof of causation.</w:t>
      </w:r>
    </w:p>
    <w:p>
      <w:pPr>
        <w:pStyle w:val="Heading2"/>
      </w:pPr>
      <w:r>
        <w:t>12.2 Fairness</w:t>
      </w:r>
    </w:p>
    <w:p>
      <w:r>
        <w:t>Performance should be examined across relevant demographic or clinical subgroups when legally and ethically appropriate. Compare metrics such as recall, specificity, precision and calibration across groups. A difference does not automatically prove discrimination, but it should trigger investigation of data quality, prevalence, feature availability and model behavior.</w:t>
      </w:r>
    </w:p>
    <w:p>
      <w:pPr>
        <w:pStyle w:val="Heading2"/>
      </w:pPr>
      <w:r>
        <w:t>12.3 Privacy and Security</w:t>
      </w:r>
    </w:p>
    <w:p>
      <w:pPr>
        <w:pStyle w:val="ListBullet"/>
        <w:spacing w:after="40"/>
      </w:pPr>
      <w:r>
        <w:t>Use de-identified or appropriately authorized data.</w:t>
      </w:r>
    </w:p>
    <w:p>
      <w:pPr>
        <w:pStyle w:val="ListBullet"/>
        <w:spacing w:after="40"/>
      </w:pPr>
      <w:r>
        <w:t>Avoid including names, addresses, phone numbers or other direct identifiers in the modeling table.</w:t>
      </w:r>
    </w:p>
    <w:p>
      <w:pPr>
        <w:pStyle w:val="ListBullet"/>
        <w:spacing w:after="40"/>
      </w:pPr>
      <w:r>
        <w:t>Restrict access to sensitive healthcare data and follow institutional data governance.</w:t>
      </w:r>
    </w:p>
    <w:p>
      <w:pPr>
        <w:pStyle w:val="ListBullet"/>
        <w:spacing w:after="40"/>
      </w:pPr>
      <w:r>
        <w:t>Keep raw data separate from code and do not upload confidential patient data to public repositories.</w:t>
      </w:r>
    </w:p>
    <w:p>
      <w:pPr>
        <w:pStyle w:val="Heading2"/>
      </w:pPr>
      <w:r>
        <w:t>12.4 Clinical Safety</w:t>
      </w:r>
    </w:p>
    <w:p>
      <w:r>
        <w:t>The prototype should be positioned as decision support rather than a replacement for clinical judgment. Before deployment, prospective validation, workflow testing, calibration, subgroup analysis, monitoring and appropriate clinical/regulatory review would be required.</w:t>
      </w:r>
    </w:p>
    <w:p>
      <w:pPr>
        <w:pStyle w:val="Heading1"/>
      </w:pPr>
      <w:r>
        <w:t>13. Practical Python Workflow</w:t>
      </w:r>
    </w:p>
    <w:p>
      <w:r>
        <w:t>The following code skeleton demonstrates a leakage-resistant implementation using pandas and scikit-learn. Column names should be adapted to the selected dataset.</w:t>
      </w:r>
    </w:p>
    <w:p>
      <w:r>
        <w:rPr>
          <w:rFonts w:ascii="Consolas" w:hAnsi="Consolas"/>
          <w:color w:val="202020"/>
          <w:sz w:val="16"/>
        </w:rPr>
        <w:t># Week 4: Healthcare Readmission Prediction</w:t>
        <w:br/>
        <w:t>import pandas as pd</w:t>
        <w:br/>
        <w:br/>
        <w:t>from sklearn.model_selection import train_test_split, StratifiedKFold, RandomizedSearchCV</w:t>
        <w:br/>
        <w:t>from sklearn.compose import ColumnTransformer</w:t>
        <w:br/>
        <w:t>from sklearn.pipeline import Pipeline</w:t>
        <w:br/>
        <w:t>from sklearn.preprocessing import OneHotEncoder, StandardScaler</w:t>
        <w:br/>
        <w:t>from sklearn.impute import SimpleImputer</w:t>
        <w:br/>
        <w:t>from sklearn.linear_model import LogisticRegression</w:t>
        <w:br/>
        <w:t>from sklearn.ensemble import RandomForestClassifier</w:t>
        <w:br/>
        <w:t>from sklearn.metrics import (</w:t>
        <w:br/>
        <w:t xml:space="preserve">    accuracy_score, precision_score, recall_score, f1_score,</w:t>
        <w:br/>
        <w:t xml:space="preserve">    roc_auc_score, average_precision_score, confusion_matrix</w:t>
        <w:br/>
        <w:t>)</w:t>
        <w:br/>
        <w:br/>
        <w:t># 1. Load data</w:t>
        <w:br/>
        <w:t>df = pd.read_csv("healthcare_readmission.csv")</w:t>
        <w:br/>
        <w:br/>
        <w:t># 2. Define target</w:t>
        <w:br/>
        <w:t>y = df["readmitted_30d"]</w:t>
        <w:br/>
        <w:t>X = df.drop(columns=["readmitted_30d"])</w:t>
        <w:br/>
        <w:br/>
        <w:t># 3. Split BEFORE fitting preprocessing</w:t>
        <w:br/>
        <w:t>X_train, X_temp, y_train, y_temp = train_test_split(</w:t>
        <w:br/>
        <w:t xml:space="preserve">    X, y, test_size=0.30, stratify=y, random_state=42</w:t>
        <w:br/>
        <w:t>)</w:t>
        <w:br/>
        <w:t>X_val, X_test, y_val, y_test = train_test_split(</w:t>
        <w:br/>
        <w:t xml:space="preserve">    X_temp, y_temp, test_size=0.50, stratify=y_temp, random_state=42</w:t>
        <w:br/>
        <w:t>)</w:t>
        <w:br/>
        <w:br/>
        <w:t># 4. Identify columns</w:t>
        <w:br/>
        <w:t>num_cols = X_train.select_dtypes(include=["int64", "float64"]).columns</w:t>
        <w:br/>
        <w:t>cat_cols = X_train.select_dtypes(include=["object", "category", "bool"]).columns</w:t>
        <w:br/>
        <w:br/>
        <w:t>numeric_pipe = Pipeline([</w:t>
        <w:br/>
        <w:t xml:space="preserve">    ("imputer", SimpleImputer(strategy="median")),</w:t>
        <w:br/>
        <w:t xml:space="preserve">    ("scaler", StandardScaler())</w:t>
        <w:br/>
        <w:t>])</w:t>
        <w:br/>
        <w:br/>
        <w:t>categorical_pipe = Pipeline([</w:t>
        <w:br/>
        <w:t xml:space="preserve">    ("imputer", SimpleImputer(strategy="most_frequent")),</w:t>
        <w:br/>
        <w:t xml:space="preserve">    ("onehot", OneHotEncoder(handle_unknown="ignore"))</w:t>
        <w:br/>
        <w:t>])</w:t>
        <w:br/>
        <w:br/>
        <w:t>preprocess = ColumnTransformer([</w:t>
        <w:br/>
        <w:t xml:space="preserve">    ("num", numeric_pipe, num_cols),</w:t>
        <w:br/>
        <w:t xml:space="preserve">    ("cat", categorical_pipe, cat_cols)</w:t>
        <w:br/>
        <w:t>])</w:t>
        <w:br/>
        <w:br/>
        <w:t># 5. Logistic Regression</w:t>
        <w:br/>
        <w:t>logistic_model = Pipeline([</w:t>
        <w:br/>
        <w:t xml:space="preserve">    ("prep", preprocess),</w:t>
        <w:br/>
        <w:t xml:space="preserve">    ("model", LogisticRegression(max_iter=2000, class_weight="balanced"))</w:t>
        <w:br/>
        <w:t>])</w:t>
        <w:br/>
        <w:br/>
        <w:t># 6. Random Forest</w:t>
        <w:br/>
        <w:t>rf_model = Pipeline([</w:t>
        <w:br/>
        <w:t xml:space="preserve">    ("prep", preprocess),</w:t>
        <w:br/>
        <w:t xml:space="preserve">    ("model", RandomForestClassifier(</w:t>
        <w:br/>
        <w:t xml:space="preserve">        n_estimators=300,</w:t>
        <w:br/>
        <w:t xml:space="preserve">        class_weight="balanced",</w:t>
        <w:br/>
        <w:t xml:space="preserve">        random_state=42,</w:t>
        <w:br/>
        <w:t xml:space="preserve">        n_jobs=-1</w:t>
        <w:br/>
        <w:t xml:space="preserve">    ))</w:t>
        <w:br/>
        <w:t>])</w:t>
        <w:br/>
        <w:br/>
        <w:t># 7. Train</w:t>
        <w:br/>
        <w:t>logistic_model.fit(X_train, y_train)</w:t>
        <w:br/>
        <w:t>rf_model.fit(X_train, y_train)</w:t>
        <w:br/>
        <w:br/>
        <w:t># 8. Predict probabilities on validation set</w:t>
        <w:br/>
        <w:t>log_val_prob = logistic_model.predict_proba(X_val)[:, 1]</w:t>
        <w:br/>
        <w:t>rf_val_prob = rf_model.predict_proba(X_val)[:, 1]</w:t>
        <w:br/>
        <w:br/>
        <w:t># 9. Compare discrimination</w:t>
        <w:br/>
        <w:t>print("Logistic ROC-AUC:", roc_auc_score(y_val, log_val_prob))</w:t>
        <w:br/>
        <w:t>print("Logistic PR-AUC:", average_precision_score(y_val, log_val_prob))</w:t>
        <w:br/>
        <w:t>print("RF ROC-AUC:", roc_auc_score(y_val, rf_val_prob))</w:t>
        <w:br/>
        <w:t>print("RF PR-AUC:", average_precision_score(y_val, rf_val_prob))</w:t>
        <w:br/>
        <w:br/>
        <w:t># 10. Example threshold evaluation</w:t>
        <w:br/>
        <w:t>threshold = 0.50</w:t>
        <w:br/>
        <w:t>rf_val_pred = (rf_val_prob &gt;= threshold).astype(int)</w:t>
        <w:br/>
        <w:br/>
        <w:t>print("Accuracy:", accuracy_score(y_val, rf_val_pred))</w:t>
        <w:br/>
        <w:t>print("Precision:", precision_score(y_val, rf_val_pred, zero_division=0))</w:t>
        <w:br/>
        <w:t>print("Recall:", recall_score(y_val, rf_val_pred, zero_division=0))</w:t>
        <w:br/>
        <w:t>print("F1:", f1_score(y_val, rf_val_pred, zero_division=0))</w:t>
        <w:br/>
        <w:t>print("Confusion matrix:\n", confusion_matrix(y_val, rf_val_pred))</w:t>
        <w:br/>
        <w:br/>
        <w:t># 11. After model/threshold decisions are frozen:</w:t>
        <w:br/>
        <w:t># evaluate exactly once on X_test/y_test.</w:t>
        <w:br/>
      </w:r>
    </w:p>
    <w:p>
      <w:r>
        <w:t>Note: For a formal experiment, hyperparameter search should be performed with cross-validation on the training partition, and the final test set should remain untouched until the end.</w:t>
      </w:r>
    </w:p>
    <w:p>
      <w:pPr>
        <w:pStyle w:val="Heading1"/>
      </w:pPr>
      <w:r>
        <w:t>14. Expected Results and Interpretation</w:t>
      </w:r>
    </w:p>
    <w:p>
      <w:r>
        <w:t>Because the actual dataset and experimental run are not fixed in this planning document, numerical performance values should not be invented. The final report should populate a results table after running the pipeline.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17365D"/>
          </w:tcPr>
          <w:p>
            <w:r>
              <w:rPr>
                <w:color w:val="FFFFFF"/>
              </w:rPr>
            </w:r>
            <w:r>
              <w:rPr>
                <w:rFonts w:ascii="Aptos" w:hAnsi="Aptos"/>
                <w:b/>
                <w:color w:val="17365D"/>
                <w:sz w:val="19"/>
              </w:rPr>
              <w:t>Model</w:t>
            </w:r>
          </w:p>
        </w:tc>
        <w:tc>
          <w:tcPr>
            <w:tcW w:type="dxa" w:w="1440"/>
            <w:vAlign w:val="center"/>
            <w:shd w:fill="17365D"/>
          </w:tcPr>
          <w:p>
            <w:r>
              <w:rPr>
                <w:color w:val="FFFFFF"/>
              </w:rPr>
            </w:r>
            <w:r>
              <w:rPr>
                <w:rFonts w:ascii="Aptos" w:hAnsi="Aptos"/>
                <w:b/>
                <w:color w:val="17365D"/>
                <w:sz w:val="19"/>
              </w:rPr>
              <w:t>Accuracy</w:t>
            </w:r>
          </w:p>
        </w:tc>
        <w:tc>
          <w:tcPr>
            <w:tcW w:type="dxa" w:w="1440"/>
            <w:vAlign w:val="center"/>
            <w:shd w:fill="17365D"/>
          </w:tcPr>
          <w:p>
            <w:r>
              <w:rPr>
                <w:color w:val="FFFFFF"/>
              </w:rPr>
            </w:r>
            <w:r>
              <w:rPr>
                <w:rFonts w:ascii="Aptos" w:hAnsi="Aptos"/>
                <w:b/>
                <w:color w:val="17365D"/>
                <w:sz w:val="19"/>
              </w:rPr>
              <w:t>Precision</w:t>
            </w:r>
          </w:p>
        </w:tc>
        <w:tc>
          <w:tcPr>
            <w:tcW w:type="dxa" w:w="1440"/>
            <w:vAlign w:val="center"/>
            <w:shd w:fill="17365D"/>
          </w:tcPr>
          <w:p>
            <w:r>
              <w:rPr>
                <w:color w:val="FFFFFF"/>
              </w:rPr>
            </w:r>
            <w:r>
              <w:rPr>
                <w:rFonts w:ascii="Aptos" w:hAnsi="Aptos"/>
                <w:b/>
                <w:color w:val="17365D"/>
                <w:sz w:val="19"/>
              </w:rPr>
              <w:t>Recall</w:t>
            </w:r>
          </w:p>
        </w:tc>
        <w:tc>
          <w:tcPr>
            <w:tcW w:type="dxa" w:w="1440"/>
            <w:vAlign w:val="center"/>
            <w:shd w:fill="17365D"/>
          </w:tcPr>
          <w:p>
            <w:r>
              <w:rPr>
                <w:color w:val="FFFFFF"/>
              </w:rPr>
            </w:r>
            <w:r>
              <w:rPr>
                <w:rFonts w:ascii="Aptos" w:hAnsi="Aptos"/>
                <w:b/>
                <w:color w:val="17365D"/>
                <w:sz w:val="19"/>
              </w:rPr>
              <w:t>F1</w:t>
            </w:r>
          </w:p>
        </w:tc>
        <w:tc>
          <w:tcPr>
            <w:tcW w:type="dxa" w:w="1440"/>
            <w:vAlign w:val="center"/>
            <w:shd w:fill="17365D"/>
          </w:tcPr>
          <w:p>
            <w:r>
              <w:rPr>
                <w:color w:val="FFFFFF"/>
              </w:rPr>
            </w:r>
            <w:r>
              <w:rPr>
                <w:rFonts w:ascii="Aptos" w:hAnsi="Aptos"/>
                <w:b/>
                <w:color w:val="17365D"/>
                <w:sz w:val="19"/>
              </w:rPr>
              <w:t>ROC-AUC</w:t>
            </w:r>
          </w:p>
        </w:tc>
        <w:tc>
          <w:tcPr>
            <w:tcW w:type="dxa" w:w="1440"/>
            <w:vAlign w:val="center"/>
            <w:shd w:fill="17365D"/>
          </w:tcPr>
          <w:p>
            <w:r>
              <w:rPr>
                <w:color w:val="FFFFFF"/>
              </w:rPr>
            </w:r>
            <w:r>
              <w:rPr>
                <w:rFonts w:ascii="Aptos" w:hAnsi="Aptos"/>
                <w:b/>
                <w:color w:val="17365D"/>
                <w:sz w:val="19"/>
              </w:rPr>
              <w:t>PR-AUC</w:t>
            </w:r>
          </w:p>
        </w:tc>
      </w:tr>
      <w:tr>
        <w:tc>
          <w:tcPr>
            <w:tcW w:type="dxa" w:w="1440"/>
            <w:vAlign w:val="center"/>
            <w:shd w:fill="F3F7FB"/>
          </w:tcPr>
          <w:p>
            <w:r/>
            <w:r>
              <w:rPr>
                <w:rFonts w:ascii="Aptos" w:hAnsi="Aptos"/>
                <w:b w:val="0"/>
                <w:color w:val="17365D"/>
                <w:sz w:val="19"/>
              </w:rPr>
              <w:t>Logistic Regression</w:t>
            </w:r>
          </w:p>
        </w:tc>
        <w:tc>
          <w:tcPr>
            <w:tcW w:type="dxa" w:w="1440"/>
            <w:vAlign w:val="center"/>
            <w:shd w:fill="F3F7FB"/>
          </w:tcPr>
          <w:p>
            <w:r/>
            <w:r>
              <w:rPr>
                <w:rFonts w:ascii="Aptos" w:hAnsi="Aptos"/>
                <w:b w:val="0"/>
                <w:color w:val="17365D"/>
                <w:sz w:val="19"/>
              </w:rPr>
              <w:t>To be measured</w:t>
            </w:r>
          </w:p>
        </w:tc>
        <w:tc>
          <w:tcPr>
            <w:tcW w:type="dxa" w:w="1440"/>
            <w:vAlign w:val="center"/>
            <w:shd w:fill="F3F7FB"/>
          </w:tcPr>
          <w:p>
            <w:r/>
            <w:r>
              <w:rPr>
                <w:rFonts w:ascii="Aptos" w:hAnsi="Aptos"/>
                <w:b w:val="0"/>
                <w:color w:val="17365D"/>
                <w:sz w:val="19"/>
              </w:rPr>
              <w:t>To be measured</w:t>
            </w:r>
          </w:p>
        </w:tc>
        <w:tc>
          <w:tcPr>
            <w:tcW w:type="dxa" w:w="1440"/>
            <w:vAlign w:val="center"/>
            <w:shd w:fill="F3F7FB"/>
          </w:tcPr>
          <w:p>
            <w:r/>
            <w:r>
              <w:rPr>
                <w:rFonts w:ascii="Aptos" w:hAnsi="Aptos"/>
                <w:b w:val="0"/>
                <w:color w:val="17365D"/>
                <w:sz w:val="19"/>
              </w:rPr>
              <w:t>To be measured</w:t>
            </w:r>
          </w:p>
        </w:tc>
        <w:tc>
          <w:tcPr>
            <w:tcW w:type="dxa" w:w="1440"/>
            <w:vAlign w:val="center"/>
            <w:shd w:fill="F3F7FB"/>
          </w:tcPr>
          <w:p>
            <w:r/>
            <w:r>
              <w:rPr>
                <w:rFonts w:ascii="Aptos" w:hAnsi="Aptos"/>
                <w:b w:val="0"/>
                <w:color w:val="17365D"/>
                <w:sz w:val="19"/>
              </w:rPr>
              <w:t>To be measured</w:t>
            </w:r>
          </w:p>
        </w:tc>
        <w:tc>
          <w:tcPr>
            <w:tcW w:type="dxa" w:w="1440"/>
            <w:vAlign w:val="center"/>
            <w:shd w:fill="F3F7FB"/>
          </w:tcPr>
          <w:p>
            <w:r/>
            <w:r>
              <w:rPr>
                <w:rFonts w:ascii="Aptos" w:hAnsi="Aptos"/>
                <w:b w:val="0"/>
                <w:color w:val="17365D"/>
                <w:sz w:val="19"/>
              </w:rPr>
              <w:t>To be measured</w:t>
            </w:r>
          </w:p>
        </w:tc>
        <w:tc>
          <w:tcPr>
            <w:tcW w:type="dxa" w:w="1440"/>
            <w:vAlign w:val="center"/>
            <w:shd w:fill="F3F7FB"/>
          </w:tcPr>
          <w:p>
            <w:r/>
            <w:r>
              <w:rPr>
                <w:rFonts w:ascii="Aptos" w:hAnsi="Aptos"/>
                <w:b w:val="0"/>
                <w:color w:val="17365D"/>
                <w:sz w:val="19"/>
              </w:rPr>
              <w:t>To be measured</w:t>
            </w:r>
          </w:p>
        </w:tc>
      </w:tr>
      <w:tr>
        <w:tc>
          <w:tcPr>
            <w:tcW w:type="dxa" w:w="1440"/>
            <w:vAlign w:val="center"/>
          </w:tcPr>
          <w:p>
            <w:r/>
            <w:r>
              <w:rPr>
                <w:rFonts w:ascii="Aptos" w:hAnsi="Aptos"/>
                <w:b w:val="0"/>
                <w:color w:val="17365D"/>
                <w:sz w:val="19"/>
              </w:rPr>
              <w:t>Random Forest</w:t>
            </w:r>
          </w:p>
        </w:tc>
        <w:tc>
          <w:tcPr>
            <w:tcW w:type="dxa" w:w="1440"/>
            <w:vAlign w:val="center"/>
          </w:tcPr>
          <w:p>
            <w:r/>
            <w:r>
              <w:rPr>
                <w:rFonts w:ascii="Aptos" w:hAnsi="Aptos"/>
                <w:b w:val="0"/>
                <w:color w:val="17365D"/>
                <w:sz w:val="19"/>
              </w:rPr>
              <w:t>To be measured</w:t>
            </w:r>
          </w:p>
        </w:tc>
        <w:tc>
          <w:tcPr>
            <w:tcW w:type="dxa" w:w="1440"/>
            <w:vAlign w:val="center"/>
          </w:tcPr>
          <w:p>
            <w:r/>
            <w:r>
              <w:rPr>
                <w:rFonts w:ascii="Aptos" w:hAnsi="Aptos"/>
                <w:b w:val="0"/>
                <w:color w:val="17365D"/>
                <w:sz w:val="19"/>
              </w:rPr>
              <w:t>To be measured</w:t>
            </w:r>
          </w:p>
        </w:tc>
        <w:tc>
          <w:tcPr>
            <w:tcW w:type="dxa" w:w="1440"/>
            <w:vAlign w:val="center"/>
          </w:tcPr>
          <w:p>
            <w:r/>
            <w:r>
              <w:rPr>
                <w:rFonts w:ascii="Aptos" w:hAnsi="Aptos"/>
                <w:b w:val="0"/>
                <w:color w:val="17365D"/>
                <w:sz w:val="19"/>
              </w:rPr>
              <w:t>To be measured</w:t>
            </w:r>
          </w:p>
        </w:tc>
        <w:tc>
          <w:tcPr>
            <w:tcW w:type="dxa" w:w="1440"/>
            <w:vAlign w:val="center"/>
          </w:tcPr>
          <w:p>
            <w:r/>
            <w:r>
              <w:rPr>
                <w:rFonts w:ascii="Aptos" w:hAnsi="Aptos"/>
                <w:b w:val="0"/>
                <w:color w:val="17365D"/>
                <w:sz w:val="19"/>
              </w:rPr>
              <w:t>To be measured</w:t>
            </w:r>
          </w:p>
        </w:tc>
        <w:tc>
          <w:tcPr>
            <w:tcW w:type="dxa" w:w="1440"/>
            <w:vAlign w:val="center"/>
          </w:tcPr>
          <w:p>
            <w:r/>
            <w:r>
              <w:rPr>
                <w:rFonts w:ascii="Aptos" w:hAnsi="Aptos"/>
                <w:b w:val="0"/>
                <w:color w:val="17365D"/>
                <w:sz w:val="19"/>
              </w:rPr>
              <w:t>To be measured</w:t>
            </w:r>
          </w:p>
        </w:tc>
        <w:tc>
          <w:tcPr>
            <w:tcW w:type="dxa" w:w="1440"/>
            <w:vAlign w:val="center"/>
          </w:tcPr>
          <w:p>
            <w:r/>
            <w:r>
              <w:rPr>
                <w:rFonts w:ascii="Aptos" w:hAnsi="Aptos"/>
                <w:b w:val="0"/>
                <w:color w:val="17365D"/>
                <w:sz w:val="19"/>
              </w:rPr>
              <w:t>To be measured</w:t>
            </w:r>
          </w:p>
        </w:tc>
      </w:tr>
    </w:tbl>
    <w:p>
      <w:r>
        <w:t>Interpretation example: if Random Forest produces higher ROC-AUC and PR-AUC but Logistic Regression has similar recall and substantially easier interpretation, the final choice should be tied to the intended use case, calibration, threshold behavior, subgroup performance and operational requirements rather than a single score.</w:t>
      </w:r>
    </w:p>
    <w:p>
      <w:pPr>
        <w:pStyle w:val="Heading1"/>
      </w:pPr>
      <w:r>
        <w:t>15. Conclusion</w:t>
      </w:r>
    </w:p>
    <w:p>
      <w:r>
        <w:t>This Week 4 project establishes a complete predictive modeling strategy for healthcare readmission risk. The workflow begins with a clearly defined prediction target and prediction-time feature set, followed by leakage-safe preprocessing, clinically motivated feature engineering, stratified data splitting and cross-validation. Logistic Regression provides an interpretable baseline, while Random Forest provides a flexible non-linear alternative. Evaluation uses multiple complementary metrics, with special attention to recall, precision, ROC-AUC, PR-AUC and calibration. The strategy also addresses class imbalance, patient-level dependence, temporal drift, fairness, privacy and clinical safety. The resulting system is suitable as an academic prototype and provides a foundation for a later hands-on implementation and validation study.</w:t>
      </w:r>
    </w:p>
    <w:p>
      <w:pPr>
        <w:pStyle w:val="Heading1"/>
      </w:pPr>
      <w:r>
        <w:t>16. References</w:t>
      </w:r>
    </w:p>
    <w:p>
      <w:pPr>
        <w:pStyle w:val="ListNumber"/>
      </w:pPr>
      <w:r>
        <w:t>Rajkomar, A., Dean, J., &amp; Kohane, I. (2019). Machine Learning in Medicine. New England Journal of Medicine, 380, 1347–1358. https://doi.org/10.1056/NEJMra1814259</w:t>
      </w:r>
    </w:p>
    <w:p>
      <w:pPr>
        <w:pStyle w:val="ListNumber"/>
      </w:pPr>
      <w:r>
        <w:t>Beam, A. L., &amp; Kohane, I. S. (2018). Big Data and Machine Learning in Health Care. JAMA, 319(13), 1317–1318. https://doi.org/10.1001/jama.2017.18391</w:t>
      </w:r>
    </w:p>
    <w:p>
      <w:pPr>
        <w:pStyle w:val="ListNumber"/>
      </w:pPr>
      <w:r>
        <w:t>Johnson, A. E. W., Pollard, T. J., Shen, L., et al. (2016). MIMIC-III, a freely accessible critical care database. Scientific Data, 3, 160035. https://doi.org/10.1038/sdata.2016.35</w:t>
      </w:r>
    </w:p>
    <w:p>
      <w:pPr>
        <w:pStyle w:val="ListNumber"/>
      </w:pPr>
      <w:r>
        <w:t>Strack, B., DeShazo, J. P., Gennings, C., et al. (2014). Impact of HbA1c Measurement on Hospital Readmission Rates: Analysis of 70,000 Clinical Database Patient Records. BioMed Research International, 2014, 781670. https://doi.org/10.1155/2014/781670</w:t>
      </w:r>
    </w:p>
    <w:p>
      <w:pPr>
        <w:pStyle w:val="ListNumber"/>
      </w:pPr>
      <w:r>
        <w:t>Pedregosa, F., Varoquaux, G., Gramfort, A., et al. (2011). Scikit-learn: Machine Learning in Python. Journal of Machine Learning Research, 12, 2825–2830.</w:t>
      </w:r>
    </w:p>
    <w:p>
      <w:pPr>
        <w:pStyle w:val="ListNumber"/>
      </w:pPr>
      <w:r>
        <w:t>Saito, T., &amp; Rehmsmeier, M. (2015). The Precision-Recall Plot Is More Informative than the ROC Plot When Evaluating Binary Classifiers on Imbalanced Datasets. PLOS ONE, 10(3), e0118432. https://doi.org/10.1371/journal.pone.0118432</w:t>
      </w:r>
    </w:p>
    <w:p>
      <w:pPr>
        <w:pStyle w:val="Heading1"/>
      </w:pPr>
      <w:r>
        <w:t>Appendix A — Week 4 Completion Checklist</w:t>
      </w:r>
    </w:p>
    <w:p>
      <w:pPr>
        <w:pStyle w:val="ListBullet"/>
        <w:spacing w:after="40"/>
      </w:pPr>
      <w:r>
        <w:t>☐ Healthcare prediction problem clearly defined</w:t>
      </w:r>
    </w:p>
    <w:p>
      <w:pPr>
        <w:pStyle w:val="ListBullet"/>
        <w:spacing w:after="40"/>
      </w:pPr>
      <w:r>
        <w:t>☐ Literature review completed</w:t>
      </w:r>
    </w:p>
    <w:p>
      <w:pPr>
        <w:pStyle w:val="ListBullet"/>
        <w:spacing w:after="40"/>
      </w:pPr>
      <w:r>
        <w:t>☐ At least two models selected and justified</w:t>
      </w:r>
    </w:p>
    <w:p>
      <w:pPr>
        <w:pStyle w:val="ListBullet"/>
        <w:spacing w:after="40"/>
      </w:pPr>
      <w:r>
        <w:t>☐ Data splitting strategy documented</w:t>
      </w:r>
    </w:p>
    <w:p>
      <w:pPr>
        <w:pStyle w:val="ListBullet"/>
        <w:spacing w:after="40"/>
      </w:pPr>
      <w:r>
        <w:t>☐ Feature engineering strategy documented</w:t>
      </w:r>
    </w:p>
    <w:p>
      <w:pPr>
        <w:pStyle w:val="ListBullet"/>
        <w:spacing w:after="40"/>
      </w:pPr>
      <w:r>
        <w:t>☐ Cross-validation strategy documented</w:t>
      </w:r>
    </w:p>
    <w:p>
      <w:pPr>
        <w:pStyle w:val="ListBullet"/>
        <w:spacing w:after="40"/>
      </w:pPr>
      <w:r>
        <w:t>☐ Hyperparameter tuning strategy documented</w:t>
      </w:r>
    </w:p>
    <w:p>
      <w:pPr>
        <w:pStyle w:val="ListBullet"/>
        <w:spacing w:after="40"/>
      </w:pPr>
      <w:r>
        <w:t>☐ Accuracy, ROC-AUC, precision and recall explained</w:t>
      </w:r>
    </w:p>
    <w:p>
      <w:pPr>
        <w:pStyle w:val="ListBullet"/>
        <w:spacing w:after="40"/>
      </w:pPr>
      <w:r>
        <w:t>☐ PR-AUC, F1, specificity and calibration added</w:t>
      </w:r>
    </w:p>
    <w:p>
      <w:pPr>
        <w:pStyle w:val="ListBullet"/>
        <w:spacing w:after="40"/>
      </w:pPr>
      <w:r>
        <w:t>☐ Common healthcare ML challenges and solutions discussed</w:t>
      </w:r>
    </w:p>
    <w:p>
      <w:pPr>
        <w:pStyle w:val="ListBullet"/>
        <w:spacing w:after="40"/>
      </w:pPr>
      <w:r>
        <w:t>☐ Leakage, imbalance, fairness, privacy and safety addressed</w:t>
      </w:r>
    </w:p>
    <w:p>
      <w:pPr>
        <w:pStyle w:val="ListBullet"/>
        <w:spacing w:after="40"/>
      </w:pPr>
      <w:r>
        <w:t>☐ Python implementation skeleton included</w:t>
      </w:r>
    </w:p>
    <w:p>
      <w:pPr>
        <w:pStyle w:val="ListBullet"/>
        <w:spacing w:after="40"/>
      </w:pPr>
      <w:r>
        <w:t>☐ Final test results to be added after actual model execution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Week 4 | Predictive Modeling and Machine Learning Strategy Development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75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