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TECHNICAL REPORT</w:t>
      </w:r>
    </w:p>
    <w:p>
      <w:pPr>
        <w:jc w:val="center"/>
      </w:pPr>
      <w:r>
        <w:rPr>
          <w:b/>
          <w:sz w:val="48"/>
        </w:rPr>
        <w:t>Data Collection, Cleaning, and Preprocessing Workflow Design</w:t>
      </w:r>
    </w:p>
    <w:p>
      <w:pPr>
        <w:jc w:val="center"/>
      </w:pPr>
      <w:r>
        <w:rPr>
          <w:i/>
          <w:sz w:val="28"/>
        </w:rPr>
        <w:t>Healthcare Data Analytics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Task</w:t>
            </w:r>
          </w:p>
        </w:tc>
        <w:tc>
          <w:tcPr>
            <w:tcW w:type="dxa" w:w="4968"/>
            <w:vAlign w:val="center"/>
          </w:tcPr>
          <w:p>
            <w:r/>
            <w:r>
              <w:rPr>
                <w:b w:val="0"/>
                <w:sz w:val="18"/>
              </w:rPr>
              <w:t>Week 2 – Data Collection, Cleaning &amp; Preprocessing</w:t>
            </w:r>
          </w:p>
        </w:tc>
      </w:tr>
      <w:tr>
        <w:tc>
          <w:tcPr>
            <w:tcW w:type="dxa" w:w="4968"/>
            <w:vAlign w:val="center"/>
            <w:shd w:fill="EAF2F8"/>
          </w:tcPr>
          <w:p>
            <w:r/>
            <w:r>
              <w:rPr>
                <w:b/>
                <w:sz w:val="18"/>
              </w:rPr>
              <w:t>Domain</w:t>
            </w:r>
          </w:p>
        </w:tc>
        <w:tc>
          <w:tcPr>
            <w:tcW w:type="dxa" w:w="4968"/>
            <w:vAlign w:val="center"/>
          </w:tcPr>
          <w:p>
            <w:r/>
            <w:r>
              <w:rPr>
                <w:b w:val="0"/>
                <w:sz w:val="18"/>
              </w:rPr>
              <w:t>Healthcare Data Analytics</w:t>
            </w:r>
          </w:p>
        </w:tc>
      </w:tr>
      <w:tr>
        <w:tc>
          <w:tcPr>
            <w:tcW w:type="dxa" w:w="4968"/>
            <w:vAlign w:val="center"/>
            <w:shd w:fill="EAF2F8"/>
          </w:tcPr>
          <w:p>
            <w:r/>
            <w:r>
              <w:rPr>
                <w:b/>
                <w:sz w:val="18"/>
              </w:rPr>
              <w:t>Primary Tools</w:t>
            </w:r>
          </w:p>
        </w:tc>
        <w:tc>
          <w:tcPr>
            <w:tcW w:type="dxa" w:w="4968"/>
            <w:vAlign w:val="center"/>
          </w:tcPr>
          <w:p>
            <w:r/>
            <w:r>
              <w:rPr>
                <w:b w:val="0"/>
                <w:sz w:val="18"/>
              </w:rPr>
              <w:t>Python, Pandas, NumPy, SciPy, scikit-learn, Matplotlib, Seaborn</w:t>
            </w:r>
          </w:p>
        </w:tc>
      </w:tr>
      <w:tr>
        <w:tc>
          <w:tcPr>
            <w:tcW w:type="dxa" w:w="4968"/>
            <w:vAlign w:val="center"/>
            <w:shd w:fill="EAF2F8"/>
          </w:tcPr>
          <w:p>
            <w:r/>
            <w:r>
              <w:rPr>
                <w:b/>
                <w:sz w:val="18"/>
              </w:rPr>
              <w:t>Deliverable</w:t>
            </w:r>
          </w:p>
        </w:tc>
        <w:tc>
          <w:tcPr>
            <w:tcW w:type="dxa" w:w="4968"/>
            <w:vAlign w:val="center"/>
          </w:tcPr>
          <w:p>
            <w:r/>
            <w:r>
              <w:rPr>
                <w:b w:val="0"/>
                <w:sz w:val="18"/>
              </w:rPr>
              <w:t>Professional workflow and implementation plan with embedded flowchart</w:t>
            </w:r>
          </w:p>
        </w:tc>
      </w:tr>
      <w:tr>
        <w:tc>
          <w:tcPr>
            <w:tcW w:type="dxa" w:w="4968"/>
            <w:vAlign w:val="center"/>
            <w:shd w:fill="EAF2F8"/>
          </w:tcPr>
          <w:p>
            <w:r/>
            <w:r>
              <w:rPr>
                <w:b/>
                <w:sz w:val="18"/>
              </w:rPr>
              <w:t>Date</w:t>
            </w:r>
          </w:p>
        </w:tc>
        <w:tc>
          <w:tcPr>
            <w:tcW w:type="dxa" w:w="4968"/>
            <w:vAlign w:val="center"/>
          </w:tcPr>
          <w:p>
            <w:r/>
            <w:r>
              <w:rPr>
                <w:b w:val="0"/>
                <w:sz w:val="18"/>
              </w:rPr>
              <w:t>29 August 2026</w:t>
            </w:r>
          </w:p>
        </w:tc>
      </w:tr>
    </w:tbl>
    <w:p/>
    <w:p>
      <w:pPr>
        <w:jc w:val="center"/>
      </w:pPr>
      <w:r>
        <w:rPr>
          <w:sz w:val="20"/>
        </w:rPr>
        <w:t>Prepared as a practical, reproducible plan for converting raw healthcare data into analysis-ready data.</w:t>
      </w:r>
    </w:p>
    <w:p>
      <w:r>
        <w:br w:type="page"/>
      </w:r>
    </w:p>
    <w:p>
      <w:pPr>
        <w:pStyle w:val="Heading1"/>
      </w:pPr>
      <w:r>
        <w:t>1. Executive Summary</w:t>
      </w:r>
    </w:p>
    <w:p>
      <w:r>
        <w:t>This report presents a complete, reproducible workflow for collecting, assessing, cleaning, integrating, transforming, and validating healthcare-related data before analysis or machine-learning use. Healthcare data can originate from electronic health records, laboratory systems, surveys, public-health reporting systems, wearable devices, claims, or publicly released research datasets. These sources commonly contain missing values, duplicate records, inconsistent formats, coding differences, impossible measurements, outliers, and privacy risks. The workflow therefore treats data quality as a sequence of measurable quality gates rather than as a single cleaning step.</w:t>
      </w:r>
    </w:p>
    <w:p>
      <w:r>
        <w:t>The proposed implementation is Python-based. Pandas is used for tabular ingestion, profiling, filtering, joining, and cleaning; NumPy supports numerical operations and missing-value handling; SciPy provides statistical utilities; scikit-learn provides reproducible imputers, encoders, scaling, pipelines, and train/test-safe transformations; Matplotlib and Seaborn support visual quality assessment. The workflow also emphasizes documentation, audit trails, data dictionaries, validation rules, reproducibility, and privacy-by-design.</w:t>
      </w:r>
    </w:p>
    <w:p>
      <w:r>
        <w:t>The plan is designed so that a public dataset can be substituted without changing the overall architecture. Candidate sources include PhysioNet research datasets such as MIMIC-IV, WHO health-service/public-health data, and other openly licensed datasets. Before using any dataset, its license, access requirements, de-identification status, intended use, and data dictionary must be reviewed.</w:t>
      </w:r>
    </w:p>
    <w:p>
      <w:pPr>
        <w:pStyle w:val="Heading1"/>
      </w:pPr>
      <w:r>
        <w:t>2. Objectives and Scope</w:t>
      </w:r>
    </w:p>
    <w:p>
      <w:pPr>
        <w:pStyle w:val="ListBullet"/>
      </w:pPr>
      <w:r>
        <w:t>Identify appropriate public healthcare datasets and document their provenance, license, granularity, and limitations.</w:t>
      </w:r>
    </w:p>
    <w:p>
      <w:pPr>
        <w:pStyle w:val="ListBullet"/>
      </w:pPr>
      <w:r>
        <w:t>Build a repeatable data-ingestion process for CSV, Excel, JSON, and API-based sources.</w:t>
      </w:r>
    </w:p>
    <w:p>
      <w:pPr>
        <w:pStyle w:val="ListBullet"/>
      </w:pPr>
      <w:r>
        <w:t>Profile data structure, completeness, uniqueness, validity, distributions, and relationships between variables.</w:t>
      </w:r>
    </w:p>
    <w:p>
      <w:pPr>
        <w:pStyle w:val="ListBullet"/>
      </w:pPr>
      <w:r>
        <w:t>Detect and treat missing values, duplicate records, inconsistent categories, invalid dates, impossible measurements, and anomalies.</w:t>
      </w:r>
    </w:p>
    <w:p>
      <w:pPr>
        <w:pStyle w:val="ListBullet"/>
      </w:pPr>
      <w:r>
        <w:t>Integrate multiple sources while preserving keys, units, time semantics, and provenance.</w:t>
      </w:r>
    </w:p>
    <w:p>
      <w:pPr>
        <w:pStyle w:val="ListBullet"/>
      </w:pPr>
      <w:r>
        <w:t>Transform variables into consistent formats suitable for statistical analysis and machine learning.</w:t>
      </w:r>
    </w:p>
    <w:p>
      <w:pPr>
        <w:pStyle w:val="ListBullet"/>
      </w:pPr>
      <w:r>
        <w:t>Prevent data leakage by fitting learned preprocessing steps only on training data.</w:t>
      </w:r>
    </w:p>
    <w:p>
      <w:pPr>
        <w:pStyle w:val="ListBullet"/>
      </w:pPr>
      <w:r>
        <w:t>Create measurable quality gates and a final analysis-ready dataset.</w:t>
      </w:r>
    </w:p>
    <w:p>
      <w:pPr>
        <w:pStyle w:val="ListBullet"/>
      </w:pPr>
      <w:r>
        <w:t>Document decisions, assumptions, rejected records, transformations, and limitations.</w:t>
      </w:r>
    </w:p>
    <w:p>
      <w:pPr>
        <w:pStyle w:val="Heading1"/>
      </w:pPr>
      <w:r>
        <w:t>3. Research: Healthcare Dataset Landscape</w:t>
      </w:r>
    </w:p>
    <w:p>
      <w:r>
        <w:t>Public healthcare data is available at several levels: patient-level research data, aggregated public-health indicators, facility-level reporting, surveys, and physiological signals. The choice depends on the analytical question.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Dataset/source type</w:t>
            </w:r>
          </w:p>
        </w:tc>
        <w:tc>
          <w:tcPr>
            <w:tcW w:type="dxa" w:w="1987"/>
            <w:vAlign w:val="center"/>
            <w:shd w:fill="D9EAF7"/>
          </w:tcPr>
          <w:p>
            <w:r/>
            <w:r>
              <w:rPr>
                <w:b/>
                <w:sz w:val="18"/>
              </w:rPr>
              <w:t>Typical granularity</w:t>
            </w:r>
          </w:p>
        </w:tc>
        <w:tc>
          <w:tcPr>
            <w:tcW w:type="dxa" w:w="1987"/>
            <w:vAlign w:val="center"/>
            <w:shd w:fill="D9EAF7"/>
          </w:tcPr>
          <w:p>
            <w:r/>
            <w:r>
              <w:rPr>
                <w:b/>
                <w:sz w:val="18"/>
              </w:rPr>
              <w:t>Example variables</w:t>
            </w:r>
          </w:p>
        </w:tc>
        <w:tc>
          <w:tcPr>
            <w:tcW w:type="dxa" w:w="1987"/>
            <w:vAlign w:val="center"/>
            <w:shd w:fill="D9EAF7"/>
          </w:tcPr>
          <w:p>
            <w:r/>
            <w:r>
              <w:rPr>
                <w:b/>
                <w:sz w:val="18"/>
              </w:rPr>
              <w:t>Strength</w:t>
            </w:r>
          </w:p>
        </w:tc>
        <w:tc>
          <w:tcPr>
            <w:tcW w:type="dxa" w:w="1987"/>
            <w:vAlign w:val="center"/>
            <w:shd w:fill="D9EAF7"/>
          </w:tcPr>
          <w:p>
            <w:r/>
            <w:r>
              <w:rPr>
                <w:b/>
                <w:sz w:val="18"/>
              </w:rPr>
              <w:t>Main challenge</w:t>
            </w:r>
          </w:p>
        </w:tc>
      </w:tr>
      <w:tr>
        <w:tc>
          <w:tcPr>
            <w:tcW w:type="dxa" w:w="1987"/>
            <w:vAlign w:val="center"/>
          </w:tcPr>
          <w:p>
            <w:r/>
            <w:r>
              <w:rPr>
                <w:b w:val="0"/>
                <w:sz w:val="18"/>
              </w:rPr>
              <w:t>Clinical research/EHR</w:t>
            </w:r>
          </w:p>
        </w:tc>
        <w:tc>
          <w:tcPr>
            <w:tcW w:type="dxa" w:w="1987"/>
            <w:vAlign w:val="center"/>
          </w:tcPr>
          <w:p>
            <w:r/>
            <w:r>
              <w:rPr>
                <w:b w:val="0"/>
                <w:sz w:val="18"/>
              </w:rPr>
              <w:t>Patient / encounter</w:t>
            </w:r>
          </w:p>
        </w:tc>
        <w:tc>
          <w:tcPr>
            <w:tcW w:type="dxa" w:w="1987"/>
            <w:vAlign w:val="center"/>
          </w:tcPr>
          <w:p>
            <w:r/>
            <w:r>
              <w:rPr>
                <w:b w:val="0"/>
                <w:sz w:val="18"/>
              </w:rPr>
              <w:t>Age, diagnoses, labs, medications, vitals</w:t>
            </w:r>
          </w:p>
        </w:tc>
        <w:tc>
          <w:tcPr>
            <w:tcW w:type="dxa" w:w="1987"/>
            <w:vAlign w:val="center"/>
          </w:tcPr>
          <w:p>
            <w:r/>
            <w:r>
              <w:rPr>
                <w:b w:val="0"/>
                <w:sz w:val="18"/>
              </w:rPr>
              <w:t>Rich clinical detail</w:t>
            </w:r>
          </w:p>
        </w:tc>
        <w:tc>
          <w:tcPr>
            <w:tcW w:type="dxa" w:w="1987"/>
            <w:vAlign w:val="center"/>
          </w:tcPr>
          <w:p>
            <w:r/>
            <w:r>
              <w:rPr>
                <w:b w:val="0"/>
                <w:sz w:val="18"/>
              </w:rPr>
              <w:t>Access, privacy, missingness, coding complexity</w:t>
            </w:r>
          </w:p>
        </w:tc>
      </w:tr>
      <w:tr>
        <w:tc>
          <w:tcPr>
            <w:tcW w:type="dxa" w:w="1987"/>
            <w:vAlign w:val="center"/>
          </w:tcPr>
          <w:p>
            <w:r/>
            <w:r>
              <w:rPr>
                <w:b w:val="0"/>
                <w:sz w:val="18"/>
              </w:rPr>
              <w:t>Public-health indicators</w:t>
            </w:r>
          </w:p>
        </w:tc>
        <w:tc>
          <w:tcPr>
            <w:tcW w:type="dxa" w:w="1987"/>
            <w:vAlign w:val="center"/>
          </w:tcPr>
          <w:p>
            <w:r/>
            <w:r>
              <w:rPr>
                <w:b w:val="0"/>
                <w:sz w:val="18"/>
              </w:rPr>
              <w:t>Country/region/time</w:t>
            </w:r>
          </w:p>
        </w:tc>
        <w:tc>
          <w:tcPr>
            <w:tcW w:type="dxa" w:w="1987"/>
            <w:vAlign w:val="center"/>
          </w:tcPr>
          <w:p>
            <w:r/>
            <w:r>
              <w:rPr>
                <w:b w:val="0"/>
                <w:sz w:val="18"/>
              </w:rPr>
              <w:t>Mortality, incidence, vaccination, service coverage</w:t>
            </w:r>
          </w:p>
        </w:tc>
        <w:tc>
          <w:tcPr>
            <w:tcW w:type="dxa" w:w="1987"/>
            <w:vAlign w:val="center"/>
          </w:tcPr>
          <w:p>
            <w:r/>
            <w:r>
              <w:rPr>
                <w:b w:val="0"/>
                <w:sz w:val="18"/>
              </w:rPr>
              <w:t>Broad population coverage</w:t>
            </w:r>
          </w:p>
        </w:tc>
        <w:tc>
          <w:tcPr>
            <w:tcW w:type="dxa" w:w="1987"/>
            <w:vAlign w:val="center"/>
          </w:tcPr>
          <w:p>
            <w:r/>
            <w:r>
              <w:rPr>
                <w:b w:val="0"/>
                <w:sz w:val="18"/>
              </w:rPr>
              <w:t>Aggregation and comparability</w:t>
            </w:r>
          </w:p>
        </w:tc>
      </w:tr>
      <w:tr>
        <w:tc>
          <w:tcPr>
            <w:tcW w:type="dxa" w:w="1987"/>
            <w:vAlign w:val="center"/>
          </w:tcPr>
          <w:p>
            <w:r/>
            <w:r>
              <w:rPr>
                <w:b w:val="0"/>
                <w:sz w:val="18"/>
              </w:rPr>
              <w:t>Health-facility data</w:t>
            </w:r>
          </w:p>
        </w:tc>
        <w:tc>
          <w:tcPr>
            <w:tcW w:type="dxa" w:w="1987"/>
            <w:vAlign w:val="center"/>
          </w:tcPr>
          <w:p>
            <w:r/>
            <w:r>
              <w:rPr>
                <w:b w:val="0"/>
                <w:sz w:val="18"/>
              </w:rPr>
              <w:t>Facility/month/program</w:t>
            </w:r>
          </w:p>
        </w:tc>
        <w:tc>
          <w:tcPr>
            <w:tcW w:type="dxa" w:w="1987"/>
            <w:vAlign w:val="center"/>
          </w:tcPr>
          <w:p>
            <w:r/>
            <w:r>
              <w:rPr>
                <w:b w:val="0"/>
                <w:sz w:val="18"/>
              </w:rPr>
              <w:t>Visits, tests, treatments, stock/services</w:t>
            </w:r>
          </w:p>
        </w:tc>
        <w:tc>
          <w:tcPr>
            <w:tcW w:type="dxa" w:w="1987"/>
            <w:vAlign w:val="center"/>
          </w:tcPr>
          <w:p>
            <w:r/>
            <w:r>
              <w:rPr>
                <w:b w:val="0"/>
                <w:sz w:val="18"/>
              </w:rPr>
              <w:t>Operational monitoring</w:t>
            </w:r>
          </w:p>
        </w:tc>
        <w:tc>
          <w:tcPr>
            <w:tcW w:type="dxa" w:w="1987"/>
            <w:vAlign w:val="center"/>
          </w:tcPr>
          <w:p>
            <w:r/>
            <w:r>
              <w:rPr>
                <w:b w:val="0"/>
                <w:sz w:val="18"/>
              </w:rPr>
              <w:t>Reporting completeness and consistency</w:t>
            </w:r>
          </w:p>
        </w:tc>
      </w:tr>
      <w:tr>
        <w:tc>
          <w:tcPr>
            <w:tcW w:type="dxa" w:w="1987"/>
            <w:vAlign w:val="center"/>
          </w:tcPr>
          <w:p>
            <w:r/>
            <w:r>
              <w:rPr>
                <w:b w:val="0"/>
                <w:sz w:val="18"/>
              </w:rPr>
              <w:t>Wearable/IoT data</w:t>
            </w:r>
          </w:p>
        </w:tc>
        <w:tc>
          <w:tcPr>
            <w:tcW w:type="dxa" w:w="1987"/>
            <w:vAlign w:val="center"/>
          </w:tcPr>
          <w:p>
            <w:r/>
            <w:r>
              <w:rPr>
                <w:b w:val="0"/>
                <w:sz w:val="18"/>
              </w:rPr>
              <w:t>Time-series</w:t>
            </w:r>
          </w:p>
        </w:tc>
        <w:tc>
          <w:tcPr>
            <w:tcW w:type="dxa" w:w="1987"/>
            <w:vAlign w:val="center"/>
          </w:tcPr>
          <w:p>
            <w:r/>
            <w:r>
              <w:rPr>
                <w:b w:val="0"/>
                <w:sz w:val="18"/>
              </w:rPr>
              <w:t>Heart rate, steps, sleep, SpO2</w:t>
            </w:r>
          </w:p>
        </w:tc>
        <w:tc>
          <w:tcPr>
            <w:tcW w:type="dxa" w:w="1987"/>
            <w:vAlign w:val="center"/>
          </w:tcPr>
          <w:p>
            <w:r/>
            <w:r>
              <w:rPr>
                <w:b w:val="0"/>
                <w:sz w:val="18"/>
              </w:rPr>
              <w:t>High temporal resolution</w:t>
            </w:r>
          </w:p>
        </w:tc>
        <w:tc>
          <w:tcPr>
            <w:tcW w:type="dxa" w:w="1987"/>
            <w:vAlign w:val="center"/>
          </w:tcPr>
          <w:p>
            <w:r/>
            <w:r>
              <w:rPr>
                <w:b w:val="0"/>
                <w:sz w:val="18"/>
              </w:rPr>
              <w:t>Sensor noise, missing intervals, device differences</w:t>
            </w:r>
          </w:p>
        </w:tc>
      </w:tr>
      <w:tr>
        <w:tc>
          <w:tcPr>
            <w:tcW w:type="dxa" w:w="1987"/>
            <w:vAlign w:val="center"/>
          </w:tcPr>
          <w:p>
            <w:r/>
            <w:r>
              <w:rPr>
                <w:b w:val="0"/>
                <w:sz w:val="18"/>
              </w:rPr>
              <w:t>Survey data</w:t>
            </w:r>
          </w:p>
        </w:tc>
        <w:tc>
          <w:tcPr>
            <w:tcW w:type="dxa" w:w="1987"/>
            <w:vAlign w:val="center"/>
          </w:tcPr>
          <w:p>
            <w:r/>
            <w:r>
              <w:rPr>
                <w:b w:val="0"/>
                <w:sz w:val="18"/>
              </w:rPr>
              <w:t>Person/household</w:t>
            </w:r>
          </w:p>
        </w:tc>
        <w:tc>
          <w:tcPr>
            <w:tcW w:type="dxa" w:w="1987"/>
            <w:vAlign w:val="center"/>
          </w:tcPr>
          <w:p>
            <w:r/>
            <w:r>
              <w:rPr>
                <w:b w:val="0"/>
                <w:sz w:val="18"/>
              </w:rPr>
              <w:t>Demographics, behaviors, self-reported health</w:t>
            </w:r>
          </w:p>
        </w:tc>
        <w:tc>
          <w:tcPr>
            <w:tcW w:type="dxa" w:w="1987"/>
            <w:vAlign w:val="center"/>
          </w:tcPr>
          <w:p>
            <w:r/>
            <w:r>
              <w:rPr>
                <w:b w:val="0"/>
                <w:sz w:val="18"/>
              </w:rPr>
              <w:t>Context and social factors</w:t>
            </w:r>
          </w:p>
        </w:tc>
        <w:tc>
          <w:tcPr>
            <w:tcW w:type="dxa" w:w="1987"/>
            <w:vAlign w:val="center"/>
          </w:tcPr>
          <w:p>
            <w:r/>
            <w:r>
              <w:rPr>
                <w:b w:val="0"/>
                <w:sz w:val="18"/>
              </w:rPr>
              <w:t>Sampling bias, recall bias, item nonresponse</w:t>
            </w:r>
          </w:p>
        </w:tc>
      </w:tr>
    </w:tbl>
    <w:p>
      <w:r>
        <w:t>WHO notes that meaningful health-facility analysis requires understanding data quality and provides Data Quality Assurance resources for completeness, consistency, accuracy, verification, and system assessment. WHO also stresses timeliness, reliability, validity, comparability, secure processing, privacy, and transparent audit trails.</w:t>
      </w:r>
    </w:p>
    <w:p>
      <w:r>
        <w:t>Research references used in this plan:</w:t>
      </w:r>
    </w:p>
    <w:p>
      <w:pPr>
        <w:pStyle w:val="ListBullet"/>
      </w:pPr>
      <w:r>
        <w:t>WHO Data Quality Assurance: https://www.who.int/data/data-collection-tools/health-service-data/data-quality-assurance-dqa</w:t>
      </w:r>
    </w:p>
    <w:p>
      <w:pPr>
        <w:pStyle w:val="ListBullet"/>
      </w:pPr>
      <w:r>
        <w:t>WHO Data Quality Assurance – Framework and Metrics: https://www.who.int/publications/i/item/9789240047365</w:t>
      </w:r>
    </w:p>
    <w:p>
      <w:pPr>
        <w:pStyle w:val="ListBullet"/>
      </w:pPr>
      <w:r>
        <w:t>WHO Data Principles: https://data.who.int/about/data/who-data-principles</w:t>
      </w:r>
    </w:p>
    <w:p>
      <w:pPr>
        <w:pStyle w:val="ListBullet"/>
      </w:pPr>
      <w:r>
        <w:t>WHO Health Service Data: https://www.who.int/data/data-collection-tools/health-service-data/</w:t>
      </w:r>
    </w:p>
    <w:p>
      <w:pPr>
        <w:pStyle w:val="ListBullet"/>
      </w:pPr>
      <w:r>
        <w:t>Pandas User Guide: https://pandas.pydata.org/docs/user_guide/</w:t>
      </w:r>
    </w:p>
    <w:p>
      <w:pPr>
        <w:pStyle w:val="ListBullet"/>
      </w:pPr>
      <w:r>
        <w:t>Pandas Missing Values: https://pandas.pydata.org/docs/reference/missing_value.html</w:t>
      </w:r>
    </w:p>
    <w:p>
      <w:pPr>
        <w:pStyle w:val="ListBullet"/>
      </w:pPr>
      <w:r>
        <w:t>scikit-learn preprocessing documentation: https://scikit-learn.org/stable/modules/preprocessing.html</w:t>
      </w:r>
    </w:p>
    <w:p>
      <w:pPr>
        <w:pStyle w:val="Heading1"/>
      </w:pPr>
      <w:r>
        <w:t>4. Common Healthcare Data Quality Issues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Issue</w:t>
            </w:r>
          </w:p>
        </w:tc>
        <w:tc>
          <w:tcPr>
            <w:tcW w:type="dxa" w:w="3312"/>
            <w:vAlign w:val="center"/>
            <w:shd w:fill="D9EAF7"/>
          </w:tcPr>
          <w:p>
            <w:r/>
            <w:r>
              <w:rPr>
                <w:b/>
                <w:sz w:val="18"/>
              </w:rPr>
              <w:t>How it appears</w:t>
            </w:r>
          </w:p>
        </w:tc>
        <w:tc>
          <w:tcPr>
            <w:tcW w:type="dxa" w:w="3312"/>
            <w:vAlign w:val="center"/>
            <w:shd w:fill="D9EAF7"/>
          </w:tcPr>
          <w:p>
            <w:r/>
            <w:r>
              <w:rPr>
                <w:b/>
                <w:sz w:val="18"/>
              </w:rPr>
              <w:t>Planned response</w:t>
            </w:r>
          </w:p>
        </w:tc>
      </w:tr>
      <w:tr>
        <w:tc>
          <w:tcPr>
            <w:tcW w:type="dxa" w:w="3312"/>
            <w:vAlign w:val="center"/>
          </w:tcPr>
          <w:p>
            <w:r/>
            <w:r>
              <w:rPr>
                <w:b w:val="0"/>
                <w:sz w:val="18"/>
              </w:rPr>
              <w:t>Missing values</w:t>
            </w:r>
          </w:p>
        </w:tc>
        <w:tc>
          <w:tcPr>
            <w:tcW w:type="dxa" w:w="3312"/>
            <w:vAlign w:val="center"/>
          </w:tcPr>
          <w:p>
            <w:r/>
            <w:r>
              <w:rPr>
                <w:b w:val="0"/>
                <w:sz w:val="18"/>
              </w:rPr>
              <w:t>Blank fields, coded missing values such as 999/NA, incomplete encounters, or missing lab results.</w:t>
            </w:r>
          </w:p>
        </w:tc>
        <w:tc>
          <w:tcPr>
            <w:tcW w:type="dxa" w:w="3312"/>
            <w:vAlign w:val="center"/>
          </w:tcPr>
          <w:p>
            <w:r/>
            <w:r>
              <w:rPr>
                <w:b w:val="0"/>
                <w:sz w:val="18"/>
              </w:rPr>
              <w:t>Profile missingness by column and subgroup; distinguish structural missingness from accidental missingness; impute only when justified.</w:t>
            </w:r>
          </w:p>
        </w:tc>
      </w:tr>
      <w:tr>
        <w:tc>
          <w:tcPr>
            <w:tcW w:type="dxa" w:w="3312"/>
            <w:vAlign w:val="center"/>
          </w:tcPr>
          <w:p>
            <w:r/>
            <w:r>
              <w:rPr>
                <w:b w:val="0"/>
                <w:sz w:val="18"/>
              </w:rPr>
              <w:t>Duplicates</w:t>
            </w:r>
          </w:p>
        </w:tc>
        <w:tc>
          <w:tcPr>
            <w:tcW w:type="dxa" w:w="3312"/>
            <w:vAlign w:val="center"/>
          </w:tcPr>
          <w:p>
            <w:r/>
            <w:r>
              <w:rPr>
                <w:b w:val="0"/>
                <w:sz w:val="18"/>
              </w:rPr>
              <w:t>Repeated patient, encounter, transaction, or measurement records.</w:t>
            </w:r>
          </w:p>
        </w:tc>
        <w:tc>
          <w:tcPr>
            <w:tcW w:type="dxa" w:w="3312"/>
            <w:vAlign w:val="center"/>
          </w:tcPr>
          <w:p>
            <w:r/>
            <w:r>
              <w:rPr>
                <w:b w:val="0"/>
                <w:sz w:val="18"/>
              </w:rPr>
              <w:t>Define business keys; use exact and near-duplicate checks; retain the most reliable record according to documented rules.</w:t>
            </w:r>
          </w:p>
        </w:tc>
      </w:tr>
      <w:tr>
        <w:tc>
          <w:tcPr>
            <w:tcW w:type="dxa" w:w="3312"/>
            <w:vAlign w:val="center"/>
          </w:tcPr>
          <w:p>
            <w:r/>
            <w:r>
              <w:rPr>
                <w:b w:val="0"/>
                <w:sz w:val="18"/>
              </w:rPr>
              <w:t>Invalid ranges</w:t>
            </w:r>
          </w:p>
        </w:tc>
        <w:tc>
          <w:tcPr>
            <w:tcW w:type="dxa" w:w="3312"/>
            <w:vAlign w:val="center"/>
          </w:tcPr>
          <w:p>
            <w:r/>
            <w:r>
              <w:rPr>
                <w:b w:val="0"/>
                <w:sz w:val="18"/>
              </w:rPr>
              <w:t>Impossible age, negative pulse, invalid blood pressure, impossible dates, or inconsistent units.</w:t>
            </w:r>
          </w:p>
        </w:tc>
        <w:tc>
          <w:tcPr>
            <w:tcW w:type="dxa" w:w="3312"/>
            <w:vAlign w:val="center"/>
          </w:tcPr>
          <w:p>
            <w:r/>
            <w:r>
              <w:rPr>
                <w:b w:val="0"/>
                <w:sz w:val="18"/>
              </w:rPr>
              <w:t>Apply domain validation rules and flag/review rather than blindly deleting.</w:t>
            </w:r>
          </w:p>
        </w:tc>
      </w:tr>
      <w:tr>
        <w:tc>
          <w:tcPr>
            <w:tcW w:type="dxa" w:w="3312"/>
            <w:vAlign w:val="center"/>
          </w:tcPr>
          <w:p>
            <w:r/>
            <w:r>
              <w:rPr>
                <w:b w:val="0"/>
                <w:sz w:val="18"/>
              </w:rPr>
              <w:t>Inconsistent categories</w:t>
            </w:r>
          </w:p>
        </w:tc>
        <w:tc>
          <w:tcPr>
            <w:tcW w:type="dxa" w:w="3312"/>
            <w:vAlign w:val="center"/>
          </w:tcPr>
          <w:p>
            <w:r/>
            <w:r>
              <w:rPr>
                <w:b w:val="0"/>
                <w:sz w:val="18"/>
              </w:rPr>
              <w:t>Male/M/F/male, diagnosis codes with formatting differences, multiple spellings.</w:t>
            </w:r>
          </w:p>
        </w:tc>
        <w:tc>
          <w:tcPr>
            <w:tcW w:type="dxa" w:w="3312"/>
            <w:vAlign w:val="center"/>
          </w:tcPr>
          <w:p>
            <w:r/>
            <w:r>
              <w:rPr>
                <w:b w:val="0"/>
                <w:sz w:val="18"/>
              </w:rPr>
              <w:t>Normalize labels and map values through controlled dictionaries.</w:t>
            </w:r>
          </w:p>
        </w:tc>
      </w:tr>
      <w:tr>
        <w:tc>
          <w:tcPr>
            <w:tcW w:type="dxa" w:w="3312"/>
            <w:vAlign w:val="center"/>
          </w:tcPr>
          <w:p>
            <w:r/>
            <w:r>
              <w:rPr>
                <w:b w:val="0"/>
                <w:sz w:val="18"/>
              </w:rPr>
              <w:t>Outliers/anomalies</w:t>
            </w:r>
          </w:p>
        </w:tc>
        <w:tc>
          <w:tcPr>
            <w:tcW w:type="dxa" w:w="3312"/>
            <w:vAlign w:val="center"/>
          </w:tcPr>
          <w:p>
            <w:r/>
            <w:r>
              <w:rPr>
                <w:b w:val="0"/>
                <w:sz w:val="18"/>
              </w:rPr>
              <w:t>Extreme lab values, sensor spikes, duplicated measurements, data-entry errors.</w:t>
            </w:r>
          </w:p>
        </w:tc>
        <w:tc>
          <w:tcPr>
            <w:tcW w:type="dxa" w:w="3312"/>
            <w:vAlign w:val="center"/>
          </w:tcPr>
          <w:p>
            <w:r/>
            <w:r>
              <w:rPr>
                <w:b w:val="0"/>
                <w:sz w:val="18"/>
              </w:rPr>
              <w:t>Combine domain thresholds with statistical methods such as IQR or robust z-scores; preserve clinically plausible extremes.</w:t>
            </w:r>
          </w:p>
        </w:tc>
      </w:tr>
      <w:tr>
        <w:tc>
          <w:tcPr>
            <w:tcW w:type="dxa" w:w="3312"/>
            <w:vAlign w:val="center"/>
          </w:tcPr>
          <w:p>
            <w:r/>
            <w:r>
              <w:rPr>
                <w:b w:val="0"/>
                <w:sz w:val="18"/>
              </w:rPr>
              <w:t>Mixed formats</w:t>
            </w:r>
          </w:p>
        </w:tc>
        <w:tc>
          <w:tcPr>
            <w:tcW w:type="dxa" w:w="3312"/>
            <w:vAlign w:val="center"/>
          </w:tcPr>
          <w:p>
            <w:r/>
            <w:r>
              <w:rPr>
                <w:b w:val="0"/>
                <w:sz w:val="18"/>
              </w:rPr>
              <w:t>Dates stored as text, numbers stored with symbols, units embedded in strings.</w:t>
            </w:r>
          </w:p>
        </w:tc>
        <w:tc>
          <w:tcPr>
            <w:tcW w:type="dxa" w:w="3312"/>
            <w:vAlign w:val="center"/>
          </w:tcPr>
          <w:p>
            <w:r/>
            <w:r>
              <w:rPr>
                <w:b w:val="0"/>
                <w:sz w:val="18"/>
              </w:rPr>
              <w:t>Parse explicitly, standardize types, and store canonical units.</w:t>
            </w:r>
          </w:p>
        </w:tc>
      </w:tr>
      <w:tr>
        <w:tc>
          <w:tcPr>
            <w:tcW w:type="dxa" w:w="3312"/>
            <w:vAlign w:val="center"/>
          </w:tcPr>
          <w:p>
            <w:r/>
            <w:r>
              <w:rPr>
                <w:b w:val="0"/>
                <w:sz w:val="18"/>
              </w:rPr>
              <w:t>Data integration mismatch</w:t>
            </w:r>
          </w:p>
        </w:tc>
        <w:tc>
          <w:tcPr>
            <w:tcW w:type="dxa" w:w="3312"/>
            <w:vAlign w:val="center"/>
          </w:tcPr>
          <w:p>
            <w:r/>
            <w:r>
              <w:rPr>
                <w:b w:val="0"/>
                <w:sz w:val="18"/>
              </w:rPr>
              <w:t>Different identifiers, coding systems, time zones, units, aggregation levels.</w:t>
            </w:r>
          </w:p>
        </w:tc>
        <w:tc>
          <w:tcPr>
            <w:tcW w:type="dxa" w:w="3312"/>
            <w:vAlign w:val="center"/>
          </w:tcPr>
          <w:p>
            <w:r/>
            <w:r>
              <w:rPr>
                <w:b w:val="0"/>
                <w:sz w:val="18"/>
              </w:rPr>
              <w:t>Create a source-to-target mapping, harmonize keys/units, and validate joins.</w:t>
            </w:r>
          </w:p>
        </w:tc>
      </w:tr>
      <w:tr>
        <w:tc>
          <w:tcPr>
            <w:tcW w:type="dxa" w:w="3312"/>
            <w:vAlign w:val="center"/>
          </w:tcPr>
          <w:p>
            <w:r/>
            <w:r>
              <w:rPr>
                <w:b w:val="0"/>
                <w:sz w:val="18"/>
              </w:rPr>
              <w:t>Bias and leakage</w:t>
            </w:r>
          </w:p>
        </w:tc>
        <w:tc>
          <w:tcPr>
            <w:tcW w:type="dxa" w:w="3312"/>
            <w:vAlign w:val="center"/>
          </w:tcPr>
          <w:p>
            <w:r/>
            <w:r>
              <w:rPr>
                <w:b w:val="0"/>
                <w:sz w:val="18"/>
              </w:rPr>
              <w:t>Sampling bias, systematic missingness, duplicated patients across splits, target information leaking into features.</w:t>
            </w:r>
          </w:p>
        </w:tc>
        <w:tc>
          <w:tcPr>
            <w:tcW w:type="dxa" w:w="3312"/>
            <w:vAlign w:val="center"/>
          </w:tcPr>
          <w:p>
            <w:r/>
            <w:r>
              <w:rPr>
                <w:b w:val="0"/>
                <w:sz w:val="18"/>
              </w:rPr>
              <w:t>Assess subgroup coverage and missingness; split by patient/time when appropriate; fit transformations on training data only.</w:t>
            </w:r>
          </w:p>
        </w:tc>
      </w:tr>
      <w:tr>
        <w:tc>
          <w:tcPr>
            <w:tcW w:type="dxa" w:w="3312"/>
            <w:vAlign w:val="center"/>
          </w:tcPr>
          <w:p>
            <w:r/>
            <w:r>
              <w:rPr>
                <w:b w:val="0"/>
                <w:sz w:val="18"/>
              </w:rPr>
              <w:t>Privacy risk</w:t>
            </w:r>
          </w:p>
        </w:tc>
        <w:tc>
          <w:tcPr>
            <w:tcW w:type="dxa" w:w="3312"/>
            <w:vAlign w:val="center"/>
          </w:tcPr>
          <w:p>
            <w:r/>
            <w:r>
              <w:rPr>
                <w:b w:val="0"/>
                <w:sz w:val="18"/>
              </w:rPr>
              <w:t>Direct identifiers or quasi-identifiers that could enable re-identification.</w:t>
            </w:r>
          </w:p>
        </w:tc>
        <w:tc>
          <w:tcPr>
            <w:tcW w:type="dxa" w:w="3312"/>
            <w:vAlign w:val="center"/>
          </w:tcPr>
          <w:p>
            <w:r/>
            <w:r>
              <w:rPr>
                <w:b w:val="0"/>
                <w:sz w:val="18"/>
              </w:rPr>
              <w:t>Use de-identified/public data, minimize fields, restrict access, and never publish sensitive raw records.</w:t>
            </w:r>
          </w:p>
        </w:tc>
      </w:tr>
    </w:tbl>
    <w:p>
      <w:pPr>
        <w:pStyle w:val="Heading1"/>
      </w:pPr>
      <w:r>
        <w:t>5. Proposed End-to-End Workflow</w:t>
      </w:r>
    </w:p>
    <w:p>
      <w:pPr>
        <w:jc w:val="center"/>
      </w:pPr>
      <w:r>
        <w:drawing>
          <wp:inline xmlns:a="http://schemas.openxmlformats.org/drawingml/2006/main" xmlns:pic="http://schemas.openxmlformats.org/drawingml/2006/picture">
            <wp:extent cx="6217920" cy="3533048"/>
            <wp:docPr id="1" name="Picture 1"/>
            <wp:cNvGraphicFramePr>
              <a:graphicFrameLocks noChangeAspect="1"/>
            </wp:cNvGraphicFramePr>
            <a:graphic>
              <a:graphicData uri="http://schemas.openxmlformats.org/drawingml/2006/picture">
                <pic:pic>
                  <pic:nvPicPr>
                    <pic:cNvPr id="0" name="healthcare_preprocessing_workflow.png"/>
                    <pic:cNvPicPr/>
                  </pic:nvPicPr>
                  <pic:blipFill>
                    <a:blip r:embed="rId9"/>
                    <a:stretch>
                      <a:fillRect/>
                    </a:stretch>
                  </pic:blipFill>
                  <pic:spPr>
                    <a:xfrm>
                      <a:off x="0" y="0"/>
                      <a:ext cx="6217920" cy="3533048"/>
                    </a:xfrm>
                    <a:prstGeom prst="rect"/>
                  </pic:spPr>
                </pic:pic>
              </a:graphicData>
            </a:graphic>
          </wp:inline>
        </w:drawing>
      </w:r>
    </w:p>
    <w:p>
      <w:r>
        <w:t>Figure 1. Proposed healthcare data preprocessing workflow. Quality checks are treated as gates; if a dataset fails a quality gate, the process returns to profiling or cleaning rather than silently producing an unreliable dataset.</w:t>
      </w:r>
    </w:p>
    <w:p>
      <w:pPr>
        <w:pStyle w:val="Heading1"/>
      </w:pPr>
      <w:r>
        <w:t>6. Step-by-Step Data Collection Plan</w:t>
      </w:r>
    </w:p>
    <w:p>
      <w:pPr>
        <w:pStyle w:val="Heading2"/>
      </w:pPr>
      <w:r>
        <w:t>6.1 Define the analytical question</w:t>
      </w:r>
    </w:p>
    <w:p>
      <w:pPr>
        <w:pStyle w:val="ListBullet"/>
      </w:pPr>
      <w:r>
        <w:t>Specify target population, unit of analysis, time window, outcome/target, required variables, and acceptable granularity.</w:t>
      </w:r>
    </w:p>
    <w:p>
      <w:pPr>
        <w:pStyle w:val="ListBullet"/>
      </w:pPr>
      <w:r>
        <w:t>Define inclusion/exclusion criteria before inspecting outcomes to reduce selection bias.</w:t>
      </w:r>
    </w:p>
    <w:p>
      <w:pPr>
        <w:pStyle w:val="Heading2"/>
      </w:pPr>
      <w:r>
        <w:t>6.2 Select data sources</w:t>
      </w:r>
    </w:p>
    <w:p>
      <w:pPr>
        <w:pStyle w:val="ListBullet"/>
      </w:pPr>
      <w:r>
        <w:t>Prefer reputable public institutions, research repositories, or openly licensed datasets.</w:t>
      </w:r>
    </w:p>
    <w:p>
      <w:pPr>
        <w:pStyle w:val="ListBullet"/>
      </w:pPr>
      <w:r>
        <w:t>Record dataset name, publisher, version/date, URL, license, access conditions, data dictionary, and citation.</w:t>
      </w:r>
    </w:p>
    <w:p>
      <w:pPr>
        <w:pStyle w:val="Heading2"/>
      </w:pPr>
      <w:r>
        <w:t>6.3 Acquire data reproducibly</w:t>
      </w:r>
    </w:p>
    <w:p>
      <w:pPr>
        <w:pStyle w:val="ListBullet"/>
      </w:pPr>
      <w:r>
        <w:t>Keep raw files unchanged in a read-only/raw directory.</w:t>
      </w:r>
    </w:p>
    <w:p>
      <w:pPr>
        <w:pStyle w:val="ListBullet"/>
      </w:pPr>
      <w:r>
        <w:t>Record file hash/version where practical and preserve source metadata.</w:t>
      </w:r>
    </w:p>
    <w:p>
      <w:pPr>
        <w:pStyle w:val="ListBullet"/>
      </w:pPr>
      <w:r>
        <w:t>Use explicit encoding, delimiter, date parsing, and schema expectations.</w:t>
      </w:r>
    </w:p>
    <w:p>
      <w:pPr>
        <w:pStyle w:val="Heading2"/>
      </w:pPr>
      <w:r>
        <w:t>6.4 Establish data dictionary</w:t>
      </w:r>
    </w:p>
    <w:p>
      <w:pPr>
        <w:pStyle w:val="ListBullet"/>
      </w:pPr>
      <w:r>
        <w:t>For every field record name, description, type, unit, allowed values/range, missing-value code, source, and transformation.</w:t>
      </w:r>
    </w:p>
    <w:p>
      <w:pPr>
        <w:pStyle w:val="ListBullet"/>
      </w:pPr>
      <w:r>
        <w:t>Identify identifiers, timestamps, target variables, protected/sensitive fields, and derived variables.</w:t>
      </w:r>
    </w:p>
    <w:p>
      <w:pPr>
        <w:pStyle w:val="Heading1"/>
      </w:pPr>
      <w:r>
        <w:t>7. Exploratory Data Assessment and Profiling</w:t>
      </w:r>
    </w:p>
    <w:p>
      <w:r>
        <w:t>The first executable stage should create a reproducible data-quality baseline before any modification.</w:t>
      </w:r>
    </w:p>
    <w:p>
      <w:pPr>
        <w:pStyle w:val="ListBullet"/>
      </w:pPr>
      <w:r>
        <w:t>Shape: number of rows and columns; number of unique entities/patients/encounters.</w:t>
      </w:r>
    </w:p>
    <w:p>
      <w:pPr>
        <w:pStyle w:val="ListBullet"/>
      </w:pPr>
      <w:r>
        <w:t>Schema: data types, nullable fields, categorical cardinality, date/time columns.</w:t>
      </w:r>
    </w:p>
    <w:p>
      <w:pPr>
        <w:pStyle w:val="ListBullet"/>
      </w:pPr>
      <w:r>
        <w:t>Completeness: missing count and percentage overall and by clinically important subgroup.</w:t>
      </w:r>
    </w:p>
    <w:p>
      <w:pPr>
        <w:pStyle w:val="ListBullet"/>
      </w:pPr>
      <w:r>
        <w:t>Uniqueness: duplicate rows, duplicate identifiers, repeated encounters, and unexpected one-to-many relationships.</w:t>
      </w:r>
    </w:p>
    <w:p>
      <w:pPr>
        <w:pStyle w:val="ListBullet"/>
      </w:pPr>
      <w:r>
        <w:t>Validity: range checks, allowed categories, date logic, unit consistency, and referential integrity.</w:t>
      </w:r>
    </w:p>
    <w:p>
      <w:pPr>
        <w:pStyle w:val="ListBullet"/>
      </w:pPr>
      <w:r>
        <w:t>Distribution: descriptive statistics, quantiles, skewness, histograms, boxplots, and category frequencies.</w:t>
      </w:r>
    </w:p>
    <w:p>
      <w:pPr>
        <w:pStyle w:val="ListBullet"/>
      </w:pPr>
      <w:r>
        <w:t>Relationships: correlations for suitable numeric fields, cross-tabulations, and temporal consistency.</w:t>
      </w:r>
    </w:p>
    <w:p>
      <w:pPr>
        <w:pStyle w:val="ListBullet"/>
      </w:pPr>
      <w:r>
        <w:t>Data lineage: source file → raw table → cleaned table → transformed table.</w:t>
      </w:r>
    </w:p>
    <w:p>
      <w:r>
        <w:t>Example profiling skeleton:</w:t>
      </w:r>
    </w:p>
    <w:p>
      <w:r>
        <w:rPr>
          <w:rFonts w:ascii="Consolas" w:hAnsi="Consolas"/>
          <w:sz w:val="17"/>
        </w:rPr>
        <w:t>import pandas as pd</w:t>
        <w:br/>
        <w:t>import numpy as np</w:t>
        <w:br/>
        <w:br/>
        <w:t>df = pd.read_csv("raw/healthcare_data.csv")</w:t>
        <w:br/>
        <w:br/>
        <w:t>profile = pd.DataFrame({</w:t>
        <w:br/>
        <w:t xml:space="preserve">    "dtype": df.dtypes.astype(str),</w:t>
        <w:br/>
        <w:t xml:space="preserve">    "missing_count": df.isna().sum(),</w:t>
        <w:br/>
        <w:t xml:space="preserve">    "missing_pct": df.isna().mean().mul(100).round(2),</w:t>
        <w:br/>
        <w:t xml:space="preserve">    "unique_count": df.nunique(dropna=False)</w:t>
        <w:br/>
        <w:t>})</w:t>
        <w:br/>
        <w:br/>
        <w:t>print(df.shape)</w:t>
        <w:br/>
        <w:t>print(profile)</w:t>
        <w:br/>
        <w:t>print(df.describe(include="all").T)</w:t>
      </w:r>
    </w:p>
    <w:p>
      <w:pPr>
        <w:pStyle w:val="Heading1"/>
      </w:pPr>
      <w:r>
        <w:t>8. Data Cleaning Strategy</w:t>
      </w:r>
    </w:p>
    <w:p>
      <w:pPr>
        <w:pStyle w:val="Heading2"/>
      </w:pPr>
      <w:r>
        <w:t>8.1 Missing-value handling</w:t>
      </w:r>
    </w:p>
    <w:p>
      <w:pPr>
        <w:pStyle w:val="ListBullet"/>
      </w:pPr>
      <w:r>
        <w:t>First determine why a value is missing: not collected, not applicable, failed measurement, or unknown.</w:t>
      </w:r>
    </w:p>
    <w:p>
      <w:pPr>
        <w:pStyle w:val="ListBullet"/>
      </w:pPr>
      <w:r>
        <w:t>Convert sentinel values (for example, -999 or 9999 where documented) to proper missing values before calculating statistics.</w:t>
      </w:r>
    </w:p>
    <w:p>
      <w:pPr>
        <w:pStyle w:val="ListBullet"/>
      </w:pPr>
      <w:r>
        <w:t>For low-risk numeric variables, use median imputation when the distribution is skewed or outliers are present.</w:t>
      </w:r>
    </w:p>
    <w:p>
      <w:pPr>
        <w:pStyle w:val="ListBullet"/>
      </w:pPr>
      <w:r>
        <w:t>For categorical variables, use the mode only when appropriate; otherwise use an explicit 'Unknown' category.</w:t>
      </w:r>
    </w:p>
    <w:p>
      <w:pPr>
        <w:pStyle w:val="ListBullet"/>
      </w:pPr>
      <w:r>
        <w:t>For time-series data, use forward/backward filling only when clinically and temporally justified.</w:t>
      </w:r>
    </w:p>
    <w:p>
      <w:pPr>
        <w:pStyle w:val="ListBullet"/>
      </w:pPr>
      <w:r>
        <w:t>For high missingness, consider dropping the variable, excluding records, or using model-based methods; document the threshold and rationale.</w:t>
      </w:r>
    </w:p>
    <w:p>
      <w:pPr>
        <w:pStyle w:val="Heading2"/>
      </w:pPr>
      <w:r>
        <w:t>8.2 Duplicate detection</w:t>
      </w:r>
    </w:p>
    <w:p>
      <w:pPr>
        <w:pStyle w:val="ListBullet"/>
      </w:pPr>
      <w:r>
        <w:t>Remove exact duplicate rows only after checking whether repeated rows could represent legitimate repeated measurements.</w:t>
      </w:r>
    </w:p>
    <w:p>
      <w:pPr>
        <w:pStyle w:val="ListBullet"/>
      </w:pPr>
      <w:r>
        <w:t>For patient-level data, define an appropriate key such as patient_id + encounter_id + measurement_time + test_code.</w:t>
      </w:r>
    </w:p>
    <w:p>
      <w:pPr>
        <w:pStyle w:val="ListBullet"/>
      </w:pPr>
      <w:r>
        <w:t>If duplicate records conflict, do not choose arbitrarily: use source priority, timestamp, completeness, or validation rules.</w:t>
      </w:r>
    </w:p>
    <w:p>
      <w:pPr>
        <w:pStyle w:val="Heading2"/>
      </w:pPr>
      <w:r>
        <w:t>8.3 Invalid and anomalous values</w:t>
      </w:r>
    </w:p>
    <w:p>
      <w:pPr>
        <w:pStyle w:val="ListBullet"/>
      </w:pPr>
      <w:r>
        <w:t>Use domain rules for hard-invalid values (e.g., negative age).</w:t>
      </w:r>
    </w:p>
    <w:p>
      <w:pPr>
        <w:pStyle w:val="ListBullet"/>
      </w:pPr>
      <w:r>
        <w:t>Use soft flags for plausible but unusual values so clinically meaningful extremes are not automatically deleted.</w:t>
      </w:r>
    </w:p>
    <w:p>
      <w:pPr>
        <w:pStyle w:val="ListBullet"/>
      </w:pPr>
      <w:r>
        <w:t>For statistical outliers, use IQR or robust methods as supporting evidence, not as the only deletion criterion.</w:t>
      </w:r>
    </w:p>
    <w:p>
      <w:pPr>
        <w:pStyle w:val="ListBullet"/>
      </w:pPr>
      <w:r>
        <w:t>Keep a quality-log column such as 'bp_invalid_flag' or a separate issue table so corrections are auditable.</w:t>
      </w:r>
    </w:p>
    <w:p>
      <w:pPr>
        <w:pStyle w:val="Heading1"/>
      </w:pPr>
      <w:r>
        <w:t>9. Data Integration and Standardization</w:t>
      </w:r>
    </w:p>
    <w:p>
      <w:pPr>
        <w:pStyle w:val="ListNumber"/>
      </w:pPr>
      <w:r>
        <w:t>Inspect the schema of every source independently before joining.</w:t>
      </w:r>
    </w:p>
    <w:p>
      <w:pPr>
        <w:pStyle w:val="ListNumber"/>
      </w:pPr>
      <w:r>
        <w:t>Map identifiers and establish whether keys are patient-, encounter-, visit-, facility-, or event-level.</w:t>
      </w:r>
    </w:p>
    <w:p>
      <w:pPr>
        <w:pStyle w:val="ListNumber"/>
      </w:pPr>
      <w:r>
        <w:t>Standardize dates to a consistent timezone/format and preserve the original timestamp when useful.</w:t>
      </w:r>
    </w:p>
    <w:p>
      <w:pPr>
        <w:pStyle w:val="ListNumber"/>
      </w:pPr>
      <w:r>
        <w:t>Convert measurements to canonical units using documented conversion factors.</w:t>
      </w:r>
    </w:p>
    <w:p>
      <w:pPr>
        <w:pStyle w:val="ListNumber"/>
      </w:pPr>
      <w:r>
        <w:t>Map categorical values and codes through lookup tables rather than manual one-off replacements.</w:t>
      </w:r>
    </w:p>
    <w:p>
      <w:pPr>
        <w:pStyle w:val="ListNumber"/>
      </w:pPr>
      <w:r>
        <w:t>Join using explicit keys and validate expected cardinality (one-to-one, one-to-many, etc.).</w:t>
      </w:r>
    </w:p>
    <w:p>
      <w:pPr>
        <w:pStyle w:val="ListNumber"/>
      </w:pPr>
      <w:r>
        <w:t>After each merge, compare row counts, unmatched keys, duplicate keys, and key distributions.</w:t>
      </w:r>
    </w:p>
    <w:p>
      <w:pPr>
        <w:pStyle w:val="ListNumber"/>
      </w:pPr>
      <w:r>
        <w:t>Record provenance fields such as source_system, source_file, and extraction_date.</w:t>
      </w:r>
    </w:p>
    <w:p>
      <w:pPr>
        <w:pStyle w:val="Heading1"/>
      </w:pPr>
      <w:r>
        <w:t>10. Normalization and Transformation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Technique</w:t>
            </w:r>
          </w:p>
        </w:tc>
        <w:tc>
          <w:tcPr>
            <w:tcW w:type="dxa" w:w="2484"/>
            <w:vAlign w:val="center"/>
            <w:shd w:fill="D9EAF7"/>
          </w:tcPr>
          <w:p>
            <w:r/>
            <w:r>
              <w:rPr>
                <w:b/>
                <w:sz w:val="18"/>
              </w:rPr>
              <w:t>Purpose</w:t>
            </w:r>
          </w:p>
        </w:tc>
        <w:tc>
          <w:tcPr>
            <w:tcW w:type="dxa" w:w="2484"/>
            <w:vAlign w:val="center"/>
            <w:shd w:fill="D9EAF7"/>
          </w:tcPr>
          <w:p>
            <w:r/>
            <w:r>
              <w:rPr>
                <w:b/>
                <w:sz w:val="18"/>
              </w:rPr>
              <w:t>Python implementation</w:t>
            </w:r>
          </w:p>
        </w:tc>
        <w:tc>
          <w:tcPr>
            <w:tcW w:type="dxa" w:w="2484"/>
            <w:vAlign w:val="center"/>
            <w:shd w:fill="D9EAF7"/>
          </w:tcPr>
          <w:p>
            <w:r/>
            <w:r>
              <w:rPr>
                <w:b/>
                <w:sz w:val="18"/>
              </w:rPr>
              <w:t>Healthcare consideration</w:t>
            </w:r>
          </w:p>
        </w:tc>
      </w:tr>
      <w:tr>
        <w:tc>
          <w:tcPr>
            <w:tcW w:type="dxa" w:w="2484"/>
            <w:vAlign w:val="center"/>
          </w:tcPr>
          <w:p>
            <w:r/>
            <w:r>
              <w:rPr>
                <w:b w:val="0"/>
                <w:sz w:val="18"/>
              </w:rPr>
              <w:t>Standardization</w:t>
            </w:r>
          </w:p>
        </w:tc>
        <w:tc>
          <w:tcPr>
            <w:tcW w:type="dxa" w:w="2484"/>
            <w:vAlign w:val="center"/>
          </w:tcPr>
          <w:p>
            <w:r/>
            <w:r>
              <w:rPr>
                <w:b w:val="0"/>
                <w:sz w:val="18"/>
              </w:rPr>
              <w:t>Mean 0, SD 1 for algorithms sensitive to scale</w:t>
            </w:r>
          </w:p>
        </w:tc>
        <w:tc>
          <w:tcPr>
            <w:tcW w:type="dxa" w:w="2484"/>
            <w:vAlign w:val="center"/>
          </w:tcPr>
          <w:p>
            <w:r/>
            <w:r>
              <w:rPr>
                <w:b w:val="0"/>
                <w:sz w:val="18"/>
              </w:rPr>
              <w:t>StandardScaler</w:t>
            </w:r>
          </w:p>
        </w:tc>
        <w:tc>
          <w:tcPr>
            <w:tcW w:type="dxa" w:w="2484"/>
            <w:vAlign w:val="center"/>
          </w:tcPr>
          <w:p>
            <w:r/>
            <w:r>
              <w:rPr>
                <w:b w:val="0"/>
                <w:sz w:val="18"/>
              </w:rPr>
              <w:t>Fit on training data only.</w:t>
            </w:r>
          </w:p>
        </w:tc>
      </w:tr>
      <w:tr>
        <w:tc>
          <w:tcPr>
            <w:tcW w:type="dxa" w:w="2484"/>
            <w:vAlign w:val="center"/>
          </w:tcPr>
          <w:p>
            <w:r/>
            <w:r>
              <w:rPr>
                <w:b w:val="0"/>
                <w:sz w:val="18"/>
              </w:rPr>
              <w:t>Min-max scaling</w:t>
            </w:r>
          </w:p>
        </w:tc>
        <w:tc>
          <w:tcPr>
            <w:tcW w:type="dxa" w:w="2484"/>
            <w:vAlign w:val="center"/>
          </w:tcPr>
          <w:p>
            <w:r/>
            <w:r>
              <w:rPr>
                <w:b w:val="0"/>
                <w:sz w:val="18"/>
              </w:rPr>
              <w:t>Map numeric features to a bounded range</w:t>
            </w:r>
          </w:p>
        </w:tc>
        <w:tc>
          <w:tcPr>
            <w:tcW w:type="dxa" w:w="2484"/>
            <w:vAlign w:val="center"/>
          </w:tcPr>
          <w:p>
            <w:r/>
            <w:r>
              <w:rPr>
                <w:b w:val="0"/>
                <w:sz w:val="18"/>
              </w:rPr>
              <w:t>MinMaxScaler</w:t>
            </w:r>
          </w:p>
        </w:tc>
        <w:tc>
          <w:tcPr>
            <w:tcW w:type="dxa" w:w="2484"/>
            <w:vAlign w:val="center"/>
          </w:tcPr>
          <w:p>
            <w:r/>
            <w:r>
              <w:rPr>
                <w:b w:val="0"/>
                <w:sz w:val="18"/>
              </w:rPr>
              <w:t>Useful when range is meaningful; sensitive to extremes.</w:t>
            </w:r>
          </w:p>
        </w:tc>
      </w:tr>
      <w:tr>
        <w:tc>
          <w:tcPr>
            <w:tcW w:type="dxa" w:w="2484"/>
            <w:vAlign w:val="center"/>
          </w:tcPr>
          <w:p>
            <w:r/>
            <w:r>
              <w:rPr>
                <w:b w:val="0"/>
                <w:sz w:val="18"/>
              </w:rPr>
              <w:t>Robust scaling</w:t>
            </w:r>
          </w:p>
        </w:tc>
        <w:tc>
          <w:tcPr>
            <w:tcW w:type="dxa" w:w="2484"/>
            <w:vAlign w:val="center"/>
          </w:tcPr>
          <w:p>
            <w:r/>
            <w:r>
              <w:rPr>
                <w:b w:val="0"/>
                <w:sz w:val="18"/>
              </w:rPr>
              <w:t>Reduce effect of extreme values</w:t>
            </w:r>
          </w:p>
        </w:tc>
        <w:tc>
          <w:tcPr>
            <w:tcW w:type="dxa" w:w="2484"/>
            <w:vAlign w:val="center"/>
          </w:tcPr>
          <w:p>
            <w:r/>
            <w:r>
              <w:rPr>
                <w:b w:val="0"/>
                <w:sz w:val="18"/>
              </w:rPr>
              <w:t>RobustScaler</w:t>
            </w:r>
          </w:p>
        </w:tc>
        <w:tc>
          <w:tcPr>
            <w:tcW w:type="dxa" w:w="2484"/>
            <w:vAlign w:val="center"/>
          </w:tcPr>
          <w:p>
            <w:r/>
            <w:r>
              <w:rPr>
                <w:b w:val="0"/>
                <w:sz w:val="18"/>
              </w:rPr>
              <w:t>Useful for skewed clinical measurements.</w:t>
            </w:r>
          </w:p>
        </w:tc>
      </w:tr>
      <w:tr>
        <w:tc>
          <w:tcPr>
            <w:tcW w:type="dxa" w:w="2484"/>
            <w:vAlign w:val="center"/>
          </w:tcPr>
          <w:p>
            <w:r/>
            <w:r>
              <w:rPr>
                <w:b w:val="0"/>
                <w:sz w:val="18"/>
              </w:rPr>
              <w:t>One-hot encoding</w:t>
            </w:r>
          </w:p>
        </w:tc>
        <w:tc>
          <w:tcPr>
            <w:tcW w:type="dxa" w:w="2484"/>
            <w:vAlign w:val="center"/>
          </w:tcPr>
          <w:p>
            <w:r/>
            <w:r>
              <w:rPr>
                <w:b w:val="0"/>
                <w:sz w:val="18"/>
              </w:rPr>
              <w:t>Represent nominal categories numerically</w:t>
            </w:r>
          </w:p>
        </w:tc>
        <w:tc>
          <w:tcPr>
            <w:tcW w:type="dxa" w:w="2484"/>
            <w:vAlign w:val="center"/>
          </w:tcPr>
          <w:p>
            <w:r/>
            <w:r>
              <w:rPr>
                <w:b w:val="0"/>
                <w:sz w:val="18"/>
              </w:rPr>
              <w:t>OneHotEncoder</w:t>
            </w:r>
          </w:p>
        </w:tc>
        <w:tc>
          <w:tcPr>
            <w:tcW w:type="dxa" w:w="2484"/>
            <w:vAlign w:val="center"/>
          </w:tcPr>
          <w:p>
            <w:r/>
            <w:r>
              <w:rPr>
                <w:b w:val="0"/>
                <w:sz w:val="18"/>
              </w:rPr>
              <w:t>Avoid treating nominal codes as ordered.</w:t>
            </w:r>
          </w:p>
        </w:tc>
      </w:tr>
      <w:tr>
        <w:tc>
          <w:tcPr>
            <w:tcW w:type="dxa" w:w="2484"/>
            <w:vAlign w:val="center"/>
          </w:tcPr>
          <w:p>
            <w:r/>
            <w:r>
              <w:rPr>
                <w:b w:val="0"/>
                <w:sz w:val="18"/>
              </w:rPr>
              <w:t>Ordinal encoding</w:t>
            </w:r>
          </w:p>
        </w:tc>
        <w:tc>
          <w:tcPr>
            <w:tcW w:type="dxa" w:w="2484"/>
            <w:vAlign w:val="center"/>
          </w:tcPr>
          <w:p>
            <w:r/>
            <w:r>
              <w:rPr>
                <w:b w:val="0"/>
                <w:sz w:val="18"/>
              </w:rPr>
              <w:t>Represent true ordered categories</w:t>
            </w:r>
          </w:p>
        </w:tc>
        <w:tc>
          <w:tcPr>
            <w:tcW w:type="dxa" w:w="2484"/>
            <w:vAlign w:val="center"/>
          </w:tcPr>
          <w:p>
            <w:r/>
            <w:r>
              <w:rPr>
                <w:b w:val="0"/>
                <w:sz w:val="18"/>
              </w:rPr>
              <w:t>OrdinalEncoder</w:t>
            </w:r>
          </w:p>
        </w:tc>
        <w:tc>
          <w:tcPr>
            <w:tcW w:type="dxa" w:w="2484"/>
            <w:vAlign w:val="center"/>
          </w:tcPr>
          <w:p>
            <w:r/>
            <w:r>
              <w:rPr>
                <w:b w:val="0"/>
                <w:sz w:val="18"/>
              </w:rPr>
              <w:t>Use only where order is clinically meaningful.</w:t>
            </w:r>
          </w:p>
        </w:tc>
      </w:tr>
      <w:tr>
        <w:tc>
          <w:tcPr>
            <w:tcW w:type="dxa" w:w="2484"/>
            <w:vAlign w:val="center"/>
          </w:tcPr>
          <w:p>
            <w:r/>
            <w:r>
              <w:rPr>
                <w:b w:val="0"/>
                <w:sz w:val="18"/>
              </w:rPr>
              <w:t>Log transform</w:t>
            </w:r>
          </w:p>
        </w:tc>
        <w:tc>
          <w:tcPr>
            <w:tcW w:type="dxa" w:w="2484"/>
            <w:vAlign w:val="center"/>
          </w:tcPr>
          <w:p>
            <w:r/>
            <w:r>
              <w:rPr>
                <w:b w:val="0"/>
                <w:sz w:val="18"/>
              </w:rPr>
              <w:t>Reduce right skew</w:t>
            </w:r>
          </w:p>
        </w:tc>
        <w:tc>
          <w:tcPr>
            <w:tcW w:type="dxa" w:w="2484"/>
            <w:vAlign w:val="center"/>
          </w:tcPr>
          <w:p>
            <w:r/>
            <w:r>
              <w:rPr>
                <w:b w:val="0"/>
                <w:sz w:val="18"/>
              </w:rPr>
              <w:t>NumPy np.log1p</w:t>
            </w:r>
          </w:p>
        </w:tc>
        <w:tc>
          <w:tcPr>
            <w:tcW w:type="dxa" w:w="2484"/>
            <w:vAlign w:val="center"/>
          </w:tcPr>
          <w:p>
            <w:r/>
            <w:r>
              <w:rPr>
                <w:b w:val="0"/>
                <w:sz w:val="18"/>
              </w:rPr>
              <w:t>Only for non-negative values after checking meaning.</w:t>
            </w:r>
          </w:p>
        </w:tc>
      </w:tr>
      <w:tr>
        <w:tc>
          <w:tcPr>
            <w:tcW w:type="dxa" w:w="2484"/>
            <w:vAlign w:val="center"/>
          </w:tcPr>
          <w:p>
            <w:r/>
            <w:r>
              <w:rPr>
                <w:b w:val="0"/>
                <w:sz w:val="18"/>
              </w:rPr>
              <w:t>Aggregation</w:t>
            </w:r>
          </w:p>
        </w:tc>
        <w:tc>
          <w:tcPr>
            <w:tcW w:type="dxa" w:w="2484"/>
            <w:vAlign w:val="center"/>
          </w:tcPr>
          <w:p>
            <w:r/>
            <w:r>
              <w:rPr>
                <w:b w:val="0"/>
                <w:sz w:val="18"/>
              </w:rPr>
              <w:t>Convert event-level data to patient-level features</w:t>
            </w:r>
          </w:p>
        </w:tc>
        <w:tc>
          <w:tcPr>
            <w:tcW w:type="dxa" w:w="2484"/>
            <w:vAlign w:val="center"/>
          </w:tcPr>
          <w:p>
            <w:r/>
            <w:r>
              <w:rPr>
                <w:b w:val="0"/>
                <w:sz w:val="18"/>
              </w:rPr>
              <w:t>Pandas groupby</w:t>
            </w:r>
          </w:p>
        </w:tc>
        <w:tc>
          <w:tcPr>
            <w:tcW w:type="dxa" w:w="2484"/>
            <w:vAlign w:val="center"/>
          </w:tcPr>
          <w:p>
            <w:r/>
            <w:r>
              <w:rPr>
                <w:b w:val="0"/>
                <w:sz w:val="18"/>
              </w:rPr>
              <w:t>Define time windows to avoid future information leakage.</w:t>
            </w:r>
          </w:p>
        </w:tc>
      </w:tr>
    </w:tbl>
    <w:p>
      <w:pPr>
        <w:pStyle w:val="Heading1"/>
      </w:pPr>
      <w:r>
        <w:t>11. Python Libraries and Their Roles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Library/tool</w:t>
            </w:r>
          </w:p>
        </w:tc>
        <w:tc>
          <w:tcPr>
            <w:tcW w:type="dxa" w:w="4968"/>
            <w:vAlign w:val="center"/>
            <w:shd w:fill="D9EAF7"/>
          </w:tcPr>
          <w:p>
            <w:r/>
            <w:r>
              <w:rPr>
                <w:b/>
                <w:sz w:val="18"/>
              </w:rPr>
              <w:t>Proposed role</w:t>
            </w:r>
          </w:p>
        </w:tc>
      </w:tr>
      <w:tr>
        <w:tc>
          <w:tcPr>
            <w:tcW w:type="dxa" w:w="4968"/>
            <w:vAlign w:val="center"/>
          </w:tcPr>
          <w:p>
            <w:r/>
            <w:r>
              <w:rPr>
                <w:b/>
                <w:sz w:val="18"/>
              </w:rPr>
              <w:t>Pandas</w:t>
            </w:r>
          </w:p>
        </w:tc>
        <w:tc>
          <w:tcPr>
            <w:tcW w:type="dxa" w:w="4968"/>
            <w:vAlign w:val="center"/>
          </w:tcPr>
          <w:p>
            <w:r/>
            <w:r>
              <w:rPr>
                <w:b w:val="0"/>
                <w:sz w:val="18"/>
              </w:rPr>
              <w:t>Primary tabular data tool. Used for reading files, filtering, joins, groupby operations, missing-value analysis, type conversion, duplicate detection, and data dictionaries.</w:t>
            </w:r>
          </w:p>
        </w:tc>
      </w:tr>
      <w:tr>
        <w:tc>
          <w:tcPr>
            <w:tcW w:type="dxa" w:w="4968"/>
            <w:vAlign w:val="center"/>
          </w:tcPr>
          <w:p>
            <w:r/>
            <w:r>
              <w:rPr>
                <w:b/>
                <w:sz w:val="18"/>
              </w:rPr>
              <w:t>NumPy</w:t>
            </w:r>
          </w:p>
        </w:tc>
        <w:tc>
          <w:tcPr>
            <w:tcW w:type="dxa" w:w="4968"/>
            <w:vAlign w:val="center"/>
          </w:tcPr>
          <w:p>
            <w:r/>
            <w:r>
              <w:rPr>
                <w:b w:val="0"/>
                <w:sz w:val="18"/>
              </w:rPr>
              <w:t>Numerical foundation for arrays, vectorized calculations, NaN handling, clipping, transformations, and efficient numeric operations.</w:t>
            </w:r>
          </w:p>
        </w:tc>
      </w:tr>
      <w:tr>
        <w:tc>
          <w:tcPr>
            <w:tcW w:type="dxa" w:w="4968"/>
            <w:vAlign w:val="center"/>
          </w:tcPr>
          <w:p>
            <w:r/>
            <w:r>
              <w:rPr>
                <w:b/>
                <w:sz w:val="18"/>
              </w:rPr>
              <w:t>SciPy</w:t>
            </w:r>
          </w:p>
        </w:tc>
        <w:tc>
          <w:tcPr>
            <w:tcW w:type="dxa" w:w="4968"/>
            <w:vAlign w:val="center"/>
          </w:tcPr>
          <w:p>
            <w:r/>
            <w:r>
              <w:rPr>
                <w:b w:val="0"/>
                <w:sz w:val="18"/>
              </w:rPr>
              <w:t>Statistical utilities for distributions, robust statistics, hypothesis-related utilities, and scientific calculations where needed.</w:t>
            </w:r>
          </w:p>
        </w:tc>
      </w:tr>
      <w:tr>
        <w:tc>
          <w:tcPr>
            <w:tcW w:type="dxa" w:w="4968"/>
            <w:vAlign w:val="center"/>
          </w:tcPr>
          <w:p>
            <w:r/>
            <w:r>
              <w:rPr>
                <w:b/>
                <w:sz w:val="18"/>
              </w:rPr>
              <w:t>scikit-learn</w:t>
            </w:r>
          </w:p>
        </w:tc>
        <w:tc>
          <w:tcPr>
            <w:tcW w:type="dxa" w:w="4968"/>
            <w:vAlign w:val="center"/>
          </w:tcPr>
          <w:p>
            <w:r/>
            <w:r>
              <w:rPr>
                <w:b w:val="0"/>
                <w:sz w:val="18"/>
              </w:rPr>
              <w:t>Reproducible preprocessing components including SimpleImputer, StandardScaler, RobustScaler, encoders, ColumnTransformer, Pipeline, and train/test-safe transformations.</w:t>
            </w:r>
          </w:p>
        </w:tc>
      </w:tr>
      <w:tr>
        <w:tc>
          <w:tcPr>
            <w:tcW w:type="dxa" w:w="4968"/>
            <w:vAlign w:val="center"/>
          </w:tcPr>
          <w:p>
            <w:r/>
            <w:r>
              <w:rPr>
                <w:b/>
                <w:sz w:val="18"/>
              </w:rPr>
              <w:t>Matplotlib / Seaborn</w:t>
            </w:r>
          </w:p>
        </w:tc>
        <w:tc>
          <w:tcPr>
            <w:tcW w:type="dxa" w:w="4968"/>
            <w:vAlign w:val="center"/>
          </w:tcPr>
          <w:p>
            <w:r/>
            <w:r>
              <w:rPr>
                <w:b w:val="0"/>
                <w:sz w:val="18"/>
              </w:rPr>
              <w:t>Visual diagnostics: missingness summaries, distributions, boxplots, category frequencies, and relationship checks.</w:t>
            </w:r>
          </w:p>
        </w:tc>
      </w:tr>
      <w:tr>
        <w:tc>
          <w:tcPr>
            <w:tcW w:type="dxa" w:w="4968"/>
            <w:vAlign w:val="center"/>
          </w:tcPr>
          <w:p>
            <w:r/>
            <w:r>
              <w:rPr>
                <w:b/>
                <w:sz w:val="18"/>
              </w:rPr>
              <w:t>Jupyter / Google Colab</w:t>
            </w:r>
          </w:p>
        </w:tc>
        <w:tc>
          <w:tcPr>
            <w:tcW w:type="dxa" w:w="4968"/>
            <w:vAlign w:val="center"/>
          </w:tcPr>
          <w:p>
            <w:r/>
            <w:r>
              <w:rPr>
                <w:b w:val="0"/>
                <w:sz w:val="18"/>
              </w:rPr>
              <w:t>Interactive experimentation and documentation. For a production workflow, move stable logic into Python scripts/modules.</w:t>
            </w:r>
          </w:p>
        </w:tc>
      </w:tr>
      <w:tr>
        <w:tc>
          <w:tcPr>
            <w:tcW w:type="dxa" w:w="4968"/>
            <w:vAlign w:val="center"/>
          </w:tcPr>
          <w:p>
            <w:r/>
            <w:r>
              <w:rPr>
                <w:b/>
                <w:sz w:val="18"/>
              </w:rPr>
              <w:t>PyYAML / JSON</w:t>
            </w:r>
          </w:p>
        </w:tc>
        <w:tc>
          <w:tcPr>
            <w:tcW w:type="dxa" w:w="4968"/>
            <w:vAlign w:val="center"/>
          </w:tcPr>
          <w:p>
            <w:r/>
            <w:r>
              <w:rPr>
                <w:b w:val="0"/>
                <w:sz w:val="18"/>
              </w:rPr>
              <w:t>Store configuration such as column mappings, thresholds, source metadata, and validation rules outside the code.</w:t>
            </w:r>
          </w:p>
        </w:tc>
      </w:tr>
      <w:tr>
        <w:tc>
          <w:tcPr>
            <w:tcW w:type="dxa" w:w="4968"/>
            <w:vAlign w:val="center"/>
          </w:tcPr>
          <w:p>
            <w:r/>
            <w:r>
              <w:rPr>
                <w:b/>
                <w:sz w:val="18"/>
              </w:rPr>
              <w:t>pytest</w:t>
            </w:r>
          </w:p>
        </w:tc>
        <w:tc>
          <w:tcPr>
            <w:tcW w:type="dxa" w:w="4968"/>
            <w:vAlign w:val="center"/>
          </w:tcPr>
          <w:p>
            <w:r/>
            <w:r>
              <w:rPr>
                <w:b w:val="0"/>
                <w:sz w:val="18"/>
              </w:rPr>
              <w:t>Optional testing framework for automated data-quality and transformation tests.</w:t>
            </w:r>
          </w:p>
        </w:tc>
      </w:tr>
    </w:tbl>
    <w:p>
      <w:pPr>
        <w:pStyle w:val="Heading1"/>
      </w:pPr>
      <w:r>
        <w:t>12. Reproducible Preprocessing Pipeline</w:t>
      </w:r>
    </w:p>
    <w:p>
      <w:r>
        <w:t>For machine-learning tasks, learned transformations must be applied without using information from the validation or test set. A scikit-learn Pipeline/ColumnTransformer design makes this separation explicit.</w:t>
      </w:r>
    </w:p>
    <w:p>
      <w:r>
        <w:rPr>
          <w:rFonts w:ascii="Consolas" w:hAnsi="Consolas"/>
          <w:sz w:val="17"/>
        </w:rPr>
        <w:t>from sklearn.compose import ColumnTransformer</w:t>
        <w:br/>
        <w:t>from sklearn.pipeline import Pipeline</w:t>
        <w:br/>
        <w:t>from sklearn.impute import SimpleImputer</w:t>
        <w:br/>
        <w:t>from sklearn.preprocessing import StandardScaler, OneHotEncoder</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("encoder", OneHotEncoder(handle_unknown="ignore"))</w:t>
        <w:br/>
        <w:t>])</w:t>
        <w:br/>
        <w:br/>
        <w:t>preprocessor = ColumnTransformer([</w:t>
        <w:br/>
        <w:t xml:space="preserve">    ("num", numeric_pipe, numeric_cols),</w:t>
        <w:br/>
        <w:t xml:space="preserve">    ("cat", categorical_pipe, categorical_cols)</w:t>
        <w:br/>
        <w:t>])</w:t>
      </w:r>
    </w:p>
    <w:p>
      <w:pPr>
        <w:pStyle w:val="Heading1"/>
      </w:pPr>
      <w:r>
        <w:t>13. Validation and Quality Gates</w:t>
      </w:r>
    </w:p>
    <w:p>
      <w:pPr>
        <w:pStyle w:val="ListBullet"/>
      </w:pPr>
      <w:r>
        <w:t>Completeness gate: required fields meet predefined missingness thresholds.</w:t>
      </w:r>
    </w:p>
    <w:p>
      <w:pPr>
        <w:pStyle w:val="ListBullet"/>
      </w:pPr>
      <w:r>
        <w:t>Validity gate: values comply with domain ranges, allowed categories, and date rules.</w:t>
      </w:r>
    </w:p>
    <w:p>
      <w:pPr>
        <w:pStyle w:val="ListBullet"/>
      </w:pPr>
      <w:r>
        <w:t>Consistency gate: related fields agree (e.g., discharge date is not before admission date).</w:t>
      </w:r>
    </w:p>
    <w:p>
      <w:pPr>
        <w:pStyle w:val="ListBullet"/>
      </w:pPr>
      <w:r>
        <w:t>Uniqueness gate: expected keys have the expected uniqueness/cardinality.</w:t>
      </w:r>
    </w:p>
    <w:p>
      <w:pPr>
        <w:pStyle w:val="ListBullet"/>
      </w:pPr>
      <w:r>
        <w:t>Integration gate: join coverage and unmatched records are measured and reviewed.</w:t>
      </w:r>
    </w:p>
    <w:p>
      <w:pPr>
        <w:pStyle w:val="ListBullet"/>
      </w:pPr>
      <w:r>
        <w:t>Distribution gate: unexpected shifts are investigated between source and cleaned data.</w:t>
      </w:r>
    </w:p>
    <w:p>
      <w:pPr>
        <w:pStyle w:val="ListBullet"/>
      </w:pPr>
      <w:r>
        <w:t>Leakage gate: no target-derived or future information is used in features.</w:t>
      </w:r>
    </w:p>
    <w:p>
      <w:pPr>
        <w:pStyle w:val="ListBullet"/>
      </w:pPr>
      <w:r>
        <w:t>Privacy gate: direct identifiers and unnecessary quasi-identifiers are removed or protected.</w:t>
      </w:r>
    </w:p>
    <w:p>
      <w:pPr>
        <w:pStyle w:val="ListBullet"/>
      </w:pPr>
      <w:r>
        <w:t>Reproducibility gate: the same versioned input and configuration produce the same output.</w:t>
      </w:r>
    </w:p>
    <w:p>
      <w:pPr>
        <w:pStyle w:val="Heading1"/>
      </w:pPr>
      <w:r>
        <w:t>14. Example Healthcare Validation Rules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Field/rule</w:t>
            </w:r>
          </w:p>
        </w:tc>
        <w:tc>
          <w:tcPr>
            <w:tcW w:type="dxa" w:w="2484"/>
            <w:vAlign w:val="center"/>
            <w:shd w:fill="D9EAF7"/>
          </w:tcPr>
          <w:p>
            <w:r/>
            <w:r>
              <w:rPr>
                <w:b/>
                <w:sz w:val="18"/>
              </w:rPr>
              <w:t>Check</w:t>
            </w:r>
          </w:p>
        </w:tc>
        <w:tc>
          <w:tcPr>
            <w:tcW w:type="dxa" w:w="2484"/>
            <w:vAlign w:val="center"/>
            <w:shd w:fill="D9EAF7"/>
          </w:tcPr>
          <w:p>
            <w:r/>
            <w:r>
              <w:rPr>
                <w:b/>
                <w:sz w:val="18"/>
              </w:rPr>
              <w:t>Action</w:t>
            </w:r>
          </w:p>
        </w:tc>
        <w:tc>
          <w:tcPr>
            <w:tcW w:type="dxa" w:w="2484"/>
            <w:vAlign w:val="center"/>
            <w:shd w:fill="D9EAF7"/>
          </w:tcPr>
          <w:p>
            <w:r/>
            <w:r>
              <w:rPr>
                <w:b/>
                <w:sz w:val="18"/>
              </w:rPr>
              <w:t>Reason</w:t>
            </w:r>
          </w:p>
        </w:tc>
      </w:tr>
      <w:tr>
        <w:tc>
          <w:tcPr>
            <w:tcW w:type="dxa" w:w="2484"/>
            <w:vAlign w:val="center"/>
          </w:tcPr>
          <w:p>
            <w:r/>
            <w:r>
              <w:rPr>
                <w:b w:val="0"/>
                <w:sz w:val="18"/>
              </w:rPr>
              <w:t>age_years</w:t>
            </w:r>
          </w:p>
        </w:tc>
        <w:tc>
          <w:tcPr>
            <w:tcW w:type="dxa" w:w="2484"/>
            <w:vAlign w:val="center"/>
          </w:tcPr>
          <w:p>
            <w:r/>
            <w:r>
              <w:rPr>
                <w:b w:val="0"/>
                <w:sz w:val="18"/>
              </w:rPr>
              <w:t>0 ≤ age ≤ 120</w:t>
            </w:r>
          </w:p>
        </w:tc>
        <w:tc>
          <w:tcPr>
            <w:tcW w:type="dxa" w:w="2484"/>
            <w:vAlign w:val="center"/>
          </w:tcPr>
          <w:p>
            <w:r/>
            <w:r>
              <w:rPr>
                <w:b w:val="0"/>
                <w:sz w:val="18"/>
              </w:rPr>
              <w:t>Flag invalid; review source</w:t>
            </w:r>
          </w:p>
        </w:tc>
        <w:tc>
          <w:tcPr>
            <w:tcW w:type="dxa" w:w="2484"/>
            <w:vAlign w:val="center"/>
          </w:tcPr>
          <w:p>
            <w:r/>
            <w:r>
              <w:rPr>
                <w:b w:val="0"/>
                <w:sz w:val="18"/>
              </w:rPr>
              <w:t>Prevents impossible ages.</w:t>
            </w:r>
          </w:p>
        </w:tc>
      </w:tr>
      <w:tr>
        <w:tc>
          <w:tcPr>
            <w:tcW w:type="dxa" w:w="2484"/>
            <w:vAlign w:val="center"/>
          </w:tcPr>
          <w:p>
            <w:r/>
            <w:r>
              <w:rPr>
                <w:b w:val="0"/>
                <w:sz w:val="18"/>
              </w:rPr>
              <w:t>admission/discharge</w:t>
            </w:r>
          </w:p>
        </w:tc>
        <w:tc>
          <w:tcPr>
            <w:tcW w:type="dxa" w:w="2484"/>
            <w:vAlign w:val="center"/>
          </w:tcPr>
          <w:p>
            <w:r/>
            <w:r>
              <w:rPr>
                <w:b w:val="0"/>
                <w:sz w:val="18"/>
              </w:rPr>
              <w:t>discharge ≥ admission</w:t>
            </w:r>
          </w:p>
        </w:tc>
        <w:tc>
          <w:tcPr>
            <w:tcW w:type="dxa" w:w="2484"/>
            <w:vAlign w:val="center"/>
          </w:tcPr>
          <w:p>
            <w:r/>
            <w:r>
              <w:rPr>
                <w:b w:val="0"/>
                <w:sz w:val="18"/>
              </w:rPr>
              <w:t>Flag/reject impossible pair</w:t>
            </w:r>
          </w:p>
        </w:tc>
        <w:tc>
          <w:tcPr>
            <w:tcW w:type="dxa" w:w="2484"/>
            <w:vAlign w:val="center"/>
          </w:tcPr>
          <w:p>
            <w:r/>
            <w:r>
              <w:rPr>
                <w:b w:val="0"/>
                <w:sz w:val="18"/>
              </w:rPr>
              <w:t>Maintains temporal consistency.</w:t>
            </w:r>
          </w:p>
        </w:tc>
      </w:tr>
      <w:tr>
        <w:tc>
          <w:tcPr>
            <w:tcW w:type="dxa" w:w="2484"/>
            <w:vAlign w:val="center"/>
          </w:tcPr>
          <w:p>
            <w:r/>
            <w:r>
              <w:rPr>
                <w:b w:val="0"/>
                <w:sz w:val="18"/>
              </w:rPr>
              <w:t>heart_rate</w:t>
            </w:r>
          </w:p>
        </w:tc>
        <w:tc>
          <w:tcPr>
            <w:tcW w:type="dxa" w:w="2484"/>
            <w:vAlign w:val="center"/>
          </w:tcPr>
          <w:p>
            <w:r/>
            <w:r>
              <w:rPr>
                <w:b w:val="0"/>
                <w:sz w:val="18"/>
              </w:rPr>
              <w:t>Numeric and &gt; 0; domain threshold for review</w:t>
            </w:r>
          </w:p>
        </w:tc>
        <w:tc>
          <w:tcPr>
            <w:tcW w:type="dxa" w:w="2484"/>
            <w:vAlign w:val="center"/>
          </w:tcPr>
          <w:p>
            <w:r/>
            <w:r>
              <w:rPr>
                <w:b w:val="0"/>
                <w:sz w:val="18"/>
              </w:rPr>
              <w:t>Flag unusual; do not auto-delete plausible extremes</w:t>
            </w:r>
          </w:p>
        </w:tc>
        <w:tc>
          <w:tcPr>
            <w:tcW w:type="dxa" w:w="2484"/>
            <w:vAlign w:val="center"/>
          </w:tcPr>
          <w:p>
            <w:r/>
            <w:r>
              <w:rPr>
                <w:b w:val="0"/>
                <w:sz w:val="18"/>
              </w:rPr>
              <w:t>Separates errors from real clinical events.</w:t>
            </w:r>
          </w:p>
        </w:tc>
      </w:tr>
      <w:tr>
        <w:tc>
          <w:tcPr>
            <w:tcW w:type="dxa" w:w="2484"/>
            <w:vAlign w:val="center"/>
          </w:tcPr>
          <w:p>
            <w:r/>
            <w:r>
              <w:rPr>
                <w:b w:val="0"/>
                <w:sz w:val="18"/>
              </w:rPr>
              <w:t>sex/category</w:t>
            </w:r>
          </w:p>
        </w:tc>
        <w:tc>
          <w:tcPr>
            <w:tcW w:type="dxa" w:w="2484"/>
            <w:vAlign w:val="center"/>
          </w:tcPr>
          <w:p>
            <w:r/>
            <w:r>
              <w:rPr>
                <w:b w:val="0"/>
                <w:sz w:val="18"/>
              </w:rPr>
              <w:t>Allowed controlled values</w:t>
            </w:r>
          </w:p>
        </w:tc>
        <w:tc>
          <w:tcPr>
            <w:tcW w:type="dxa" w:w="2484"/>
            <w:vAlign w:val="center"/>
          </w:tcPr>
          <w:p>
            <w:r/>
            <w:r>
              <w:rPr>
                <w:b w:val="0"/>
                <w:sz w:val="18"/>
              </w:rPr>
              <w:t>Map known aliases; retain unknown</w:t>
            </w:r>
          </w:p>
        </w:tc>
        <w:tc>
          <w:tcPr>
            <w:tcW w:type="dxa" w:w="2484"/>
            <w:vAlign w:val="center"/>
          </w:tcPr>
          <w:p>
            <w:r/>
            <w:r>
              <w:rPr>
                <w:b w:val="0"/>
                <w:sz w:val="18"/>
              </w:rPr>
              <w:t>Avoids category fragmentation.</w:t>
            </w:r>
          </w:p>
        </w:tc>
      </w:tr>
      <w:tr>
        <w:tc>
          <w:tcPr>
            <w:tcW w:type="dxa" w:w="2484"/>
            <w:vAlign w:val="center"/>
          </w:tcPr>
          <w:p>
            <w:r/>
            <w:r>
              <w:rPr>
                <w:b w:val="0"/>
                <w:sz w:val="18"/>
              </w:rPr>
              <w:t>patient_id</w:t>
            </w:r>
          </w:p>
        </w:tc>
        <w:tc>
          <w:tcPr>
            <w:tcW w:type="dxa" w:w="2484"/>
            <w:vAlign w:val="center"/>
          </w:tcPr>
          <w:p>
            <w:r/>
            <w:r>
              <w:rPr>
                <w:b w:val="0"/>
                <w:sz w:val="18"/>
              </w:rPr>
              <w:t>Expected uniqueness at patient table level</w:t>
            </w:r>
          </w:p>
        </w:tc>
        <w:tc>
          <w:tcPr>
            <w:tcW w:type="dxa" w:w="2484"/>
            <w:vAlign w:val="center"/>
          </w:tcPr>
          <w:p>
            <w:r/>
            <w:r>
              <w:rPr>
                <w:b w:val="0"/>
                <w:sz w:val="18"/>
              </w:rPr>
              <w:t>Investigate duplicates</w:t>
            </w:r>
          </w:p>
        </w:tc>
        <w:tc>
          <w:tcPr>
            <w:tcW w:type="dxa" w:w="2484"/>
            <w:vAlign w:val="center"/>
          </w:tcPr>
          <w:p>
            <w:r/>
            <w:r>
              <w:rPr>
                <w:b w:val="0"/>
                <w:sz w:val="18"/>
              </w:rPr>
              <w:t>Protects entity integrity.</w:t>
            </w:r>
          </w:p>
        </w:tc>
      </w:tr>
      <w:tr>
        <w:tc>
          <w:tcPr>
            <w:tcW w:type="dxa" w:w="2484"/>
            <w:vAlign w:val="center"/>
          </w:tcPr>
          <w:p>
            <w:r/>
            <w:r>
              <w:rPr>
                <w:b w:val="0"/>
                <w:sz w:val="18"/>
              </w:rPr>
              <w:t>lab unit</w:t>
            </w:r>
          </w:p>
        </w:tc>
        <w:tc>
          <w:tcPr>
            <w:tcW w:type="dxa" w:w="2484"/>
            <w:vAlign w:val="center"/>
          </w:tcPr>
          <w:p>
            <w:r/>
            <w:r>
              <w:rPr>
                <w:b w:val="0"/>
                <w:sz w:val="18"/>
              </w:rPr>
              <w:t>Unit belongs to allowed set</w:t>
            </w:r>
          </w:p>
        </w:tc>
        <w:tc>
          <w:tcPr>
            <w:tcW w:type="dxa" w:w="2484"/>
            <w:vAlign w:val="center"/>
          </w:tcPr>
          <w:p>
            <w:r/>
            <w:r>
              <w:rPr>
                <w:b w:val="0"/>
                <w:sz w:val="18"/>
              </w:rPr>
              <w:t>Convert to canonical unit</w:t>
            </w:r>
          </w:p>
        </w:tc>
        <w:tc>
          <w:tcPr>
            <w:tcW w:type="dxa" w:w="2484"/>
            <w:vAlign w:val="center"/>
          </w:tcPr>
          <w:p>
            <w:r/>
            <w:r>
              <w:rPr>
                <w:b w:val="0"/>
                <w:sz w:val="18"/>
              </w:rPr>
              <w:t>Makes values comparable.</w:t>
            </w:r>
          </w:p>
        </w:tc>
      </w:tr>
    </w:tbl>
    <w:p>
      <w:pPr>
        <w:pStyle w:val="Heading1"/>
      </w:pPr>
      <w:r>
        <w:t>15. Potential Pitfalls and Mitigation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Pitfall</w:t>
            </w:r>
          </w:p>
        </w:tc>
        <w:tc>
          <w:tcPr>
            <w:tcW w:type="dxa" w:w="3312"/>
            <w:vAlign w:val="center"/>
            <w:shd w:fill="D9EAF7"/>
          </w:tcPr>
          <w:p>
            <w:r/>
            <w:r>
              <w:rPr>
                <w:b/>
                <w:sz w:val="18"/>
              </w:rPr>
              <w:t>Risk</w:t>
            </w:r>
          </w:p>
        </w:tc>
        <w:tc>
          <w:tcPr>
            <w:tcW w:type="dxa" w:w="3312"/>
            <w:vAlign w:val="center"/>
            <w:shd w:fill="D9EAF7"/>
          </w:tcPr>
          <w:p>
            <w:r/>
            <w:r>
              <w:rPr>
                <w:b/>
                <w:sz w:val="18"/>
              </w:rPr>
              <w:t>Mitigation</w:t>
            </w:r>
          </w:p>
        </w:tc>
      </w:tr>
      <w:tr>
        <w:tc>
          <w:tcPr>
            <w:tcW w:type="dxa" w:w="3312"/>
            <w:vAlign w:val="center"/>
          </w:tcPr>
          <w:p>
            <w:r/>
            <w:r>
              <w:rPr>
                <w:b w:val="0"/>
                <w:sz w:val="18"/>
              </w:rPr>
              <w:t>Over-cleaning</w:t>
            </w:r>
          </w:p>
        </w:tc>
        <w:tc>
          <w:tcPr>
            <w:tcW w:type="dxa" w:w="3312"/>
            <w:vAlign w:val="center"/>
          </w:tcPr>
          <w:p>
            <w:r/>
            <w:r>
              <w:rPr>
                <w:b w:val="0"/>
                <w:sz w:val="18"/>
              </w:rPr>
              <w:t>Deleting legitimate extreme clinical observations.</w:t>
            </w:r>
          </w:p>
        </w:tc>
        <w:tc>
          <w:tcPr>
            <w:tcW w:type="dxa" w:w="3312"/>
            <w:vAlign w:val="center"/>
          </w:tcPr>
          <w:p>
            <w:r/>
            <w:r>
              <w:rPr>
                <w:b w:val="0"/>
                <w:sz w:val="18"/>
              </w:rPr>
              <w:t>Use domain knowledge, flags, and review queues; distinguish hard-invalid from unusual.</w:t>
            </w:r>
          </w:p>
        </w:tc>
      </w:tr>
      <w:tr>
        <w:tc>
          <w:tcPr>
            <w:tcW w:type="dxa" w:w="3312"/>
            <w:vAlign w:val="center"/>
          </w:tcPr>
          <w:p>
            <w:r/>
            <w:r>
              <w:rPr>
                <w:b w:val="0"/>
                <w:sz w:val="18"/>
              </w:rPr>
              <w:t>Blind imputation</w:t>
            </w:r>
          </w:p>
        </w:tc>
        <w:tc>
          <w:tcPr>
            <w:tcW w:type="dxa" w:w="3312"/>
            <w:vAlign w:val="center"/>
          </w:tcPr>
          <w:p>
            <w:r/>
            <w:r>
              <w:rPr>
                <w:b w:val="0"/>
                <w:sz w:val="18"/>
              </w:rPr>
              <w:t>Replacing values without understanding why they are missing.</w:t>
            </w:r>
          </w:p>
        </w:tc>
        <w:tc>
          <w:tcPr>
            <w:tcW w:type="dxa" w:w="3312"/>
            <w:vAlign w:val="center"/>
          </w:tcPr>
          <w:p>
            <w:r/>
            <w:r>
              <w:rPr>
                <w:b w:val="0"/>
                <w:sz w:val="18"/>
              </w:rPr>
              <w:t>Analyze missingness mechanism and document the strategy.</w:t>
            </w:r>
          </w:p>
        </w:tc>
      </w:tr>
      <w:tr>
        <w:tc>
          <w:tcPr>
            <w:tcW w:type="dxa" w:w="3312"/>
            <w:vAlign w:val="center"/>
          </w:tcPr>
          <w:p>
            <w:r/>
            <w:r>
              <w:rPr>
                <w:b w:val="0"/>
                <w:sz w:val="18"/>
              </w:rPr>
              <w:t>Data leakage</w:t>
            </w:r>
          </w:p>
        </w:tc>
        <w:tc>
          <w:tcPr>
            <w:tcW w:type="dxa" w:w="3312"/>
            <w:vAlign w:val="center"/>
          </w:tcPr>
          <w:p>
            <w:r/>
            <w:r>
              <w:rPr>
                <w:b w:val="0"/>
                <w:sz w:val="18"/>
              </w:rPr>
              <w:t>Using full-dataset statistics before splitting train/test.</w:t>
            </w:r>
          </w:p>
        </w:tc>
        <w:tc>
          <w:tcPr>
            <w:tcW w:type="dxa" w:w="3312"/>
            <w:vAlign w:val="center"/>
          </w:tcPr>
          <w:p>
            <w:r/>
            <w:r>
              <w:rPr>
                <w:b w:val="0"/>
                <w:sz w:val="18"/>
              </w:rPr>
              <w:t>Use pipelines and fit preprocessing only on training data.</w:t>
            </w:r>
          </w:p>
        </w:tc>
      </w:tr>
      <w:tr>
        <w:tc>
          <w:tcPr>
            <w:tcW w:type="dxa" w:w="3312"/>
            <w:vAlign w:val="center"/>
          </w:tcPr>
          <w:p>
            <w:r/>
            <w:r>
              <w:rPr>
                <w:b w:val="0"/>
                <w:sz w:val="18"/>
              </w:rPr>
              <w:t>Join explosion</w:t>
            </w:r>
          </w:p>
        </w:tc>
        <w:tc>
          <w:tcPr>
            <w:tcW w:type="dxa" w:w="3312"/>
            <w:vAlign w:val="center"/>
          </w:tcPr>
          <w:p>
            <w:r/>
            <w:r>
              <w:rPr>
                <w:b w:val="0"/>
                <w:sz w:val="18"/>
              </w:rPr>
              <w:t>Unexpected many-to-many joins duplicate patient events.</w:t>
            </w:r>
          </w:p>
        </w:tc>
        <w:tc>
          <w:tcPr>
            <w:tcW w:type="dxa" w:w="3312"/>
            <w:vAlign w:val="center"/>
          </w:tcPr>
          <w:p>
            <w:r/>
            <w:r>
              <w:rPr>
                <w:b w:val="0"/>
                <w:sz w:val="18"/>
              </w:rPr>
              <w:t>Validate merge cardinality and compare row counts before/after.</w:t>
            </w:r>
          </w:p>
        </w:tc>
      </w:tr>
      <w:tr>
        <w:tc>
          <w:tcPr>
            <w:tcW w:type="dxa" w:w="3312"/>
            <w:vAlign w:val="center"/>
          </w:tcPr>
          <w:p>
            <w:r/>
            <w:r>
              <w:rPr>
                <w:b w:val="0"/>
                <w:sz w:val="18"/>
              </w:rPr>
              <w:t>Unit mismatch</w:t>
            </w:r>
          </w:p>
        </w:tc>
        <w:tc>
          <w:tcPr>
            <w:tcW w:type="dxa" w:w="3312"/>
            <w:vAlign w:val="center"/>
          </w:tcPr>
          <w:p>
            <w:r/>
            <w:r>
              <w:rPr>
                <w:b w:val="0"/>
                <w:sz w:val="18"/>
              </w:rPr>
              <w:t>Combining mg/dL and mmol/L or different temperature units.</w:t>
            </w:r>
          </w:p>
        </w:tc>
        <w:tc>
          <w:tcPr>
            <w:tcW w:type="dxa" w:w="3312"/>
            <w:vAlign w:val="center"/>
          </w:tcPr>
          <w:p>
            <w:r/>
            <w:r>
              <w:rPr>
                <w:b w:val="0"/>
                <w:sz w:val="18"/>
              </w:rPr>
              <w:t>Maintain explicit unit columns and conversion tables.</w:t>
            </w:r>
          </w:p>
        </w:tc>
      </w:tr>
      <w:tr>
        <w:tc>
          <w:tcPr>
            <w:tcW w:type="dxa" w:w="3312"/>
            <w:vAlign w:val="center"/>
          </w:tcPr>
          <w:p>
            <w:r/>
            <w:r>
              <w:rPr>
                <w:b w:val="0"/>
                <w:sz w:val="18"/>
              </w:rPr>
              <w:t>Temporal leakage</w:t>
            </w:r>
          </w:p>
        </w:tc>
        <w:tc>
          <w:tcPr>
            <w:tcW w:type="dxa" w:w="3312"/>
            <w:vAlign w:val="center"/>
          </w:tcPr>
          <w:p>
            <w:r/>
            <w:r>
              <w:rPr>
                <w:b w:val="0"/>
                <w:sz w:val="18"/>
              </w:rPr>
              <w:t>Using future visits or outcomes to predict an earlier event.</w:t>
            </w:r>
          </w:p>
        </w:tc>
        <w:tc>
          <w:tcPr>
            <w:tcW w:type="dxa" w:w="3312"/>
            <w:vAlign w:val="center"/>
          </w:tcPr>
          <w:p>
            <w:r/>
            <w:r>
              <w:rPr>
                <w:b w:val="0"/>
                <w:sz w:val="18"/>
              </w:rPr>
              <w:t>Construct features using only information available before the prediction timestamp.</w:t>
            </w:r>
          </w:p>
        </w:tc>
      </w:tr>
      <w:tr>
        <w:tc>
          <w:tcPr>
            <w:tcW w:type="dxa" w:w="3312"/>
            <w:vAlign w:val="center"/>
          </w:tcPr>
          <w:p>
            <w:r/>
            <w:r>
              <w:rPr>
                <w:b w:val="0"/>
                <w:sz w:val="18"/>
              </w:rPr>
              <w:t>Coding mismatch</w:t>
            </w:r>
          </w:p>
        </w:tc>
        <w:tc>
          <w:tcPr>
            <w:tcW w:type="dxa" w:w="3312"/>
            <w:vAlign w:val="center"/>
          </w:tcPr>
          <w:p>
            <w:r/>
            <w:r>
              <w:rPr>
                <w:b w:val="0"/>
                <w:sz w:val="18"/>
              </w:rPr>
              <w:t>Different diagnosis/category code versions across sources.</w:t>
            </w:r>
          </w:p>
        </w:tc>
        <w:tc>
          <w:tcPr>
            <w:tcW w:type="dxa" w:w="3312"/>
            <w:vAlign w:val="center"/>
          </w:tcPr>
          <w:p>
            <w:r/>
            <w:r>
              <w:rPr>
                <w:b w:val="0"/>
                <w:sz w:val="18"/>
              </w:rPr>
              <w:t>Create versioned mapping tables and preserve original codes.</w:t>
            </w:r>
          </w:p>
        </w:tc>
      </w:tr>
      <w:tr>
        <w:tc>
          <w:tcPr>
            <w:tcW w:type="dxa" w:w="3312"/>
            <w:vAlign w:val="center"/>
          </w:tcPr>
          <w:p>
            <w:r/>
            <w:r>
              <w:rPr>
                <w:b w:val="0"/>
                <w:sz w:val="18"/>
              </w:rPr>
              <w:t>Privacy failure</w:t>
            </w:r>
          </w:p>
        </w:tc>
        <w:tc>
          <w:tcPr>
            <w:tcW w:type="dxa" w:w="3312"/>
            <w:vAlign w:val="center"/>
          </w:tcPr>
          <w:p>
            <w:r/>
            <w:r>
              <w:rPr>
                <w:b w:val="0"/>
                <w:sz w:val="18"/>
              </w:rPr>
              <w:t>Including identifiers in analysis outputs or GitHub.</w:t>
            </w:r>
          </w:p>
        </w:tc>
        <w:tc>
          <w:tcPr>
            <w:tcW w:type="dxa" w:w="3312"/>
            <w:vAlign w:val="center"/>
          </w:tcPr>
          <w:p>
            <w:r/>
            <w:r>
              <w:rPr>
                <w:b w:val="0"/>
                <w:sz w:val="18"/>
              </w:rPr>
              <w:t>Use de-identified data; never commit sensitive records or credentials.</w:t>
            </w:r>
          </w:p>
        </w:tc>
      </w:tr>
      <w:tr>
        <w:tc>
          <w:tcPr>
            <w:tcW w:type="dxa" w:w="3312"/>
            <w:vAlign w:val="center"/>
          </w:tcPr>
          <w:p>
            <w:r/>
            <w:r>
              <w:rPr>
                <w:b w:val="0"/>
                <w:sz w:val="18"/>
              </w:rPr>
              <w:t>Reproducibility failure</w:t>
            </w:r>
          </w:p>
        </w:tc>
        <w:tc>
          <w:tcPr>
            <w:tcW w:type="dxa" w:w="3312"/>
            <w:vAlign w:val="center"/>
          </w:tcPr>
          <w:p>
            <w:r/>
            <w:r>
              <w:rPr>
                <w:b w:val="0"/>
                <w:sz w:val="18"/>
              </w:rPr>
              <w:t>Manual cleaning cannot be repeated.</w:t>
            </w:r>
          </w:p>
        </w:tc>
        <w:tc>
          <w:tcPr>
            <w:tcW w:type="dxa" w:w="3312"/>
            <w:vAlign w:val="center"/>
          </w:tcPr>
          <w:p>
            <w:r/>
            <w:r>
              <w:rPr>
                <w:b w:val="0"/>
                <w:sz w:val="18"/>
              </w:rPr>
              <w:t>Parameterize cleaning rules and save logs/configuration.</w:t>
            </w:r>
          </w:p>
        </w:tc>
      </w:tr>
    </w:tbl>
    <w:p>
      <w:pPr>
        <w:pStyle w:val="Heading1"/>
      </w:pPr>
      <w:r>
        <w:t>16. Privacy, Ethics, and Governance</w:t>
      </w:r>
    </w:p>
    <w:p>
      <w:r>
        <w:t>Healthcare data can contain highly sensitive personal information. The workflow therefore assumes that public/de-identified data is preferred for an educational project unless the required approvals and safeguards exist. WHO's data principles emphasize privacy, secure storage and processing, responsible data stewardship, transparent methods, and appropriate data governance.</w:t>
      </w:r>
    </w:p>
    <w:p>
      <w:pPr>
        <w:pStyle w:val="ListBullet"/>
      </w:pPr>
      <w:r>
        <w:t>Use only datasets whose terms permit the intended educational/research use.</w:t>
      </w:r>
    </w:p>
    <w:p>
      <w:pPr>
        <w:pStyle w:val="ListBullet"/>
      </w:pPr>
      <w:r>
        <w:t>Do not place identifiable healthcare records, credentials, API keys, or restricted data in GitHub.</w:t>
      </w:r>
    </w:p>
    <w:p>
      <w:pPr>
        <w:pStyle w:val="ListBullet"/>
      </w:pPr>
      <w:r>
        <w:t>Minimize fields to those necessary for the analytical objective.</w:t>
      </w:r>
    </w:p>
    <w:p>
      <w:pPr>
        <w:pStyle w:val="ListBullet"/>
      </w:pPr>
      <w:r>
        <w:t>Document de-identification and access assumptions.</w:t>
      </w:r>
    </w:p>
    <w:p>
      <w:pPr>
        <w:pStyle w:val="ListBullet"/>
      </w:pPr>
      <w:r>
        <w:t>Avoid reporting small subgroups in ways that could enable re-identification.</w:t>
      </w:r>
    </w:p>
    <w:p>
      <w:pPr>
        <w:pStyle w:val="ListBullet"/>
      </w:pPr>
      <w:r>
        <w:t>Keep a clear audit trail of transformations and quality decisions.</w:t>
      </w:r>
    </w:p>
    <w:p>
      <w:pPr>
        <w:pStyle w:val="Heading1"/>
      </w:pPr>
      <w:r>
        <w:t>17. Recommended Project Structure</w:t>
      </w:r>
    </w:p>
    <w:p>
      <w:r>
        <w:rPr>
          <w:rFonts w:ascii="Consolas" w:hAnsi="Consolas"/>
          <w:sz w:val="17"/>
        </w:rPr>
        <w:t>healthcare-preprocessing/</w:t>
        <w:br/>
        <w:t>├── data/</w:t>
        <w:br/>
        <w:t>│   ├── raw/                 # unchanged source files</w:t>
        <w:br/>
        <w:t>│   ├── interim/             # intermediate outputs</w:t>
        <w:br/>
        <w:t>│   └── processed/           # analysis-ready data</w:t>
        <w:br/>
        <w:t>├── notebooks/</w:t>
        <w:br/>
        <w:t>│   └── 01_profiling.ipynb</w:t>
        <w:br/>
        <w:t>├── src/</w:t>
        <w:br/>
        <w:t>│   ├── ingest.py</w:t>
        <w:br/>
        <w:t>│   ├── profile.py</w:t>
        <w:br/>
        <w:t>│   ├── clean.py</w:t>
        <w:br/>
        <w:t>│   ├── transform.py</w:t>
        <w:br/>
        <w:t>│   └── validate.py</w:t>
        <w:br/>
        <w:t>├── config/</w:t>
        <w:br/>
        <w:t>│   └── rules.yaml</w:t>
        <w:br/>
        <w:t>├── reports/</w:t>
        <w:br/>
        <w:t>│   └── data_quality_report.html</w:t>
        <w:br/>
        <w:t>├── tests/</w:t>
        <w:br/>
        <w:t>│   └── test_quality_rules.py</w:t>
        <w:br/>
        <w:t>├── requirements.txt</w:t>
        <w:br/>
        <w:t>└── README.md</w:t>
      </w:r>
    </w:p>
    <w:p>
      <w:pPr>
        <w:pStyle w:val="Heading1"/>
      </w:pPr>
      <w:r>
        <w:t>18. Proposed 30–35 Hour Work Plan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Phase</w:t>
            </w:r>
          </w:p>
        </w:tc>
        <w:tc>
          <w:tcPr>
            <w:tcW w:type="dxa" w:w="3312"/>
            <w:vAlign w:val="center"/>
            <w:shd w:fill="D9EAF7"/>
          </w:tcPr>
          <w:p>
            <w:r/>
            <w:r>
              <w:rPr>
                <w:b/>
                <w:sz w:val="18"/>
              </w:rPr>
              <w:t>Estimated time</w:t>
            </w:r>
          </w:p>
        </w:tc>
        <w:tc>
          <w:tcPr>
            <w:tcW w:type="dxa" w:w="3312"/>
            <w:vAlign w:val="center"/>
            <w:shd w:fill="D9EAF7"/>
          </w:tcPr>
          <w:p>
            <w:r/>
            <w:r>
              <w:rPr>
                <w:b/>
                <w:sz w:val="18"/>
              </w:rPr>
              <w:t>Activities</w:t>
            </w:r>
          </w:p>
        </w:tc>
      </w:tr>
      <w:tr>
        <w:tc>
          <w:tcPr>
            <w:tcW w:type="dxa" w:w="3312"/>
            <w:vAlign w:val="center"/>
          </w:tcPr>
          <w:p>
            <w:r/>
            <w:r>
              <w:rPr>
                <w:b w:val="0"/>
                <w:sz w:val="18"/>
              </w:rPr>
              <w:t>Research and dataset selection</w:t>
            </w:r>
          </w:p>
        </w:tc>
        <w:tc>
          <w:tcPr>
            <w:tcW w:type="dxa" w:w="3312"/>
            <w:vAlign w:val="center"/>
          </w:tcPr>
          <w:p>
            <w:r/>
            <w:r>
              <w:rPr>
                <w:b w:val="0"/>
                <w:sz w:val="18"/>
              </w:rPr>
              <w:t>4–5 h</w:t>
            </w:r>
          </w:p>
        </w:tc>
        <w:tc>
          <w:tcPr>
            <w:tcW w:type="dxa" w:w="3312"/>
            <w:vAlign w:val="center"/>
          </w:tcPr>
          <w:p>
            <w:r/>
            <w:r>
              <w:rPr>
                <w:b w:val="0"/>
                <w:sz w:val="18"/>
              </w:rPr>
              <w:t>Review public sources, data dictionaries, licenses, and healthcare quality issues.</w:t>
            </w:r>
          </w:p>
        </w:tc>
      </w:tr>
      <w:tr>
        <w:tc>
          <w:tcPr>
            <w:tcW w:type="dxa" w:w="3312"/>
            <w:vAlign w:val="center"/>
          </w:tcPr>
          <w:p>
            <w:r/>
            <w:r>
              <w:rPr>
                <w:b w:val="0"/>
                <w:sz w:val="18"/>
              </w:rPr>
              <w:t>Data acquisition and setup</w:t>
            </w:r>
          </w:p>
        </w:tc>
        <w:tc>
          <w:tcPr>
            <w:tcW w:type="dxa" w:w="3312"/>
            <w:vAlign w:val="center"/>
          </w:tcPr>
          <w:p>
            <w:r/>
            <w:r>
              <w:rPr>
                <w:b w:val="0"/>
                <w:sz w:val="18"/>
              </w:rPr>
              <w:t>3–4 h</w:t>
            </w:r>
          </w:p>
        </w:tc>
        <w:tc>
          <w:tcPr>
            <w:tcW w:type="dxa" w:w="3312"/>
            <w:vAlign w:val="center"/>
          </w:tcPr>
          <w:p>
            <w:r/>
            <w:r>
              <w:rPr>
                <w:b w:val="0"/>
                <w:sz w:val="18"/>
              </w:rPr>
              <w:t>Download/access data, establish folders, metadata, and reproducible ingestion.</w:t>
            </w:r>
          </w:p>
        </w:tc>
      </w:tr>
      <w:tr>
        <w:tc>
          <w:tcPr>
            <w:tcW w:type="dxa" w:w="3312"/>
            <w:vAlign w:val="center"/>
          </w:tcPr>
          <w:p>
            <w:r/>
            <w:r>
              <w:rPr>
                <w:b w:val="0"/>
                <w:sz w:val="18"/>
              </w:rPr>
              <w:t>Profiling and EDA</w:t>
            </w:r>
          </w:p>
        </w:tc>
        <w:tc>
          <w:tcPr>
            <w:tcW w:type="dxa" w:w="3312"/>
            <w:vAlign w:val="center"/>
          </w:tcPr>
          <w:p>
            <w:r/>
            <w:r>
              <w:rPr>
                <w:b w:val="0"/>
                <w:sz w:val="18"/>
              </w:rPr>
              <w:t>5–6 h</w:t>
            </w:r>
          </w:p>
        </w:tc>
        <w:tc>
          <w:tcPr>
            <w:tcW w:type="dxa" w:w="3312"/>
            <w:vAlign w:val="center"/>
          </w:tcPr>
          <w:p>
            <w:r/>
            <w:r>
              <w:rPr>
                <w:b w:val="0"/>
                <w:sz w:val="18"/>
              </w:rPr>
              <w:t>Schema, missingness, duplicates, distributions, anomalies, relationships.</w:t>
            </w:r>
          </w:p>
        </w:tc>
      </w:tr>
      <w:tr>
        <w:tc>
          <w:tcPr>
            <w:tcW w:type="dxa" w:w="3312"/>
            <w:vAlign w:val="center"/>
          </w:tcPr>
          <w:p>
            <w:r/>
            <w:r>
              <w:rPr>
                <w:b w:val="0"/>
                <w:sz w:val="18"/>
              </w:rPr>
              <w:t>Cleaning design and implementation</w:t>
            </w:r>
          </w:p>
        </w:tc>
        <w:tc>
          <w:tcPr>
            <w:tcW w:type="dxa" w:w="3312"/>
            <w:vAlign w:val="center"/>
          </w:tcPr>
          <w:p>
            <w:r/>
            <w:r>
              <w:rPr>
                <w:b w:val="0"/>
                <w:sz w:val="18"/>
              </w:rPr>
              <w:t>6–7 h</w:t>
            </w:r>
          </w:p>
        </w:tc>
        <w:tc>
          <w:tcPr>
            <w:tcW w:type="dxa" w:w="3312"/>
            <w:vAlign w:val="center"/>
          </w:tcPr>
          <w:p>
            <w:r/>
            <w:r>
              <w:rPr>
                <w:b w:val="0"/>
                <w:sz w:val="18"/>
              </w:rPr>
              <w:t>Missing values, duplicates, invalid values, categories, dates, units.</w:t>
            </w:r>
          </w:p>
        </w:tc>
      </w:tr>
      <w:tr>
        <w:tc>
          <w:tcPr>
            <w:tcW w:type="dxa" w:w="3312"/>
            <w:vAlign w:val="center"/>
          </w:tcPr>
          <w:p>
            <w:r/>
            <w:r>
              <w:rPr>
                <w:b w:val="0"/>
                <w:sz w:val="18"/>
              </w:rPr>
              <w:t>Integration and transformation</w:t>
            </w:r>
          </w:p>
        </w:tc>
        <w:tc>
          <w:tcPr>
            <w:tcW w:type="dxa" w:w="3312"/>
            <w:vAlign w:val="center"/>
          </w:tcPr>
          <w:p>
            <w:r/>
            <w:r>
              <w:rPr>
                <w:b w:val="0"/>
                <w:sz w:val="18"/>
              </w:rPr>
              <w:t>4–5 h</w:t>
            </w:r>
          </w:p>
        </w:tc>
        <w:tc>
          <w:tcPr>
            <w:tcW w:type="dxa" w:w="3312"/>
            <w:vAlign w:val="center"/>
          </w:tcPr>
          <w:p>
            <w:r/>
            <w:r>
              <w:rPr>
                <w:b w:val="0"/>
                <w:sz w:val="18"/>
              </w:rPr>
              <w:t>Joins, standardization, encoding, scaling, feature/aggregation design.</w:t>
            </w:r>
          </w:p>
        </w:tc>
      </w:tr>
      <w:tr>
        <w:tc>
          <w:tcPr>
            <w:tcW w:type="dxa" w:w="3312"/>
            <w:vAlign w:val="center"/>
          </w:tcPr>
          <w:p>
            <w:r/>
            <w:r>
              <w:rPr>
                <w:b w:val="0"/>
                <w:sz w:val="18"/>
              </w:rPr>
              <w:t>Validation and testing</w:t>
            </w:r>
          </w:p>
        </w:tc>
        <w:tc>
          <w:tcPr>
            <w:tcW w:type="dxa" w:w="3312"/>
            <w:vAlign w:val="center"/>
          </w:tcPr>
          <w:p>
            <w:r/>
            <w:r>
              <w:rPr>
                <w:b w:val="0"/>
                <w:sz w:val="18"/>
              </w:rPr>
              <w:t>3–4 h</w:t>
            </w:r>
          </w:p>
        </w:tc>
        <w:tc>
          <w:tcPr>
            <w:tcW w:type="dxa" w:w="3312"/>
            <w:vAlign w:val="center"/>
          </w:tcPr>
          <w:p>
            <w:r/>
            <w:r>
              <w:rPr>
                <w:b w:val="0"/>
                <w:sz w:val="18"/>
              </w:rPr>
              <w:t>Quality gates, leakage checks, rule tests, before/after comparisons.</w:t>
            </w:r>
          </w:p>
        </w:tc>
      </w:tr>
      <w:tr>
        <w:tc>
          <w:tcPr>
            <w:tcW w:type="dxa" w:w="3312"/>
            <w:vAlign w:val="center"/>
          </w:tcPr>
          <w:p>
            <w:r/>
            <w:r>
              <w:rPr>
                <w:b w:val="0"/>
                <w:sz w:val="18"/>
              </w:rPr>
              <w:t>Documentation and diagram</w:t>
            </w:r>
          </w:p>
        </w:tc>
        <w:tc>
          <w:tcPr>
            <w:tcW w:type="dxa" w:w="3312"/>
            <w:vAlign w:val="center"/>
          </w:tcPr>
          <w:p>
            <w:r/>
            <w:r>
              <w:rPr>
                <w:b w:val="0"/>
                <w:sz w:val="18"/>
              </w:rPr>
              <w:t>3–4 h</w:t>
            </w:r>
          </w:p>
        </w:tc>
        <w:tc>
          <w:tcPr>
            <w:tcW w:type="dxa" w:w="3312"/>
            <w:vAlign w:val="center"/>
          </w:tcPr>
          <w:p>
            <w:r/>
            <w:r>
              <w:rPr>
                <w:b w:val="0"/>
                <w:sz w:val="18"/>
              </w:rPr>
              <w:t>Write report, workflow diagram, limitations, references, README.</w:t>
            </w:r>
          </w:p>
        </w:tc>
      </w:tr>
    </w:tbl>
    <w:p>
      <w:r>
        <w:t>Total planned effort: approximately 28–35 hours depending on dataset complexity and the number of sources integrated.</w:t>
      </w:r>
    </w:p>
    <w:p>
      <w:pPr>
        <w:pStyle w:val="Heading1"/>
      </w:pPr>
      <w:r>
        <w:t>19. Expected Final Outputs</w:t>
      </w:r>
    </w:p>
    <w:p>
      <w:pPr>
        <w:pStyle w:val="ListBullet"/>
      </w:pPr>
      <w:r>
        <w:t>Raw dataset preserved unchanged with source metadata.</w:t>
      </w:r>
    </w:p>
    <w:p>
      <w:pPr>
        <w:pStyle w:val="ListBullet"/>
      </w:pPr>
      <w:r>
        <w:t>Data dictionary and profiling report.</w:t>
      </w:r>
    </w:p>
    <w:p>
      <w:pPr>
        <w:pStyle w:val="ListBullet"/>
      </w:pPr>
      <w:r>
        <w:t>Cleaned and standardized dataset.</w:t>
      </w:r>
    </w:p>
    <w:p>
      <w:pPr>
        <w:pStyle w:val="ListBullet"/>
      </w:pPr>
      <w:r>
        <w:t>Reusable preprocessing script/notebook.</w:t>
      </w:r>
    </w:p>
    <w:p>
      <w:pPr>
        <w:pStyle w:val="ListBullet"/>
      </w:pPr>
      <w:r>
        <w:t>Validation report with quality metrics and issue log.</w:t>
      </w:r>
    </w:p>
    <w:p>
      <w:pPr>
        <w:pStyle w:val="ListBullet"/>
      </w:pPr>
      <w:r>
        <w:t>Analysis-ready dataset or ML-ready feature matrix.</w:t>
      </w:r>
    </w:p>
    <w:p>
      <w:pPr>
        <w:pStyle w:val="ListBullet"/>
      </w:pPr>
      <w:r>
        <w:t>Embedded workflow diagram and technical documentation.</w:t>
      </w:r>
    </w:p>
    <w:p>
      <w:pPr>
        <w:pStyle w:val="ListBullet"/>
      </w:pPr>
      <w:r>
        <w:t>README containing setup, assumptions, data source citation, and reproducibility instructions.</w:t>
      </w:r>
    </w:p>
    <w:p>
      <w:pPr>
        <w:pStyle w:val="Heading1"/>
      </w:pPr>
      <w:r>
        <w:t>20. Conclusion</w:t>
      </w:r>
    </w:p>
    <w:p>
      <w:r>
        <w:t>A reliable healthcare analytics project begins with reliable data preparation. The proposed workflow deliberately separates acquisition, profiling, cleaning, integration, transformation, and validation so that each stage can be inspected and repeated. Rather than deleting every unusual observation or filling every missing value automatically, the approach combines statistical methods with domain-aware rules, provenance, and quality gates. Pandas and NumPy provide the core data-manipulation layer, while scikit-learn provides safe, reproducible preprocessing for machine-learning tasks. Visualization and automated checks make quality problems visible before they affect downstream analysis.</w:t>
      </w:r>
    </w:p>
    <w:p>
      <w:r>
        <w:t>The most important outcome of this Week 2 task is not merely a cleaned table; it is a documented system that explains where the data came from, what was changed, why each change was made, and how the final dataset was validated. This makes the workflow suitable for extension to disease prediction, patient-risk analysis, health-service monitoring, or other healthcare analytics projects while maintaining reproducibility and responsible data handling.</w:t>
      </w:r>
    </w:p>
    <w:p>
      <w:pPr>
        <w:pStyle w:val="Heading1"/>
      </w:pPr>
      <w:r>
        <w:t>21. References</w:t>
      </w:r>
    </w:p>
    <w:p>
      <w:pPr>
        <w:pStyle w:val="ListBullet"/>
      </w:pPr>
      <w:r>
        <w:t>World Health Organization. Data Quality Assurance (DQA). https://www.who.int/data/data-collection-tools/health-service-data/data-quality-assurance-dqa</w:t>
      </w:r>
    </w:p>
    <w:p>
      <w:pPr>
        <w:pStyle w:val="ListBullet"/>
      </w:pPr>
      <w:r>
        <w:t>World Health Organization. Data quality assurance: module 1: framework and metrics. https://www.who.int/publications/i/item/9789240047365</w:t>
      </w:r>
    </w:p>
    <w:p>
      <w:pPr>
        <w:pStyle w:val="ListBullet"/>
      </w:pPr>
      <w:r>
        <w:t>World Health Organization. WHO Data Principles. https://data.who.int/about/data/who-data-principles</w:t>
      </w:r>
    </w:p>
    <w:p>
      <w:pPr>
        <w:pStyle w:val="ListBullet"/>
      </w:pPr>
      <w:r>
        <w:t>World Health Organization. Health Service Data. https://www.who.int/data/data-collection-tools/health-service-data/</w:t>
      </w:r>
    </w:p>
    <w:p>
      <w:pPr>
        <w:pStyle w:val="ListBullet"/>
      </w:pPr>
      <w:r>
        <w:t>Pandas Documentation. User Guide. https://pandas.pydata.org/docs/user_guide/</w:t>
      </w:r>
    </w:p>
    <w:p>
      <w:pPr>
        <w:pStyle w:val="ListBullet"/>
      </w:pPr>
      <w:r>
        <w:t>Pandas Documentation. Missing Values. https://pandas.pydata.org/docs/reference/missing_value.html</w:t>
      </w:r>
    </w:p>
    <w:p>
      <w:pPr>
        <w:pStyle w:val="ListBullet"/>
      </w:pPr>
      <w:r>
        <w:t>scikit-learn Documentation. Preprocessing data. https://scikit-learn.org/stable/modules/preprocessing.html</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2 – Healthcare Data Collection, Cleaning &amp; Preprocessing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