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Arial" w:hAnsi="Arial"/>
          <w:b/>
          <w:color w:val="003366"/>
          <w:sz w:val="44"/>
        </w:rPr>
        <w:t>WEEK 5: MODEL TESTING, EVALUATION, AND IMPROVEMENT ROADMAP</w:t>
      </w:r>
    </w:p>
    <w:p>
      <w:pPr>
        <w:spacing w:after="3600"/>
        <w:jc w:val="center"/>
      </w:pPr>
      <w:r>
        <w:rPr>
          <w:rFonts w:ascii="Arial" w:hAnsi="Arial"/>
          <w:color w:val="555555"/>
          <w:sz w:val="28"/>
        </w:rPr>
        <w:t>Healthcare Predictive Analytics Lifecycle — 30-Day Hospital Readmission Risk Model</w:t>
      </w:r>
    </w:p>
    <w:p>
      <w:pPr>
        <w:jc w:val="left"/>
      </w:pPr>
      <w:r>
        <w:rPr>
          <w:rFonts w:ascii="Arial" w:hAnsi="Arial"/>
        </w:rPr>
        <w:t>Prepared by: Data Science Intern</w:t>
        <w:br/>
        <w:t>Course Segment: Healthcare Data Analytics (Python Stack)</w:t>
        <w:br/>
        <w:t>Date: September 2026</w:t>
        <w:br/>
        <w:t>Status: Comprehensive Technical Proposal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32"/>
        </w:rPr>
        <w:t>1. Executive Summary &amp; Evaluation Context</w:t>
      </w:r>
    </w:p>
    <w:p>
      <w:pPr>
        <w:spacing w:after="200" w:line="276" w:lineRule="auto"/>
      </w:pPr>
      <w:r>
        <w:t>Predictive validation within clinical environments demands high precision, reproducibility, and alignment with operational workflows. This document presents a comprehensive framework for testing, benchmarking, and systematically upgrading the predictive frameworks developed to estimate the 30-day risk of hospital readmission among chronic illness patient cohorts.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Clinical Objective Statement: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To minimize preventable 30-day patient readmissions by establishing an objective, highly calibrated predictive scoring mechanism that balances automated risk metrics with clinical workflows.</w:t>
            </w:r>
          </w:p>
        </w:tc>
      </w:tr>
    </w:tbl>
    <w:p>
      <w:pPr>
        <w:spacing w:before="360"/>
      </w:pPr>
      <w:r>
        <w:rPr>
          <w:rFonts w:ascii="Arial" w:hAnsi="Arial"/>
          <w:b/>
          <w:color w:val="003366"/>
          <w:sz w:val="32"/>
        </w:rPr>
        <w:t>2. Rigorous Model Testing Framework &amp; Procedures</w:t>
      </w:r>
    </w:p>
    <w:p>
      <w:pPr>
        <w:spacing w:line="276" w:lineRule="auto"/>
      </w:pPr>
      <w:r>
        <w:t>To safeguard against data leakage and ensure generalizability across heterogeneous patient distributions, validation incorporates Stratified 5-Fold Cross-Validation. This ensures the 82:18 negative-to-positive class imbalance ratio is precisely maintained across validation 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Metric Name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Mathematical Optimization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Threshold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Clinical Rationale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ROC-AUC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Area Under Receiver Operating Curve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&gt; 0.82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Discriminatory capacity between high-risk readmissions and stable controls.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PR-AUC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Area Under Precision-Recall Curve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&gt; 0.55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Robust performance indicator when managing highly skewed healthcare label sets.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Sensitivity (Recall)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TP / (TP + FN)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&gt; 80%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Ensures high catch rate for critical patients, reducing missing high-risk alerts.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PPV (Precision)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TP / (TP + FP)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&gt; 45%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Controls clinical alarm fatigue by reducing false positives for healthcare practitioners.</w:t>
            </w:r>
          </w:p>
        </w:tc>
      </w:tr>
    </w:tbl>
    <w:p>
      <w:pPr>
        <w:spacing w:before="280"/>
      </w:pPr>
      <w:r>
        <w:rPr>
          <w:rFonts w:ascii="Arial" w:hAnsi="Arial"/>
          <w:b/>
          <w:color w:val="555555"/>
          <w:sz w:val="24"/>
        </w:rPr>
        <w:t>Python Pipeline Snippet for Validation Architecture</w:t>
      </w:r>
    </w:p>
    <w:p>
      <w:pPr>
        <w:spacing w:after="240"/>
        <w:ind w:left="288"/>
      </w:pPr>
      <w:r>
        <w:rPr>
          <w:rFonts w:ascii="Courier New" w:hAnsi="Courier New"/>
          <w:color w:val="006633"/>
          <w:sz w:val="19"/>
        </w:rPr>
        <w:t>import numpy as np</w:t>
        <w:br/>
        <w:t>from sklearn.model_selection import StratifiedKFold</w:t>
        <w:br/>
        <w:t>from sklearn.metrics import roc_auc_score, precision_recall_curve, auc</w:t>
        <w:br/>
        <w:br/>
        <w:t>cv = StratifiedKFold(n_splits=5, shuffle=True, random_state=42)</w:t>
        <w:br/>
        <w:t>scores_roc, scores_pr = [], []</w:t>
        <w:br/>
        <w:br/>
        <w:t>for train_idx, val_idx in cv.split(X, y):</w:t>
        <w:br/>
        <w:t xml:space="preserve">    X_train, X_val = X.iloc[train_idx], X.iloc[val_idx]</w:t>
        <w:br/>
        <w:t xml:space="preserve">    y_train, y_val = y.iloc[train_idx], y.iloc[val_idx]</w:t>
        <w:br/>
        <w:t xml:space="preserve">    </w:t>
        <w:br/>
        <w:t xml:space="preserve">    model.fit(X_train, y_train)</w:t>
        <w:br/>
        <w:t xml:space="preserve">    preds = model.predict_proba(X_val)[:, 1]</w:t>
        <w:br/>
        <w:t xml:space="preserve">    </w:t>
        <w:br/>
        <w:t xml:space="preserve">    precision, recall, _ = precision_recall_curve(y_val, preds)</w:t>
        <w:br/>
        <w:t xml:space="preserve">    scores_roc.append(roc_auc_score(y_val, preds))</w:t>
        <w:br/>
        <w:t xml:space="preserve">    scores_pr.append(auc(recall, precision))</w:t>
        <w:br/>
        <w:t>print(f'Mean ROC-AUC: {np.mean(scores_roc):.4f}')</w:t>
      </w:r>
    </w:p>
    <w:p>
      <w:pPr>
        <w:spacing w:before="360"/>
      </w:pPr>
      <w:r>
        <w:rPr>
          <w:rFonts w:ascii="Arial" w:hAnsi="Arial"/>
          <w:b/>
          <w:color w:val="003366"/>
          <w:sz w:val="32"/>
        </w:rPr>
        <w:t>3. Error Diagnostics &amp; Healthcare Dataset Imbalances</w:t>
      </w:r>
    </w:p>
    <w:p>
      <w:r>
        <w:t>Clinical documentation systems often introduce high sparsity and structural imbalances. Our diagnostic methodology investigates three foundational failure dimensions:</w:t>
      </w:r>
    </w:p>
    <w:p>
      <w:pPr>
        <w:pStyle w:val="ListBullet"/>
      </w:pPr>
      <w:r>
        <w:rPr>
          <w:b/>
        </w:rPr>
        <w:t xml:space="preserve">Overfitting Signatures: </w:t>
      </w:r>
      <w:r>
        <w:rPr>
          <w:rFonts w:ascii="Arial" w:hAnsi="Arial"/>
        </w:rPr>
        <w:t>Monitored via widening performance deltas between training (e.g., AUC &gt; 0.98) and validation pipelines.</w:t>
      </w:r>
    </w:p>
    <w:p>
      <w:pPr>
        <w:pStyle w:val="ListBullet"/>
      </w:pPr>
      <w:r>
        <w:rPr>
          <w:b/>
        </w:rPr>
        <w:t xml:space="preserve">Class Imbalance Distortions: </w:t>
      </w:r>
      <w:r>
        <w:rPr>
          <w:rFonts w:ascii="Arial" w:hAnsi="Arial"/>
        </w:rPr>
        <w:t>Addressed using custom SMOTE-NC algorithms injected explicitly inside validation boundaries to eliminate synthetic data leakage.</w:t>
      </w:r>
    </w:p>
    <w:p>
      <w:pPr>
        <w:pStyle w:val="ListBullet"/>
      </w:pPr>
      <w:r>
        <w:rPr>
          <w:b/>
        </w:rPr>
        <w:t xml:space="preserve">Interpretability Diagnostics: </w:t>
      </w:r>
      <w:r>
        <w:rPr>
          <w:rFonts w:ascii="Arial" w:hAnsi="Arial"/>
        </w:rPr>
        <w:t>Leveraging Tree-based SHAP framework implementation to track out-of-bounds weight effects on non-linear comorbidity indicators.</w:t>
      </w:r>
    </w:p>
    <w:p>
      <w:pPr>
        <w:spacing w:before="360"/>
      </w:pPr>
      <w:r>
        <w:rPr>
          <w:rFonts w:ascii="Arial" w:hAnsi="Arial"/>
          <w:b/>
          <w:color w:val="003366"/>
          <w:sz w:val="32"/>
        </w:rPr>
        <w:t>4. Iterative Model Improvement &amp; Enhancement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5555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55555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Strategic Action Focus</w:t>
            </w:r>
          </w:p>
        </w:tc>
        <w:tc>
          <w:tcPr>
            <w:tcW w:type="dxa" w:w="2340"/>
            <w:shd w:fill="55555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Implementation Methods</w:t>
            </w:r>
          </w:p>
        </w:tc>
        <w:tc>
          <w:tcPr>
            <w:tcW w:type="dxa" w:w="2340"/>
            <w:shd w:fill="55555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Risk &amp; Mitigation Strategy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Phase 1 (Weeks 1-2)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Feature Enrichment Pipeline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Automated Charlson Comorbidity Extraction; target-encoded clinical flags.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High VIF multi-collinearity risks; mitigated via rigid regularization.</w:t>
            </w:r>
          </w:p>
        </w:tc>
      </w:tr>
      <w:tr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Phase 2 (Weeks 3-4)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Hyperparameter Optimization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Optuna-driven Bayesian optimization over tree max_depth, learning rate.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Over-tuning to validation sets; enforced nested cross-validation bounds.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Phase 3 (Weeks 5+)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Algorithmic Shifts &amp; Calibration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Isotonic Regression calibration layer scaling; focal loss tree targets.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Probability distortions; validated continuously against Brier Score maps.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