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rFonts w:ascii="Arial" w:hAnsi="Arial"/>
          <w:b/>
          <w:color w:val="660033"/>
          <w:sz w:val="44"/>
        </w:rPr>
        <w:t>WEEK 6: COMPREHENSIVE PROJECT DOCUMENTATION AND FINAL PRESENTATION DESIGN</w:t>
      </w:r>
    </w:p>
    <w:p>
      <w:pPr>
        <w:spacing w:after="3600"/>
        <w:jc w:val="center"/>
      </w:pPr>
      <w:r>
        <w:rPr>
          <w:rFonts w:ascii="Arial" w:hAnsi="Arial"/>
          <w:color w:val="555555"/>
          <w:sz w:val="26"/>
        </w:rPr>
        <w:t>End-to-End Analytics Case Portfolio: Operationalizing Risk Stratification in Clinical Infrastructure</w:t>
      </w:r>
    </w:p>
    <w:p>
      <w:pPr>
        <w:jc w:val="left"/>
      </w:pPr>
      <w:r>
        <w:rPr>
          <w:rFonts w:ascii="Arial" w:hAnsi="Arial"/>
        </w:rPr>
        <w:t>Prepared by: Data Science Intern</w:t>
        <w:br/>
        <w:t>Course Segment: Healthcare Data Analytics Capstone</w:t>
        <w:br/>
        <w:t>Date: September 2026</w:t>
        <w:br/>
        <w:t>Status: Final Comprehensive Project Deliverable</w:t>
      </w:r>
    </w:p>
    <w:p>
      <w:r>
        <w:br w:type="page"/>
      </w:r>
    </w:p>
    <w:p>
      <w:pPr>
        <w:spacing w:before="240"/>
      </w:pPr>
      <w:r>
        <w:rPr>
          <w:rFonts w:ascii="Arial" w:hAnsi="Arial"/>
          <w:b/>
          <w:color w:val="660033"/>
          <w:sz w:val="32"/>
        </w:rPr>
        <w:t>1. Comprehensive Project Introduction &amp; Methodology</w:t>
      </w:r>
    </w:p>
    <w:p>
      <w:r>
        <w:t>This capstone project establishes a secure, robust, machine-learning-driven architecture to dynamically predict 30-day hospital readmissions. Leveraging electronic medical data records, the analytical framework handles real-world missingness, patient demographic variances, and shifting diagnostic classifications.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7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660033"/>
              <w:top w:val="none"/>
              <w:right w:val="none"/>
              <w:bottom w:val="none"/>
            </w:tcBorders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Data Infrastructure Flow Architecture:</w:t>
            </w:r>
          </w:p>
          <w:p>
            <w:pPr>
              <w:spacing w:before="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[Raw EHR Ingestion] --&gt; [Automated Iterative Cohort Imputation] --&gt; [Feature Engineering (Charlson Scale)] --&gt; [Stratified Resampling Layer] --&gt; [XGBoost/LightGBM Core Classification Layer]</w:t>
            </w:r>
          </w:p>
        </w:tc>
      </w:tr>
    </w:tbl>
    <w:p>
      <w:pPr>
        <w:spacing w:before="360"/>
      </w:pPr>
      <w:r>
        <w:rPr>
          <w:rFonts w:ascii="Arial" w:hAnsi="Arial"/>
          <w:b/>
          <w:color w:val="660033"/>
          <w:sz w:val="32"/>
        </w:rPr>
        <w:t>2. Consolidated Project Performance Results</w:t>
      </w:r>
    </w:p>
    <w:p>
      <w:r>
        <w:t>Through iterative structural enhancements, baseline models were benchmarked against final hyperparameter-tuned algorithms. The table below represents the validated evolution across models: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66003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Model Iteration</w:t>
            </w:r>
          </w:p>
        </w:tc>
        <w:tc>
          <w:tcPr>
            <w:tcW w:type="dxa" w:w="1872"/>
            <w:shd w:fill="66003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Baseline ROC-AUC</w:t>
            </w:r>
          </w:p>
        </w:tc>
        <w:tc>
          <w:tcPr>
            <w:tcW w:type="dxa" w:w="1872"/>
            <w:shd w:fill="66003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Optimized ROC-AUC</w:t>
            </w:r>
          </w:p>
        </w:tc>
        <w:tc>
          <w:tcPr>
            <w:tcW w:type="dxa" w:w="1872"/>
            <w:shd w:fill="66003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Sensitivity (Recall)</w:t>
            </w:r>
          </w:p>
        </w:tc>
        <w:tc>
          <w:tcPr>
            <w:tcW w:type="dxa" w:w="1872"/>
            <w:shd w:fill="66003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Brier Score Calibration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Logistic Regression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0.682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0.714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64.3%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0.142</w:t>
            </w:r>
          </w:p>
        </w:tc>
      </w:tr>
      <w:tr>
        <w:tc>
          <w:tcPr>
            <w:tcW w:type="dxa" w:w="1872"/>
            <w:shd w:fill="FAF3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Random Forest Classifier</w:t>
            </w:r>
          </w:p>
        </w:tc>
        <w:tc>
          <w:tcPr>
            <w:tcW w:type="dxa" w:w="1872"/>
            <w:shd w:fill="FAF3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0.741</w:t>
            </w:r>
          </w:p>
        </w:tc>
        <w:tc>
          <w:tcPr>
            <w:tcW w:type="dxa" w:w="1872"/>
            <w:shd w:fill="FAF3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0.795</w:t>
            </w:r>
          </w:p>
        </w:tc>
        <w:tc>
          <w:tcPr>
            <w:tcW w:type="dxa" w:w="1872"/>
            <w:shd w:fill="FAF3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73.1%</w:t>
            </w:r>
          </w:p>
        </w:tc>
        <w:tc>
          <w:tcPr>
            <w:tcW w:type="dxa" w:w="1872"/>
            <w:shd w:fill="FAF3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0.118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Optimized XGBoost Ensembles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0.789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0.842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81.5%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color w:val="333333"/>
                <w:sz w:val="18"/>
              </w:rPr>
              <w:t>0.091</w:t>
            </w:r>
          </w:p>
        </w:tc>
      </w:tr>
    </w:tbl>
    <w:p>
      <w:pPr>
        <w:spacing w:before="360"/>
      </w:pPr>
      <w:r>
        <w:rPr>
          <w:rFonts w:ascii="Arial" w:hAnsi="Arial"/>
          <w:b/>
          <w:color w:val="660033"/>
          <w:sz w:val="32"/>
        </w:rPr>
        <w:t>3. Strategic Executive Presentation Design (Mock-Slides)</w:t>
      </w:r>
    </w:p>
    <w:p>
      <w:r>
        <w:t>This section presents structured layouts designed for conversion into formal executive slides intended for clinical board delivery.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33333"/>
              <w:top w:val="none"/>
              <w:right w:val="none"/>
              <w:bottom w:val="none"/>
            </w:tcBorders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EXECUTIVE SLIDE 1: PROJECT VISION &amp; VALUE PROP</w:t>
            </w:r>
          </w:p>
          <w:p>
            <w:pPr>
              <w:spacing w:before="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• Background: Healthcare systems lose millions in penalties annually due to high 30-day readmissions.</w:t>
            </w:r>
          </w:p>
          <w:p>
            <w:pPr>
              <w:spacing w:before="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• Strategy: Deploy objective Machine Learning risk markers directly inside daily patient workflow sheets.</w:t>
            </w:r>
          </w:p>
          <w:p>
            <w:pPr>
              <w:spacing w:before="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• Core Impact: Target 15% reduction in preventable returns, recovering beds and improving patient outcomes.</w:t>
            </w:r>
          </w:p>
        </w:tc>
      </w:tr>
    </w:tbl>
    <w:p>
      <w:pPr>
        <w:spacing w:before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33333"/>
              <w:top w:val="none"/>
              <w:right w:val="none"/>
              <w:bottom w:val="none"/>
            </w:tcBorders>
          </w:tcPr>
          <w:p>
            <w:pPr>
              <w:spacing w:before="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EXECUTIVE SLIDE 2: PERFORMANCE METRICS &amp; ROADMAP</w:t>
            </w:r>
          </w:p>
          <w:p>
            <w:pPr>
              <w:spacing w:before="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• Breakthrough: Reached a robust 0.842 ROC-AUC using advanced gradient boosting framework designs.</w:t>
            </w:r>
          </w:p>
          <w:p>
            <w:pPr>
              <w:spacing w:before="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• Efficiency: Captured 81.5% of high-risk cases while keeping alarms focused (Precision: 48.2%).</w:t>
            </w:r>
          </w:p>
          <w:p>
            <w:pPr>
              <w:spacing w:before="0" w:after="80" w:line="276" w:lineRule="auto"/>
            </w:pPr>
            <w:r>
              <w:rPr>
                <w:rFonts w:ascii="Arial" w:hAnsi="Arial"/>
                <w:color w:val="333333"/>
                <w:sz w:val="21"/>
              </w:rPr>
              <w:t>• Scale Plan: Phased EHR integration starting Q1 2027 with ongoing continuous shadow testing validations.</w:t>
            </w:r>
          </w:p>
        </w:tc>
      </w:tr>
    </w:tbl>
    <w:p>
      <w:pPr>
        <w:spacing w:before="360"/>
      </w:pPr>
      <w:r>
        <w:rPr>
          <w:rFonts w:ascii="Arial" w:hAnsi="Arial"/>
          <w:b/>
          <w:color w:val="660033"/>
          <w:sz w:val="32"/>
        </w:rPr>
        <w:t>4. Technical vs. Non-Technical Project Narrative</w:t>
      </w:r>
    </w:p>
    <w:p>
      <w:r>
        <w:t>Bridging complex analytical features to administrative value chains is essential. For the machine learning practitioner, features maintain strict mathematical regularization parameters to eliminate multi-collinearity. For clinical administration, this translates directly into a dependable warning flag that alerts medical personnel when a patient exhibits high risk scores, ensuring preventative care plans are triggered well before patient discharge occurs.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