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60"/>
          <w:szCs w:val="60"/>
        </w:rPr>
        <w:t xml:space="preserve">MAT-MAP</w:t>
      </w:r>
    </w:p>
    <w:p>
      <w:pPr>
        <w:spacing w:after="40" w:before="120"/>
        <w:jc w:val="center"/>
      </w:pPr>
      <w:r>
        <w:rPr>
          <w:color w:val="444444"/>
          <w:sz w:val="26"/>
          <w:szCs w:val="26"/>
        </w:rPr>
        <w:t xml:space="preserve">A Fare, Traffic, and Crowd-Aware Companion App for Nairobi's Matatu Public Transport Network</w:t>
      </w:r>
    </w:p>
    <w:p>
      <w:pPr>
        <w:spacing w:before="400"/>
        <w:jc w:val="center"/>
      </w:pPr>
      <w:r>
        <w:rPr>
          <w:i/>
          <w:iCs/>
          <w:sz w:val="24"/>
          <w:szCs w:val="24"/>
        </w:rPr>
        <w:t xml:space="preserve">Project Documentation</w:t>
      </w:r>
    </w:p>
    <w:p>
      <w:pPr>
        <w:spacing w:before="800"/>
        <w:jc w:val="center"/>
      </w:pPr>
      <w:r>
        <w:rPr>
          <w:color w:val="666666"/>
          <w:sz w:val="20"/>
          <w:szCs w:val="20"/>
        </w:rPr>
        <w:t xml:space="preserve">Repository: github.com/Mat-Map/Mat-Map</w:t>
      </w:r>
    </w:p>
    <w:p>
      <w:pPr>
        <w:spacing w:before="100"/>
        <w:jc w:val="center"/>
      </w:pPr>
      <w:r>
        <w:rPr>
          <w:color w:val="666666"/>
          <w:sz w:val="20"/>
          <w:szCs w:val="20"/>
        </w:rPr>
        <w:t xml:space="preserve">V1 Scope — 4-Person Team, 4-Week Incremental Build</w:t>
      </w:r>
    </w:p>
    <w:p>
      <w:r>
        <w:br w:type="page"/>
      </w:r>
    </w:p>
    <w:p>
      <w:pPr>
        <w:pStyle w:val="Heading1"/>
        <w:pBdr>
          <w:bottom w:val="single" w:color="1F3864" w:sz="6" w:space="4"/>
        </w:pBdr>
        <w:spacing w:after="200" w:before="400"/>
      </w:pPr>
      <w:r>
        <w:t xml:space="preserve">Table of Contents</w:t>
      </w:r>
    </w:p>
    <w:p>
      <w:pPr>
        <w:spacing w:after="160"/>
      </w:pPr>
      <w:r>
        <w:rPr>
          <w:sz w:val="24"/>
          <w:szCs w:val="24"/>
        </w:rPr>
        <w:t xml:space="preserve">1. Problem Statement</w:t>
      </w:r>
    </w:p>
    <w:p>
      <w:pPr>
        <w:spacing w:after="160"/>
      </w:pPr>
      <w:r>
        <w:rPr>
          <w:sz w:val="24"/>
          <w:szCs w:val="24"/>
        </w:rPr>
        <w:t xml:space="preserve">2. Users of the System</w:t>
      </w:r>
    </w:p>
    <w:p>
      <w:pPr>
        <w:spacing w:after="160"/>
      </w:pPr>
      <w:r>
        <w:rPr>
          <w:sz w:val="24"/>
          <w:szCs w:val="24"/>
        </w:rPr>
        <w:t xml:space="preserve">3. System Development Methodology</w:t>
      </w:r>
    </w:p>
    <w:p>
      <w:pPr>
        <w:spacing w:after="160"/>
      </w:pPr>
      <w:r>
        <w:rPr>
          <w:sz w:val="24"/>
          <w:szCs w:val="24"/>
        </w:rPr>
        <w:t xml:space="preserve">4. System Architecture &amp; Technology Stack</w:t>
      </w:r>
    </w:p>
    <w:p>
      <w:pPr>
        <w:spacing w:after="160"/>
      </w:pPr>
      <w:r>
        <w:rPr>
          <w:sz w:val="24"/>
          <w:szCs w:val="24"/>
        </w:rPr>
        <w:t xml:space="preserve">5. Team Members and Individual Contributions</w:t>
      </w:r>
    </w:p>
    <w:p>
      <w:pPr>
        <w:spacing w:after="160"/>
      </w:pPr>
      <w:r>
        <w:rPr>
          <w:sz w:val="24"/>
          <w:szCs w:val="24"/>
        </w:rPr>
        <w:t xml:space="preserve">6. Risks and Mitigations</w:t>
      </w:r>
    </w:p>
    <w:p>
      <w:pPr>
        <w:spacing w:after="160"/>
      </w:pPr>
      <w:r>
        <w:rPr>
          <w:sz w:val="24"/>
          <w:szCs w:val="24"/>
        </w:rPr>
        <w:t xml:space="preserve">7. Conclusion</w:t>
      </w:r>
    </w:p>
    <w:p>
      <w:r>
        <w:br w:type="page"/>
      </w:r>
    </w:p>
    <w:p>
      <w:pPr>
        <w:pStyle w:val="Heading1"/>
        <w:pBdr>
          <w:bottom w:val="single" w:color="1F3864" w:sz="6" w:space="4"/>
        </w:pBdr>
        <w:spacing w:after="200" w:before="400"/>
      </w:pPr>
      <w:r>
        <w:t xml:space="preserve">1. Problem Statement</w:t>
      </w:r>
    </w:p>
    <w:p>
      <w:pPr>
        <w:spacing w:after="160" w:line="276"/>
      </w:pPr>
      <w:r>
        <w:t xml:space="preserve">Matatus and nganyas are the backbone of daily transport for the vast majority of Nairobi residents, yet the experience of planning and taking a trip remains largely undigitised and unpredictable. Google Maps' public transit layer can tell a commuter which route and stages to use, but it stops short of the information that actually determines whether a trip is a good one:</w:t>
      </w:r>
    </w:p>
    <w:p>
      <w:pPr>
        <w:pStyle w:val="ListParagraph"/>
        <w:numPr>
          <w:ilvl w:val="0"/>
          <w:numId w:val="2"/>
        </w:numPr>
        <w:spacing w:after="80"/>
      </w:pPr>
      <w:r>
        <w:t xml:space="preserve">What the trip will realistically cost — matatu fares fluctuate by time of day, weather, and route demand, and are not represented in any public API.</w:t>
      </w:r>
    </w:p>
    <w:p>
      <w:pPr>
        <w:pStyle w:val="ListParagraph"/>
        <w:numPr>
          <w:ilvl w:val="0"/>
          <w:numId w:val="2"/>
        </w:numPr>
        <w:spacing w:after="80"/>
      </w:pPr>
      <w:r>
        <w:t xml:space="preserve">Whether current road traffic will meaningfully change the journey time beyond the scheduled estimate.</w:t>
      </w:r>
    </w:p>
    <w:p>
      <w:pPr>
        <w:pStyle w:val="ListParagraph"/>
        <w:numPr>
          <w:ilvl w:val="0"/>
          <w:numId w:val="2"/>
        </w:numPr>
        <w:spacing w:after="80"/>
      </w:pPr>
      <w:r>
        <w:t xml:space="preserve">How crowded the boarding stage is right now, before the commuter even leaves the house.</w:t>
      </w:r>
    </w:p>
    <w:p>
      <w:pPr>
        <w:pStyle w:val="ListParagraph"/>
        <w:numPr>
          <w:ilvl w:val="0"/>
          <w:numId w:val="2"/>
        </w:numPr>
        <w:spacing w:after="80"/>
      </w:pPr>
      <w:r>
        <w:t xml:space="preserve">What kind of ride to expect — a loud, music-heavy “nganya” experience versus a quieter, more subdued vehicle.</w:t>
      </w:r>
    </w:p>
    <w:p>
      <w:pPr>
        <w:spacing w:after="160" w:line="276"/>
      </w:pPr>
      <w:r>
        <w:t xml:space="preserve">Mat-Map addresses this gap by layering matatu-specific, community-sourced intelligence on top of Google Maps' existing transit data, rather than attempting to rebuild routing and mapping infrastructure from scratch. This narrows the engineering effort to the layer that is genuinely missing from the market, while keeping the underlying routing accuracy of an established provider.</w:t>
      </w:r>
    </w:p>
    <w:p>
      <w:pPr>
        <w:pStyle w:val="Heading2"/>
        <w:spacing w:after="120" w:before="280"/>
      </w:pPr>
      <w:r>
        <w:t xml:space="preserve">1.1 Evidence Base</w:t>
      </w:r>
    </w:p>
    <w:p>
      <w:pPr>
        <w:spacing w:after="160" w:line="276"/>
      </w:pPr>
      <w:r>
        <w:t xml:space="preserve">The problem statement is grounded in a 116-respondent user survey conducted prior to development, which directly shaped the V1 feature prioritisation:</w:t>
      </w:r>
    </w:p>
    <w:p>
      <w:pPr>
        <w:pStyle w:val="ListParagraph"/>
        <w:numPr>
          <w:ilvl w:val="0"/>
          <w:numId w:val="2"/>
        </w:numPr>
        <w:spacing w:after="80"/>
      </w:pPr>
      <w:r>
        <w:rPr>
          <w:b/>
          <w:bCs/>
        </w:rPr>
        <w:t xml:space="preserve">Fare estimates: </w:t>
      </w:r>
      <w:r>
        <w:t xml:space="preserve">87 of 116 respondents (75%) rated fare estimation “Very Useful” — the single highest-rated feature.</w:t>
      </w:r>
    </w:p>
    <w:p>
      <w:pPr>
        <w:pStyle w:val="ListParagraph"/>
        <w:numPr>
          <w:ilvl w:val="0"/>
          <w:numId w:val="2"/>
        </w:numPr>
        <w:spacing w:after="80"/>
      </w:pPr>
      <w:r>
        <w:rPr>
          <w:b/>
          <w:bCs/>
        </w:rPr>
        <w:t xml:space="preserve">Traffic/delay alerts: </w:t>
      </w:r>
      <w:r>
        <w:t xml:space="preserve">78 of 116 respondents (67%) rated route-change/delay alerts “Very Useful.”</w:t>
      </w:r>
    </w:p>
    <w:p>
      <w:pPr>
        <w:pStyle w:val="ListParagraph"/>
        <w:numPr>
          <w:ilvl w:val="0"/>
          <w:numId w:val="2"/>
        </w:numPr>
        <w:spacing w:after="80"/>
      </w:pPr>
      <w:r>
        <w:rPr>
          <w:b/>
          <w:bCs/>
        </w:rPr>
        <w:t xml:space="preserve">Crowd levels: </w:t>
      </w:r>
      <w:r>
        <w:t xml:space="preserve">69 of 116 respondents (59%) rated live stage crowd levels “Very Useful.”</w:t>
      </w:r>
    </w:p>
    <w:p>
      <w:pPr>
        <w:pStyle w:val="ListParagraph"/>
        <w:numPr>
          <w:ilvl w:val="0"/>
          <w:numId w:val="2"/>
        </w:numPr>
        <w:spacing w:after="80"/>
      </w:pPr>
      <w:r>
        <w:rPr>
          <w:b/>
          <w:bCs/>
        </w:rPr>
        <w:t xml:space="preserve">Vehicle vibe (nganya vs. quiet): </w:t>
      </w:r>
      <w:r>
        <w:t xml:space="preserve">cited by roughly a third of respondents as a factor influencing which vehicle they choose to board.</w:t>
      </w:r>
    </w:p>
    <w:p>
      <w:pPr>
        <w:pStyle w:val="ListParagraph"/>
        <w:numPr>
          <w:ilvl w:val="0"/>
          <w:numId w:val="2"/>
        </w:numPr>
        <w:spacing w:after="80"/>
      </w:pPr>
      <w:r>
        <w:rPr>
          <w:b/>
          <w:bCs/>
        </w:rPr>
        <w:t xml:space="preserve">Willingness to contribute data: </w:t>
      </w:r>
      <w:r>
        <w:t xml:space="preserve">66 of 116 respondents said “Yes” and a further 33 said “Maybe” to contributing fare/crowd/vibe reports themselves — the data foundation the entire product depends on.</w:t>
      </w:r>
    </w:p>
    <w:p>
      <w:pPr>
        <w:pStyle w:val="Heading1"/>
        <w:pBdr>
          <w:bottom w:val="single" w:color="1F3864" w:sz="6" w:space="4"/>
        </w:pBdr>
        <w:spacing w:after="200" w:before="400"/>
      </w:pPr>
      <w:r>
        <w:t xml:space="preserve">2. Users of the System</w:t>
      </w:r>
    </w:p>
    <w:p>
      <w:pPr>
        <w:pStyle w:val="Heading2"/>
        <w:spacing w:after="120" w:before="280"/>
      </w:pPr>
      <w:r>
        <w:t xml:space="preserve">2.1 Primary Users</w:t>
      </w:r>
    </w:p>
    <w:p>
      <w:pPr>
        <w:spacing w:after="160" w:line="276"/>
      </w:pPr>
      <w:r>
        <w:t xml:space="preserve">Daily and semi-regular matatu commuters in Nairobi, predominantly accessing the app via mid-range Android smartphones over mobile browsers rather than dedicated app-store downloads. This user profile directly drove the decision to ship Mat-Map as a Progressive Web App (PWA) rather than a native app — removing the install-friction barrier for the target demographic.</w:t>
      </w:r>
    </w:p>
    <w:p>
      <w:pPr>
        <w:pStyle w:val="Heading2"/>
        <w:spacing w:after="120" w:before="280"/>
      </w:pPr>
      <w:r>
        <w:t xml:space="preserve">2.2 Secondary Users</w:t>
      </w:r>
    </w:p>
    <w:p>
      <w:pPr>
        <w:spacing w:after="160" w:line="276"/>
      </w:pPr>
      <w:r>
        <w:t xml:space="preserve">Occasional or first-time matatu riders (e.g. visitors, new residents, or commuters travelling an unfamiliar route) who rely more heavily on fare-range and vibe information to reduce the uncertainty of an unfamiliar trip, since they lack the tacit local knowledge regular commuters already have.</w:t>
      </w:r>
    </w:p>
    <w:p>
      <w:pPr>
        <w:pStyle w:val="Heading2"/>
        <w:spacing w:after="120" w:before="280"/>
      </w:pPr>
      <w:r>
        <w:t xml:space="preserve">2.3 Data-Contributing Users</w:t>
      </w:r>
    </w:p>
    <w:p>
      <w:pPr>
        <w:spacing w:after="160" w:line="276"/>
      </w:pPr>
      <w:r>
        <w:t xml:space="preserve">A subset of both groups above who opt in to submitting post-trip reports (fare paid, stage crowd level, vehicle vibe) through the in-app report flow. This group is functionally a distinct user type because the product's core value proposition — real, current fare/crowd/vibe data — depends entirely on their continued participation rather than on any GPS hardware or sacco-side integration.</w:t>
      </w:r>
    </w:p>
    <w:p>
      <w:pPr>
        <w:pStyle w:val="Heading2"/>
        <w:spacing w:after="120" w:before="280"/>
      </w:pPr>
      <w:r>
        <w:t xml:space="preserve">2.4 Out-of-Scope Stakeholders (V1)</w:t>
      </w:r>
    </w:p>
    <w:p>
      <w:pPr>
        <w:spacing w:after="160" w:line="276"/>
      </w:pPr>
      <w:r>
        <w:t xml:space="preserve">Sacco operators and matatu owners/drivers are identified as future-facing stakeholders (e.g. a sacco-side dashboard, driver-side GPS reporting) but are explicitly excluded from the V1 build. All V1 vehicle-position, crowd, and vibe signals originate from passenger-submitted reports rather than any operator or driver system, which is the key design decision that keeps a 4-week build achievable.</w:t>
      </w:r>
    </w:p>
    <w:p>
      <w:pPr>
        <w:pStyle w:val="Heading1"/>
        <w:pBdr>
          <w:bottom w:val="single" w:color="1F3864" w:sz="6" w:space="4"/>
        </w:pBdr>
        <w:spacing w:after="200" w:before="400"/>
      </w:pPr>
      <w:r>
        <w:t xml:space="preserve">3. System Development Methodology</w:t>
      </w:r>
    </w:p>
    <w:p>
      <w:pPr>
        <w:spacing w:after="160" w:line="276"/>
      </w:pPr>
      <w:r>
        <w:t xml:space="preserve">Mat-Map was built using the </w:t>
      </w:r>
      <w:r>
        <w:rPr>
          <w:b/>
          <w:bCs/>
        </w:rPr>
        <w:t xml:space="preserve">Incremental (Iterative) Development Model</w:t>
      </w:r>
      <w:r>
        <w:t xml:space="preserve">, in which the system is broken into a series of small, functionally complete builds (“increments”), each of which is designed, built, integrated, and demonstrated before the next increment begins. Unlike the Waterfall model, later-stage discoveries in one increment can inform the design of the next without requiring the whole project to restart from the requirements phase. Unlike a pure Scrum/Agile process, each increment here was scoped in advance around a specific, demonstrable slice of end-to-end functionality rather than a backlog re-prioritised sprint by sprint — a deliberate choice given the fixed 4-week timeline and the need for a working demo at the end of every week.</w:t>
      </w:r>
    </w:p>
    <w:p>
      <w:pPr>
        <w:spacing w:after="160" w:line="276"/>
      </w:pPr>
      <w:r>
        <w:t xml:space="preserve">The original product concept spanned an 8-week scope that included a driver-facing Android GPS application and a USSD/SMS channel for feature-phone users. This was deliberately narrowed to the 4-week V1 scope described in this document, dropping the driver-side app and USSD channel in favour of layering intelligence on top of Google Maps' existing transit data — a scope reduction made directly in response to the timeline constraint, and itself an example of the incremental model's core principle: ship a smaller, working system first, then expand.</w:t>
      </w:r>
    </w:p>
    <w:p>
      <w:pPr>
        <w:pStyle w:val="Heading2"/>
        <w:spacing w:after="120" w:before="280"/>
      </w:pPr>
      <w:r>
        <w:t xml:space="preserve">3.1 Increment Breakdown</w:t>
      </w:r>
    </w:p>
    <w:p>
      <w:pPr>
        <w:spacing w:after="160" w:line="276"/>
      </w:pPr>
      <w:r>
        <w:t xml:space="preserve">Each of the four weekly increments below added a fully working, independently demonstrable capability on top of the previous increment's output, following the classic incremental-model shape of Requirements → Design → Build → Integrate → Demo, repeated per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3800"/>
        <w:gridCol w:w="1860"/>
      </w:tblGrid>
      <w:tr>
        <w:trPr>
          <w:tblHeader/>
        </w:trPr>
        <w:tc>
          <w:tcPr>
            <w:tcW w:type="dxa" w:w="1600"/>
            <w:shd w:fill="1F3864" w:color="auto" w:val="clear"/>
            <w:tcMar>
              <w:top w:type="dxa" w:w="100"/>
              <w:left w:type="dxa" w:w="120"/>
              <w:bottom w:type="dxa" w:w="100"/>
              <w:right w:type="dxa" w:w="120"/>
            </w:tcMar>
          </w:tcPr>
          <w:p>
            <w:r>
              <w:rPr>
                <w:b/>
                <w:bCs/>
                <w:color w:val="FFFFFF"/>
                <w:sz w:val="20"/>
                <w:szCs w:val="20"/>
              </w:rPr>
              <w:t xml:space="preserve">Increment</w:t>
            </w:r>
          </w:p>
        </w:tc>
        <w:tc>
          <w:tcPr>
            <w:tcW w:type="dxa" w:w="2100"/>
            <w:shd w:fill="1F3864" w:color="auto" w:val="clear"/>
            <w:tcMar>
              <w:top w:type="dxa" w:w="100"/>
              <w:left w:type="dxa" w:w="120"/>
              <w:bottom w:type="dxa" w:w="100"/>
              <w:right w:type="dxa" w:w="120"/>
            </w:tcMar>
          </w:tcPr>
          <w:p>
            <w:r>
              <w:rPr>
                <w:b/>
                <w:bCs/>
                <w:color w:val="FFFFFF"/>
                <w:sz w:val="20"/>
                <w:szCs w:val="20"/>
              </w:rPr>
              <w:t xml:space="preserve">Stage Focus</w:t>
            </w:r>
          </w:p>
        </w:tc>
        <w:tc>
          <w:tcPr>
            <w:tcW w:type="dxa" w:w="3800"/>
            <w:shd w:fill="1F3864" w:color="auto" w:val="clear"/>
            <w:tcMar>
              <w:top w:type="dxa" w:w="100"/>
              <w:left w:type="dxa" w:w="120"/>
              <w:bottom w:type="dxa" w:w="100"/>
              <w:right w:type="dxa" w:w="120"/>
            </w:tcMar>
          </w:tcPr>
          <w:p>
            <w:r>
              <w:rPr>
                <w:b/>
                <w:bCs/>
                <w:color w:val="FFFFFF"/>
                <w:sz w:val="20"/>
                <w:szCs w:val="20"/>
              </w:rPr>
              <w:t xml:space="preserve">System Analysis / Design Activities</w:t>
            </w:r>
          </w:p>
        </w:tc>
        <w:tc>
          <w:tcPr>
            <w:tcW w:type="dxa" w:w="1860"/>
            <w:shd w:fill="1F3864" w:color="auto" w:val="clear"/>
            <w:tcMar>
              <w:top w:type="dxa" w:w="100"/>
              <w:left w:type="dxa" w:w="120"/>
              <w:bottom w:type="dxa" w:w="100"/>
              <w:right w:type="dxa" w:w="120"/>
            </w:tcMar>
          </w:tcPr>
          <w:p>
            <w:r>
              <w:rPr>
                <w:b/>
                <w:bCs/>
                <w:color w:val="FFFFFF"/>
                <w:sz w:val="20"/>
                <w:szCs w:val="20"/>
              </w:rPr>
              <w:t xml:space="preserve">End-of-Increment Demonstrable</w:t>
            </w:r>
          </w:p>
        </w:tc>
      </w:tr>
      <w:tr>
        <w:tc>
          <w:tcPr>
            <w:tcW w:type="dxa" w:w="1600"/>
            <w:tcMar>
              <w:top w:type="dxa" w:w="100"/>
              <w:left w:type="dxa" w:w="120"/>
              <w:bottom w:type="dxa" w:w="100"/>
              <w:right w:type="dxa" w:w="120"/>
            </w:tcMar>
          </w:tcPr>
          <w:p>
            <w:r>
              <w:rPr>
                <w:b w:val="false"/>
                <w:bCs w:val="false"/>
                <w:color w:val="000000"/>
                <w:sz w:val="20"/>
                <w:szCs w:val="20"/>
              </w:rPr>
              <w:t xml:space="preserve">Increment 1
(Week 1)</w:t>
            </w:r>
          </w:p>
        </w:tc>
        <w:tc>
          <w:tcPr>
            <w:tcW w:type="dxa" w:w="2100"/>
            <w:tcMar>
              <w:top w:type="dxa" w:w="100"/>
              <w:left w:type="dxa" w:w="120"/>
              <w:bottom w:type="dxa" w:w="100"/>
              <w:right w:type="dxa" w:w="120"/>
            </w:tcMar>
          </w:tcPr>
          <w:p>
            <w:r>
              <w:rPr>
                <w:b w:val="false"/>
                <w:bCs w:val="false"/>
                <w:color w:val="000000"/>
                <w:sz w:val="20"/>
                <w:szCs w:val="20"/>
              </w:rPr>
              <w:t xml:space="preserve">Foundations &amp; Contracts</w:t>
            </w:r>
          </w:p>
        </w:tc>
        <w:tc>
          <w:tcPr>
            <w:tcW w:type="dxa" w:w="3800"/>
            <w:tcMar>
              <w:top w:type="dxa" w:w="100"/>
              <w:left w:type="dxa" w:w="120"/>
              <w:bottom w:type="dxa" w:w="100"/>
              <w:right w:type="dxa" w:w="120"/>
            </w:tcMar>
          </w:tcPr>
          <w:p>
            <w:r>
              <w:rPr>
                <w:b w:val="false"/>
                <w:bCs w:val="false"/>
                <w:color w:val="000000"/>
                <w:sz w:val="20"/>
                <w:szCs w:val="20"/>
              </w:rPr>
              <w:t xml:space="preserve">Requirements confirmed from survey data; API contract authored (docs/api-spec.md) before parallel build began; Postgres schema drafted; repo/CI scaffolding designed</w:t>
            </w:r>
          </w:p>
        </w:tc>
        <w:tc>
          <w:tcPr>
            <w:tcW w:type="dxa" w:w="1860"/>
            <w:tcMar>
              <w:top w:type="dxa" w:w="100"/>
              <w:left w:type="dxa" w:w="120"/>
              <w:bottom w:type="dxa" w:w="100"/>
              <w:right w:type="dxa" w:w="120"/>
            </w:tcMar>
          </w:tcPr>
          <w:p>
            <w:r>
              <w:rPr>
                <w:b w:val="false"/>
                <w:bCs w:val="false"/>
                <w:color w:val="000000"/>
                <w:sz w:val="20"/>
                <w:szCs w:val="20"/>
              </w:rPr>
              <w:t xml:space="preserve">Live search returns a real Google-Maps-based matatu route in-app (no fare/crowd/vibe yet)</w:t>
            </w:r>
          </w:p>
        </w:tc>
      </w:tr>
      <w:tr>
        <w:tc>
          <w:tcPr>
            <w:tcW w:type="dxa" w:w="1600"/>
            <w:shd w:fill="DCE6F1" w:color="auto" w:val="clear"/>
            <w:tcMar>
              <w:top w:type="dxa" w:w="100"/>
              <w:left w:type="dxa" w:w="120"/>
              <w:bottom w:type="dxa" w:w="100"/>
              <w:right w:type="dxa" w:w="120"/>
            </w:tcMar>
          </w:tcPr>
          <w:p>
            <w:r>
              <w:rPr>
                <w:b w:val="false"/>
                <w:bCs w:val="false"/>
                <w:color w:val="000000"/>
                <w:sz w:val="20"/>
                <w:szCs w:val="20"/>
              </w:rPr>
              <w:t xml:space="preserve">Increment 2
(Week 2)</w:t>
            </w:r>
          </w:p>
        </w:tc>
        <w:tc>
          <w:tcPr>
            <w:tcW w:type="dxa" w:w="2100"/>
            <w:shd w:fill="DCE6F1" w:color="auto" w:val="clear"/>
            <w:tcMar>
              <w:top w:type="dxa" w:w="100"/>
              <w:left w:type="dxa" w:w="120"/>
              <w:bottom w:type="dxa" w:w="100"/>
              <w:right w:type="dxa" w:w="120"/>
            </w:tcMar>
          </w:tcPr>
          <w:p>
            <w:r>
              <w:rPr>
                <w:b w:val="false"/>
                <w:bCs w:val="false"/>
                <w:color w:val="000000"/>
                <w:sz w:val="20"/>
                <w:szCs w:val="20"/>
              </w:rPr>
              <w:t xml:space="preserve">Core Enrichment</w:t>
            </w:r>
          </w:p>
        </w:tc>
        <w:tc>
          <w:tcPr>
            <w:tcW w:type="dxa" w:w="3800"/>
            <w:shd w:fill="DCE6F1" w:color="auto" w:val="clear"/>
            <w:tcMar>
              <w:top w:type="dxa" w:w="100"/>
              <w:left w:type="dxa" w:w="120"/>
              <w:bottom w:type="dxa" w:w="100"/>
              <w:right w:type="dxa" w:w="120"/>
            </w:tcMar>
          </w:tcPr>
          <w:p>
            <w:r>
              <w:rPr>
                <w:b w:val="false"/>
                <w:bCs w:val="false"/>
                <w:color w:val="000000"/>
                <w:sz w:val="20"/>
                <w:szCs w:val="20"/>
              </w:rPr>
              <w:t xml:space="preserve">Data model implemented (fare_reports, vibe_reports tables); report-ingestion validation rules designed; seed-data ETL from survey CSV</w:t>
            </w:r>
          </w:p>
        </w:tc>
        <w:tc>
          <w:tcPr>
            <w:tcW w:type="dxa" w:w="1860"/>
            <w:shd w:fill="DCE6F1" w:color="auto" w:val="clear"/>
            <w:tcMar>
              <w:top w:type="dxa" w:w="100"/>
              <w:left w:type="dxa" w:w="120"/>
              <w:bottom w:type="dxa" w:w="100"/>
              <w:right w:type="dxa" w:w="120"/>
            </w:tcMar>
          </w:tcPr>
          <w:p>
            <w:r>
              <w:rPr>
                <w:b w:val="false"/>
                <w:bCs w:val="false"/>
                <w:color w:val="000000"/>
                <w:sz w:val="20"/>
                <w:szCs w:val="20"/>
              </w:rPr>
              <w:t xml:space="preserve">Full route search returns fare estimate + crowd level per stage, backed by seeded real data</w:t>
            </w:r>
          </w:p>
        </w:tc>
      </w:tr>
      <w:tr>
        <w:tc>
          <w:tcPr>
            <w:tcW w:type="dxa" w:w="1600"/>
            <w:tcMar>
              <w:top w:type="dxa" w:w="100"/>
              <w:left w:type="dxa" w:w="120"/>
              <w:bottom w:type="dxa" w:w="100"/>
              <w:right w:type="dxa" w:w="120"/>
            </w:tcMar>
          </w:tcPr>
          <w:p>
            <w:r>
              <w:rPr>
                <w:b w:val="false"/>
                <w:bCs w:val="false"/>
                <w:color w:val="000000"/>
                <w:sz w:val="20"/>
                <w:szCs w:val="20"/>
              </w:rPr>
              <w:t xml:space="preserve">Increment 3
(Week 3)</w:t>
            </w:r>
          </w:p>
        </w:tc>
        <w:tc>
          <w:tcPr>
            <w:tcW w:type="dxa" w:w="2100"/>
            <w:tcMar>
              <w:top w:type="dxa" w:w="100"/>
              <w:left w:type="dxa" w:w="120"/>
              <w:bottom w:type="dxa" w:w="100"/>
              <w:right w:type="dxa" w:w="120"/>
            </w:tcMar>
          </w:tcPr>
          <w:p>
            <w:r>
              <w:rPr>
                <w:b w:val="false"/>
                <w:bCs w:val="false"/>
                <w:color w:val="000000"/>
                <w:sz w:val="20"/>
                <w:szCs w:val="20"/>
              </w:rPr>
              <w:t xml:space="preserve">Traffic ETA &amp; Vibe Filtering</w:t>
            </w:r>
          </w:p>
        </w:tc>
        <w:tc>
          <w:tcPr>
            <w:tcW w:type="dxa" w:w="3800"/>
            <w:tcMar>
              <w:top w:type="dxa" w:w="100"/>
              <w:left w:type="dxa" w:w="120"/>
              <w:bottom w:type="dxa" w:w="100"/>
              <w:right w:type="dxa" w:w="120"/>
            </w:tcMar>
          </w:tcPr>
          <w:p>
            <w:r>
              <w:rPr>
                <w:b w:val="false"/>
                <w:bCs w:val="false"/>
                <w:color w:val="000000"/>
                <w:sz w:val="20"/>
                <w:szCs w:val="20"/>
              </w:rPr>
              <w:t xml:space="preserve">Rules-engine design for traffic-delay blending; vibe classification approach finalised (majority-vote v. stretch classifier)</w:t>
            </w:r>
          </w:p>
        </w:tc>
        <w:tc>
          <w:tcPr>
            <w:tcW w:type="dxa" w:w="1860"/>
            <w:tcMar>
              <w:top w:type="dxa" w:w="100"/>
              <w:left w:type="dxa" w:w="120"/>
              <w:bottom w:type="dxa" w:w="100"/>
              <w:right w:type="dxa" w:w="120"/>
            </w:tcMar>
          </w:tcPr>
          <w:p>
            <w:r>
              <w:rPr>
                <w:b w:val="false"/>
                <w:bCs w:val="false"/>
                <w:color w:val="000000"/>
                <w:sz w:val="20"/>
                <w:szCs w:val="20"/>
              </w:rPr>
              <w:t xml:space="preserve">All 5 core features working end-to-end on a shared staging environment</w:t>
            </w:r>
          </w:p>
        </w:tc>
      </w:tr>
      <w:tr>
        <w:tc>
          <w:tcPr>
            <w:tcW w:type="dxa" w:w="1600"/>
            <w:shd w:fill="DCE6F1" w:color="auto" w:val="clear"/>
            <w:tcMar>
              <w:top w:type="dxa" w:w="100"/>
              <w:left w:type="dxa" w:w="120"/>
              <w:bottom w:type="dxa" w:w="100"/>
              <w:right w:type="dxa" w:w="120"/>
            </w:tcMar>
          </w:tcPr>
          <w:p>
            <w:r>
              <w:rPr>
                <w:b w:val="false"/>
                <w:bCs w:val="false"/>
                <w:color w:val="000000"/>
                <w:sz w:val="20"/>
                <w:szCs w:val="20"/>
              </w:rPr>
              <w:t xml:space="preserve">Increment 4
(Week 4)</w:t>
            </w:r>
          </w:p>
        </w:tc>
        <w:tc>
          <w:tcPr>
            <w:tcW w:type="dxa" w:w="2100"/>
            <w:shd w:fill="DCE6F1" w:color="auto" w:val="clear"/>
            <w:tcMar>
              <w:top w:type="dxa" w:w="100"/>
              <w:left w:type="dxa" w:w="120"/>
              <w:bottom w:type="dxa" w:w="100"/>
              <w:right w:type="dxa" w:w="120"/>
            </w:tcMar>
          </w:tcPr>
          <w:p>
            <w:r>
              <w:rPr>
                <w:b w:val="false"/>
                <w:bCs w:val="false"/>
                <w:color w:val="000000"/>
                <w:sz w:val="20"/>
                <w:szCs w:val="20"/>
              </w:rPr>
              <w:t xml:space="preserve">Field Validation &amp; Hardening</w:t>
            </w:r>
          </w:p>
        </w:tc>
        <w:tc>
          <w:tcPr>
            <w:tcW w:type="dxa" w:w="3800"/>
            <w:shd w:fill="DCE6F1" w:color="auto" w:val="clear"/>
            <w:tcMar>
              <w:top w:type="dxa" w:w="100"/>
              <w:left w:type="dxa" w:w="120"/>
              <w:bottom w:type="dxa" w:w="100"/>
              <w:right w:type="dxa" w:w="120"/>
            </w:tcMar>
          </w:tcPr>
          <w:p>
            <w:r>
              <w:rPr>
                <w:b w:val="false"/>
                <w:bCs w:val="false"/>
                <w:color w:val="000000"/>
                <w:sz w:val="20"/>
                <w:szCs w:val="20"/>
              </w:rPr>
              <w:t xml:space="preserve">Real-user acceptance testing (10–15 users); defect triage from field data; model recalibration</w:t>
            </w:r>
          </w:p>
        </w:tc>
        <w:tc>
          <w:tcPr>
            <w:tcW w:type="dxa" w:w="1860"/>
            <w:shd w:fill="DCE6F1" w:color="auto" w:val="clear"/>
            <w:tcMar>
              <w:top w:type="dxa" w:w="100"/>
              <w:left w:type="dxa" w:w="120"/>
              <w:bottom w:type="dxa" w:w="100"/>
              <w:right w:type="dxa" w:w="120"/>
            </w:tcMar>
          </w:tcPr>
          <w:p>
            <w:r>
              <w:rPr>
                <w:b w:val="false"/>
                <w:bCs w:val="false"/>
                <w:color w:val="000000"/>
                <w:sz w:val="20"/>
                <w:szCs w:val="20"/>
              </w:rPr>
              <w:t xml:space="preserve">Live product demo plus a written summary of real user-report findings</w:t>
            </w:r>
          </w:p>
        </w:tc>
      </w:tr>
    </w:tbl>
    <w:p>
      <w:pPr>
        <w:spacing w:after="200" w:before="100"/>
      </w:pPr>
      <w:r>
        <w:rPr>
          <w:i/>
          <w:iCs/>
          <w:color w:val="666666"/>
          <w:sz w:val="20"/>
          <w:szCs w:val="20"/>
        </w:rPr>
        <w:t xml:space="preserve">Note: increment dates reflect the plan as authored. Actual completion status per increment should be confirmed against the live GitHub Issues/Milestones board before this document is finalised for submission.</w:t>
      </w:r>
    </w:p>
    <w:p>
      <w:pPr>
        <w:pStyle w:val="Heading1"/>
        <w:pBdr>
          <w:bottom w:val="single" w:color="1F3864" w:sz="6" w:space="4"/>
        </w:pBdr>
        <w:spacing w:after="200" w:before="400"/>
      </w:pPr>
      <w:r>
        <w:t xml:space="preserve">4. System Architecture &amp; Technology Stack</w:t>
      </w:r>
    </w:p>
    <w:p>
      <w:pPr>
        <w:spacing w:after="160" w:line="276"/>
      </w:pPr>
      <w:r>
        <w:t xml:space="preserve">Mat-Map is built as a monorepo with three independently deployable services orchestrated by a thin backend API. The backend never invents live vehicle GPS data — it (a) calls Google Maps for the route skeleton, (b) enriches each leg with fare, crowd, vibe, and traffic-adjusted-ETA data pulled from the application database and ML service, and (c) accepts community reports that feed that database.</w:t>
      </w:r>
    </w:p>
    <w:p>
      <w:pPr>
        <w:pStyle w:val="Heading2"/>
        <w:spacing w:after="120" w:before="280"/>
      </w:pPr>
      <w:r>
        <w:t xml:space="preserve">4.1 Component Breakdown (specific, not 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shd w:fill="1F3864" w:color="auto" w:val="clear"/>
            <w:tcMar>
              <w:top w:type="dxa" w:w="100"/>
              <w:left w:type="dxa" w:w="120"/>
              <w:bottom w:type="dxa" w:w="100"/>
              <w:right w:type="dxa" w:w="120"/>
            </w:tcMar>
          </w:tcPr>
          <w:p>
            <w:r>
              <w:rPr>
                <w:b/>
                <w:bCs/>
                <w:color w:val="FFFFFF"/>
                <w:sz w:val="20"/>
                <w:szCs w:val="20"/>
              </w:rPr>
              <w:t xml:space="preserve">Layer</w:t>
            </w:r>
          </w:p>
        </w:tc>
        <w:tc>
          <w:tcPr>
            <w:tcW w:type="dxa" w:w="3000"/>
            <w:shd w:fill="1F3864" w:color="auto" w:val="clear"/>
            <w:tcMar>
              <w:top w:type="dxa" w:w="100"/>
              <w:left w:type="dxa" w:w="120"/>
              <w:bottom w:type="dxa" w:w="100"/>
              <w:right w:type="dxa" w:w="120"/>
            </w:tcMar>
          </w:tcPr>
          <w:p>
            <w:r>
              <w:rPr>
                <w:b/>
                <w:bCs/>
                <w:color w:val="FFFFFF"/>
                <w:sz w:val="20"/>
                <w:szCs w:val="20"/>
              </w:rPr>
              <w:t xml:space="preserve">Specific Technology</w:t>
            </w:r>
          </w:p>
        </w:tc>
        <w:tc>
          <w:tcPr>
            <w:tcW w:type="dxa" w:w="3960"/>
            <w:shd w:fill="1F3864" w:color="auto" w:val="clear"/>
            <w:tcMar>
              <w:top w:type="dxa" w:w="100"/>
              <w:left w:type="dxa" w:w="120"/>
              <w:bottom w:type="dxa" w:w="100"/>
              <w:right w:type="dxa" w:w="120"/>
            </w:tcMar>
          </w:tcPr>
          <w:p>
            <w:r>
              <w:rPr>
                <w:b/>
                <w:bCs/>
                <w:color w:val="FFFFFF"/>
                <w:sz w:val="20"/>
                <w:szCs w:val="20"/>
              </w:rPr>
              <w:t xml:space="preserve">Responsibility</w:t>
            </w:r>
          </w:p>
        </w:tc>
      </w:tr>
      <w:tr>
        <w:tc>
          <w:tcPr>
            <w:tcW w:type="dxa" w:w="2400"/>
            <w:tcMar>
              <w:top w:type="dxa" w:w="100"/>
              <w:left w:type="dxa" w:w="120"/>
              <w:bottom w:type="dxa" w:w="100"/>
              <w:right w:type="dxa" w:w="120"/>
            </w:tcMar>
          </w:tcPr>
          <w:p>
            <w:r>
              <w:rPr>
                <w:b w:val="false"/>
                <w:bCs w:val="false"/>
                <w:color w:val="000000"/>
                <w:sz w:val="20"/>
                <w:szCs w:val="20"/>
              </w:rPr>
              <w:t xml:space="preserve">Human-Computer Interface (UI/UX)</w:t>
            </w:r>
          </w:p>
        </w:tc>
        <w:tc>
          <w:tcPr>
            <w:tcW w:type="dxa" w:w="3000"/>
            <w:tcMar>
              <w:top w:type="dxa" w:w="100"/>
              <w:left w:type="dxa" w:w="120"/>
              <w:bottom w:type="dxa" w:w="100"/>
              <w:right w:type="dxa" w:w="120"/>
            </w:tcMar>
          </w:tcPr>
          <w:p>
            <w:r>
              <w:rPr>
                <w:b w:val="false"/>
                <w:bCs w:val="false"/>
                <w:color w:val="000000"/>
                <w:sz w:val="20"/>
                <w:szCs w:val="20"/>
              </w:rPr>
              <w:t xml:space="preserve">Next.js Progressive Web App (PWA), React Query for server-state caching</w:t>
            </w:r>
          </w:p>
        </w:tc>
        <w:tc>
          <w:tcPr>
            <w:tcW w:type="dxa" w:w="3960"/>
            <w:tcMar>
              <w:top w:type="dxa" w:w="100"/>
              <w:left w:type="dxa" w:w="120"/>
              <w:bottom w:type="dxa" w:w="100"/>
              <w:right w:type="dxa" w:w="120"/>
            </w:tcMar>
          </w:tcPr>
          <w:p>
            <w:r>
              <w:rPr>
                <w:b w:val="false"/>
                <w:bCs w:val="false"/>
                <w:color w:val="000000"/>
                <w:sz w:val="20"/>
                <w:szCs w:val="20"/>
              </w:rPr>
              <w:t xml:space="preserve">Search screen with Google Places autocomplete; results screen (route cards, fare range, crowd badge, traffic-adjusted ETA); embedded Google Map view with crowd-coloured stage pins; sub-3-tap post-trip report modal</w:t>
            </w:r>
          </w:p>
        </w:tc>
      </w:tr>
      <w:tr>
        <w:tc>
          <w:tcPr>
            <w:tcW w:type="dxa" w:w="2400"/>
            <w:shd w:fill="DCE6F1" w:color="auto" w:val="clear"/>
            <w:tcMar>
              <w:top w:type="dxa" w:w="100"/>
              <w:left w:type="dxa" w:w="120"/>
              <w:bottom w:type="dxa" w:w="100"/>
              <w:right w:type="dxa" w:w="120"/>
            </w:tcMar>
          </w:tcPr>
          <w:p>
            <w:r>
              <w:rPr>
                <w:b w:val="false"/>
                <w:bCs w:val="false"/>
                <w:color w:val="000000"/>
                <w:sz w:val="20"/>
                <w:szCs w:val="20"/>
              </w:rPr>
              <w:t xml:space="preserve">Business Logic / REST API Layer</w:t>
            </w:r>
          </w:p>
        </w:tc>
        <w:tc>
          <w:tcPr>
            <w:tcW w:type="dxa" w:w="3000"/>
            <w:shd w:fill="DCE6F1" w:color="auto" w:val="clear"/>
            <w:tcMar>
              <w:top w:type="dxa" w:w="100"/>
              <w:left w:type="dxa" w:w="120"/>
              <w:bottom w:type="dxa" w:w="100"/>
              <w:right w:type="dxa" w:w="120"/>
            </w:tcMar>
          </w:tcPr>
          <w:p>
            <w:r>
              <w:rPr>
                <w:b w:val="false"/>
                <w:bCs w:val="false"/>
                <w:color w:val="000000"/>
                <w:sz w:val="20"/>
                <w:szCs w:val="20"/>
              </w:rPr>
              <w:t xml:space="preserve">Node.js + Express</w:t>
            </w:r>
          </w:p>
        </w:tc>
        <w:tc>
          <w:tcPr>
            <w:tcW w:type="dxa" w:w="3960"/>
            <w:shd w:fill="DCE6F1" w:color="auto" w:val="clear"/>
            <w:tcMar>
              <w:top w:type="dxa" w:w="100"/>
              <w:left w:type="dxa" w:w="120"/>
              <w:bottom w:type="dxa" w:w="100"/>
              <w:right w:type="dxa" w:w="120"/>
            </w:tcMar>
          </w:tcPr>
          <w:p>
            <w:r>
              <w:rPr>
                <w:b w:val="false"/>
                <w:bCs w:val="false"/>
                <w:color w:val="000000"/>
                <w:sz w:val="20"/>
                <w:szCs w:val="20"/>
              </w:rPr>
              <w:t xml:space="preserve">Orchestration endpoints (/route, /fare, /eta), report-ingestion endpoints with rate-limiting and outlier rejection, internal client for the ML microservice</w:t>
            </w:r>
          </w:p>
        </w:tc>
      </w:tr>
      <w:tr>
        <w:tc>
          <w:tcPr>
            <w:tcW w:type="dxa" w:w="2400"/>
            <w:tcMar>
              <w:top w:type="dxa" w:w="100"/>
              <w:left w:type="dxa" w:w="120"/>
              <w:bottom w:type="dxa" w:w="100"/>
              <w:right w:type="dxa" w:w="120"/>
            </w:tcMar>
          </w:tcPr>
          <w:p>
            <w:r>
              <w:rPr>
                <w:b w:val="false"/>
                <w:bCs w:val="false"/>
                <w:color w:val="000000"/>
                <w:sz w:val="20"/>
                <w:szCs w:val="20"/>
              </w:rPr>
              <w:t xml:space="preserve">Data Access / Persistence Layer</w:t>
            </w:r>
          </w:p>
        </w:tc>
        <w:tc>
          <w:tcPr>
            <w:tcW w:type="dxa" w:w="3000"/>
            <w:tcMar>
              <w:top w:type="dxa" w:w="100"/>
              <w:left w:type="dxa" w:w="120"/>
              <w:bottom w:type="dxa" w:w="100"/>
              <w:right w:type="dxa" w:w="120"/>
            </w:tcMar>
          </w:tcPr>
          <w:p>
            <w:r>
              <w:rPr>
                <w:b w:val="false"/>
                <w:bCs w:val="false"/>
                <w:color w:val="000000"/>
                <w:sz w:val="20"/>
                <w:szCs w:val="20"/>
              </w:rPr>
              <w:t xml:space="preserve">PostgreSQL with Prisma ORM</w:t>
            </w:r>
          </w:p>
        </w:tc>
        <w:tc>
          <w:tcPr>
            <w:tcW w:type="dxa" w:w="3960"/>
            <w:tcMar>
              <w:top w:type="dxa" w:w="100"/>
              <w:left w:type="dxa" w:w="120"/>
              <w:bottom w:type="dxa" w:w="100"/>
              <w:right w:type="dxa" w:w="120"/>
            </w:tcMar>
          </w:tcPr>
          <w:p>
            <w:r>
              <w:rPr>
                <w:b w:val="false"/>
                <w:bCs w:val="false"/>
                <w:color w:val="000000"/>
                <w:sz w:val="20"/>
                <w:szCs w:val="20"/>
              </w:rPr>
              <w:t xml:space="preserve">Schema and migrations for stages, routes, fare_reports, vibe_reports, and lightweight device-based users table (no full auth required for V1)</w:t>
            </w:r>
          </w:p>
        </w:tc>
      </w:tr>
      <w:tr>
        <w:tc>
          <w:tcPr>
            <w:tcW w:type="dxa" w:w="2400"/>
            <w:shd w:fill="DCE6F1" w:color="auto" w:val="clear"/>
            <w:tcMar>
              <w:top w:type="dxa" w:w="100"/>
              <w:left w:type="dxa" w:w="120"/>
              <w:bottom w:type="dxa" w:w="100"/>
              <w:right w:type="dxa" w:w="120"/>
            </w:tcMar>
          </w:tcPr>
          <w:p>
            <w:r>
              <w:rPr>
                <w:b w:val="false"/>
                <w:bCs w:val="false"/>
                <w:color w:val="000000"/>
                <w:sz w:val="20"/>
                <w:szCs w:val="20"/>
              </w:rPr>
              <w:t xml:space="preserve">Machine Learning / Predictive Analytics Service</w:t>
            </w:r>
          </w:p>
        </w:tc>
        <w:tc>
          <w:tcPr>
            <w:tcW w:type="dxa" w:w="3000"/>
            <w:shd w:fill="DCE6F1" w:color="auto" w:val="clear"/>
            <w:tcMar>
              <w:top w:type="dxa" w:w="100"/>
              <w:left w:type="dxa" w:w="120"/>
              <w:bottom w:type="dxa" w:w="100"/>
              <w:right w:type="dxa" w:w="120"/>
            </w:tcMar>
          </w:tcPr>
          <w:p>
            <w:r>
              <w:rPr>
                <w:b w:val="false"/>
                <w:bCs w:val="false"/>
                <w:color w:val="000000"/>
                <w:sz w:val="20"/>
                <w:szCs w:val="20"/>
              </w:rPr>
              <w:t xml:space="preserve">Python + FastAPI (separate microservice)</w:t>
            </w:r>
          </w:p>
        </w:tc>
        <w:tc>
          <w:tcPr>
            <w:tcW w:type="dxa" w:w="3960"/>
            <w:shd w:fill="DCE6F1" w:color="auto" w:val="clear"/>
            <w:tcMar>
              <w:top w:type="dxa" w:w="100"/>
              <w:left w:type="dxa" w:w="120"/>
              <w:bottom w:type="dxa" w:w="100"/>
              <w:right w:type="dxa" w:w="120"/>
            </w:tcMar>
          </w:tcPr>
          <w:p>
            <w:r>
              <w:rPr>
                <w:b w:val="false"/>
                <w:bCs w:val="false"/>
                <w:color w:val="000000"/>
                <w:sz w:val="20"/>
                <w:szCs w:val="20"/>
              </w:rPr>
              <w:t xml:space="preserve">Fare estimator (statistical/rule-based, evolving to weighted regression), traffic-delay rules engine, vibe classifier (majority-vote aggregation with a stretch light classifier)</w:t>
            </w:r>
          </w:p>
        </w:tc>
      </w:tr>
      <w:tr>
        <w:tc>
          <w:tcPr>
            <w:tcW w:type="dxa" w:w="2400"/>
            <w:tcMar>
              <w:top w:type="dxa" w:w="100"/>
              <w:left w:type="dxa" w:w="120"/>
              <w:bottom w:type="dxa" w:w="100"/>
              <w:right w:type="dxa" w:w="120"/>
            </w:tcMar>
          </w:tcPr>
          <w:p>
            <w:r>
              <w:rPr>
                <w:b w:val="false"/>
                <w:bCs w:val="false"/>
                <w:color w:val="000000"/>
                <w:sz w:val="20"/>
                <w:szCs w:val="20"/>
              </w:rPr>
              <w:t xml:space="preserve">External Mapping Provider</w:t>
            </w:r>
          </w:p>
        </w:tc>
        <w:tc>
          <w:tcPr>
            <w:tcW w:type="dxa" w:w="3000"/>
            <w:tcMar>
              <w:top w:type="dxa" w:w="100"/>
              <w:left w:type="dxa" w:w="120"/>
              <w:bottom w:type="dxa" w:w="100"/>
              <w:right w:type="dxa" w:w="120"/>
            </w:tcMar>
          </w:tcPr>
          <w:p>
            <w:r>
              <w:rPr>
                <w:b w:val="false"/>
                <w:bCs w:val="false"/>
                <w:color w:val="000000"/>
                <w:sz w:val="20"/>
                <w:szCs w:val="20"/>
              </w:rPr>
              <w:t xml:space="preserve">Google Maps Platform — Directions/Routes API (TRANSIT mode), traffic-aware Directions API, Places API</w:t>
            </w:r>
          </w:p>
        </w:tc>
        <w:tc>
          <w:tcPr>
            <w:tcW w:type="dxa" w:w="3960"/>
            <w:tcMar>
              <w:top w:type="dxa" w:w="100"/>
              <w:left w:type="dxa" w:w="120"/>
              <w:bottom w:type="dxa" w:w="100"/>
              <w:right w:type="dxa" w:w="120"/>
            </w:tcMar>
          </w:tcPr>
          <w:p>
            <w:r>
              <w:rPr>
                <w:b w:val="false"/>
                <w:bCs w:val="false"/>
                <w:color w:val="000000"/>
                <w:sz w:val="20"/>
                <w:szCs w:val="20"/>
              </w:rPr>
              <w:t xml:space="preserve">Route/stage skeleton and traffic-aware base ETA that Mat-Map's own services enrich</w:t>
            </w:r>
          </w:p>
        </w:tc>
      </w:tr>
      <w:tr>
        <w:tc>
          <w:tcPr>
            <w:tcW w:type="dxa" w:w="2400"/>
            <w:shd w:fill="DCE6F1" w:color="auto" w:val="clear"/>
            <w:tcMar>
              <w:top w:type="dxa" w:w="100"/>
              <w:left w:type="dxa" w:w="120"/>
              <w:bottom w:type="dxa" w:w="100"/>
              <w:right w:type="dxa" w:w="120"/>
            </w:tcMar>
          </w:tcPr>
          <w:p>
            <w:r>
              <w:rPr>
                <w:b w:val="false"/>
                <w:bCs w:val="false"/>
                <w:color w:val="000000"/>
                <w:sz w:val="20"/>
                <w:szCs w:val="20"/>
              </w:rPr>
              <w:t xml:space="preserve">Infrastructure / DevOps</w:t>
            </w:r>
          </w:p>
        </w:tc>
        <w:tc>
          <w:tcPr>
            <w:tcW w:type="dxa" w:w="3000"/>
            <w:shd w:fill="DCE6F1" w:color="auto" w:val="clear"/>
            <w:tcMar>
              <w:top w:type="dxa" w:w="100"/>
              <w:left w:type="dxa" w:w="120"/>
              <w:bottom w:type="dxa" w:w="100"/>
              <w:right w:type="dxa" w:w="120"/>
            </w:tcMar>
          </w:tcPr>
          <w:p>
            <w:r>
              <w:rPr>
                <w:b w:val="false"/>
                <w:bCs w:val="false"/>
                <w:color w:val="000000"/>
                <w:sz w:val="20"/>
                <w:szCs w:val="20"/>
              </w:rPr>
              <w:t xml:space="preserve">Docker Compose (local), GitHub Actions (CI/CD), Render/Fly.io (backend + ML), Vercel/Netlify (frontend)</w:t>
            </w:r>
          </w:p>
        </w:tc>
        <w:tc>
          <w:tcPr>
            <w:tcW w:type="dxa" w:w="3960"/>
            <w:shd w:fill="DCE6F1" w:color="auto" w:val="clear"/>
            <w:tcMar>
              <w:top w:type="dxa" w:w="100"/>
              <w:left w:type="dxa" w:w="120"/>
              <w:bottom w:type="dxa" w:w="100"/>
              <w:right w:type="dxa" w:w="120"/>
            </w:tcMar>
          </w:tcPr>
          <w:p>
            <w:r>
              <w:rPr>
                <w:b w:val="false"/>
                <w:bCs w:val="false"/>
                <w:color w:val="000000"/>
                <w:sz w:val="20"/>
                <w:szCs w:val="20"/>
              </w:rPr>
              <w:t xml:space="preserve">Local multi-service orchestration, path-filtered automated testing per service, staged and production deployment, secrets and API-quota management</w:t>
            </w:r>
          </w:p>
        </w:tc>
      </w:tr>
    </w:tbl>
    <w:p>
      <w:pPr>
        <w:pStyle w:val="Heading2"/>
        <w:spacing w:after="120" w:before="280"/>
      </w:pPr>
      <w:r>
        <w:t xml:space="preserve">4.2 Data Model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shd w:fill="1F3864" w:color="auto" w:val="clear"/>
            <w:tcMar>
              <w:top w:type="dxa" w:w="100"/>
              <w:left w:type="dxa" w:w="120"/>
              <w:bottom w:type="dxa" w:w="100"/>
              <w:right w:type="dxa" w:w="120"/>
            </w:tcMar>
          </w:tcPr>
          <w:p>
            <w:r>
              <w:rPr>
                <w:b/>
                <w:bCs/>
                <w:color w:val="FFFFFF"/>
                <w:sz w:val="20"/>
                <w:szCs w:val="20"/>
              </w:rPr>
              <w:t xml:space="preserve">Table</w:t>
            </w:r>
          </w:p>
        </w:tc>
        <w:tc>
          <w:tcPr>
            <w:tcW w:type="dxa" w:w="4200"/>
            <w:shd w:fill="1F3864" w:color="auto" w:val="clear"/>
            <w:tcMar>
              <w:top w:type="dxa" w:w="100"/>
              <w:left w:type="dxa" w:w="120"/>
              <w:bottom w:type="dxa" w:w="100"/>
              <w:right w:type="dxa" w:w="120"/>
            </w:tcMar>
          </w:tcPr>
          <w:p>
            <w:r>
              <w:rPr>
                <w:b/>
                <w:bCs/>
                <w:color w:val="FFFFFF"/>
                <w:sz w:val="20"/>
                <w:szCs w:val="20"/>
              </w:rPr>
              <w:t xml:space="preserve">Key Fields</w:t>
            </w:r>
          </w:p>
        </w:tc>
        <w:tc>
          <w:tcPr>
            <w:tcW w:type="dxa" w:w="3160"/>
            <w:shd w:fill="1F3864" w:color="auto" w:val="clear"/>
            <w:tcMar>
              <w:top w:type="dxa" w:w="100"/>
              <w:left w:type="dxa" w:w="120"/>
              <w:bottom w:type="dxa" w:w="100"/>
              <w:right w:type="dxa" w:w="120"/>
            </w:tcMar>
          </w:tcPr>
          <w:p>
            <w:r>
              <w:rPr>
                <w:b/>
                <w:bCs/>
                <w:color w:val="FFFFFF"/>
                <w:sz w:val="20"/>
                <w:szCs w:val="20"/>
              </w:rPr>
              <w:t xml:space="preserve">Purpose</w:t>
            </w:r>
          </w:p>
        </w:tc>
      </w:tr>
      <w:tr>
        <w:tc>
          <w:tcPr>
            <w:tcW w:type="dxa" w:w="2000"/>
            <w:tcMar>
              <w:top w:type="dxa" w:w="100"/>
              <w:left w:type="dxa" w:w="120"/>
              <w:bottom w:type="dxa" w:w="100"/>
              <w:right w:type="dxa" w:w="120"/>
            </w:tcMar>
          </w:tcPr>
          <w:p>
            <w:r>
              <w:rPr>
                <w:b w:val="false"/>
                <w:bCs w:val="false"/>
                <w:color w:val="000000"/>
                <w:sz w:val="20"/>
                <w:szCs w:val="20"/>
              </w:rPr>
              <w:t xml:space="preserve">stages</w:t>
            </w:r>
          </w:p>
        </w:tc>
        <w:tc>
          <w:tcPr>
            <w:tcW w:type="dxa" w:w="4200"/>
            <w:tcMar>
              <w:top w:type="dxa" w:w="100"/>
              <w:left w:type="dxa" w:w="120"/>
              <w:bottom w:type="dxa" w:w="100"/>
              <w:right w:type="dxa" w:w="120"/>
            </w:tcMar>
          </w:tcPr>
          <w:p>
            <w:r>
              <w:rPr>
                <w:b w:val="false"/>
                <w:bCs w:val="false"/>
                <w:color w:val="000000"/>
                <w:sz w:val="20"/>
                <w:szCs w:val="20"/>
              </w:rPr>
              <w:t xml:space="preserve">id, name, lat, lng, common_routes[]</w:t>
            </w:r>
          </w:p>
        </w:tc>
        <w:tc>
          <w:tcPr>
            <w:tcW w:type="dxa" w:w="3160"/>
            <w:tcMar>
              <w:top w:type="dxa" w:w="100"/>
              <w:left w:type="dxa" w:w="120"/>
              <w:bottom w:type="dxa" w:w="100"/>
              <w:right w:type="dxa" w:w="120"/>
            </w:tcMar>
          </w:tcPr>
          <w:p>
            <w:r>
              <w:rPr>
                <w:b w:val="false"/>
                <w:bCs w:val="false"/>
                <w:color w:val="000000"/>
                <w:sz w:val="20"/>
                <w:szCs w:val="20"/>
              </w:rPr>
              <w:t xml:space="preserve">Physical matatu boarding/alighting points</w:t>
            </w:r>
          </w:p>
        </w:tc>
      </w:tr>
      <w:tr>
        <w:tc>
          <w:tcPr>
            <w:tcW w:type="dxa" w:w="2000"/>
            <w:shd w:fill="DCE6F1" w:color="auto" w:val="clear"/>
            <w:tcMar>
              <w:top w:type="dxa" w:w="100"/>
              <w:left w:type="dxa" w:w="120"/>
              <w:bottom w:type="dxa" w:w="100"/>
              <w:right w:type="dxa" w:w="120"/>
            </w:tcMar>
          </w:tcPr>
          <w:p>
            <w:r>
              <w:rPr>
                <w:b w:val="false"/>
                <w:bCs w:val="false"/>
                <w:color w:val="000000"/>
                <w:sz w:val="20"/>
                <w:szCs w:val="20"/>
              </w:rPr>
              <w:t xml:space="preserve">routes</w:t>
            </w:r>
          </w:p>
        </w:tc>
        <w:tc>
          <w:tcPr>
            <w:tcW w:type="dxa" w:w="4200"/>
            <w:shd w:fill="DCE6F1" w:color="auto" w:val="clear"/>
            <w:tcMar>
              <w:top w:type="dxa" w:w="100"/>
              <w:left w:type="dxa" w:w="120"/>
              <w:bottom w:type="dxa" w:w="100"/>
              <w:right w:type="dxa" w:w="120"/>
            </w:tcMar>
          </w:tcPr>
          <w:p>
            <w:r>
              <w:rPr>
                <w:b w:val="false"/>
                <w:bCs w:val="false"/>
                <w:color w:val="000000"/>
                <w:sz w:val="20"/>
                <w:szCs w:val="20"/>
              </w:rPr>
              <w:t xml:space="preserve">id, name, sacco_optional, path_stage_ids[]</w:t>
            </w:r>
          </w:p>
        </w:tc>
        <w:tc>
          <w:tcPr>
            <w:tcW w:type="dxa" w:w="3160"/>
            <w:shd w:fill="DCE6F1" w:color="auto" w:val="clear"/>
            <w:tcMar>
              <w:top w:type="dxa" w:w="100"/>
              <w:left w:type="dxa" w:w="120"/>
              <w:bottom w:type="dxa" w:w="100"/>
              <w:right w:type="dxa" w:w="120"/>
            </w:tcMar>
          </w:tcPr>
          <w:p>
            <w:r>
              <w:rPr>
                <w:b w:val="false"/>
                <w:bCs w:val="false"/>
                <w:color w:val="000000"/>
                <w:sz w:val="20"/>
                <w:szCs w:val="20"/>
              </w:rPr>
              <w:t xml:space="preserve">A named route as a sequence of stages</w:t>
            </w:r>
          </w:p>
        </w:tc>
      </w:tr>
      <w:tr>
        <w:tc>
          <w:tcPr>
            <w:tcW w:type="dxa" w:w="2000"/>
            <w:tcMar>
              <w:top w:type="dxa" w:w="100"/>
              <w:left w:type="dxa" w:w="120"/>
              <w:bottom w:type="dxa" w:w="100"/>
              <w:right w:type="dxa" w:w="120"/>
            </w:tcMar>
          </w:tcPr>
          <w:p>
            <w:r>
              <w:rPr>
                <w:b w:val="false"/>
                <w:bCs w:val="false"/>
                <w:color w:val="000000"/>
                <w:sz w:val="20"/>
                <w:szCs w:val="20"/>
              </w:rPr>
              <w:t xml:space="preserve">fare_reports</w:t>
            </w:r>
          </w:p>
        </w:tc>
        <w:tc>
          <w:tcPr>
            <w:tcW w:type="dxa" w:w="4200"/>
            <w:tcMar>
              <w:top w:type="dxa" w:w="100"/>
              <w:left w:type="dxa" w:w="120"/>
              <w:bottom w:type="dxa" w:w="100"/>
              <w:right w:type="dxa" w:w="120"/>
            </w:tcMar>
          </w:tcPr>
          <w:p>
            <w:r>
              <w:rPr>
                <w:b w:val="false"/>
                <w:bCs w:val="false"/>
                <w:color w:val="000000"/>
                <w:sz w:val="20"/>
                <w:szCs w:val="20"/>
              </w:rPr>
              <w:t xml:space="preserve">route_id, stage_from, stage_to, fare_amount, reported_at, time_of_day, weather_flag</w:t>
            </w:r>
          </w:p>
        </w:tc>
        <w:tc>
          <w:tcPr>
            <w:tcW w:type="dxa" w:w="3160"/>
            <w:tcMar>
              <w:top w:type="dxa" w:w="100"/>
              <w:left w:type="dxa" w:w="120"/>
              <w:bottom w:type="dxa" w:w="100"/>
              <w:right w:type="dxa" w:w="120"/>
            </w:tcMar>
          </w:tcPr>
          <w:p>
            <w:r>
              <w:rPr>
                <w:b w:val="false"/>
                <w:bCs w:val="false"/>
                <w:color w:val="000000"/>
                <w:sz w:val="20"/>
                <w:szCs w:val="20"/>
              </w:rPr>
              <w:t xml:space="preserve">Crowdsourced fare data feeding the estimator</w:t>
            </w:r>
          </w:p>
        </w:tc>
      </w:tr>
      <w:tr>
        <w:tc>
          <w:tcPr>
            <w:tcW w:type="dxa" w:w="2000"/>
            <w:shd w:fill="DCE6F1" w:color="auto" w:val="clear"/>
            <w:tcMar>
              <w:top w:type="dxa" w:w="100"/>
              <w:left w:type="dxa" w:w="120"/>
              <w:bottom w:type="dxa" w:w="100"/>
              <w:right w:type="dxa" w:w="120"/>
            </w:tcMar>
          </w:tcPr>
          <w:p>
            <w:r>
              <w:rPr>
                <w:b w:val="false"/>
                <w:bCs w:val="false"/>
                <w:color w:val="000000"/>
                <w:sz w:val="20"/>
                <w:szCs w:val="20"/>
              </w:rPr>
              <w:t xml:space="preserve">vibe_reports</w:t>
            </w:r>
          </w:p>
        </w:tc>
        <w:tc>
          <w:tcPr>
            <w:tcW w:type="dxa" w:w="4200"/>
            <w:shd w:fill="DCE6F1" w:color="auto" w:val="clear"/>
            <w:tcMar>
              <w:top w:type="dxa" w:w="100"/>
              <w:left w:type="dxa" w:w="120"/>
              <w:bottom w:type="dxa" w:w="100"/>
              <w:right w:type="dxa" w:w="120"/>
            </w:tcMar>
          </w:tcPr>
          <w:p>
            <w:r>
              <w:rPr>
                <w:b w:val="false"/>
                <w:bCs w:val="false"/>
                <w:color w:val="000000"/>
                <w:sz w:val="20"/>
                <w:szCs w:val="20"/>
              </w:rPr>
              <w:t xml:space="preserve">route_id, vehicle_tag_optional, vibe (nganya/quiet), reported_at</w:t>
            </w:r>
          </w:p>
        </w:tc>
        <w:tc>
          <w:tcPr>
            <w:tcW w:type="dxa" w:w="3160"/>
            <w:shd w:fill="DCE6F1" w:color="auto" w:val="clear"/>
            <w:tcMar>
              <w:top w:type="dxa" w:w="100"/>
              <w:left w:type="dxa" w:w="120"/>
              <w:bottom w:type="dxa" w:w="100"/>
              <w:right w:type="dxa" w:w="120"/>
            </w:tcMar>
          </w:tcPr>
          <w:p>
            <w:r>
              <w:rPr>
                <w:b w:val="false"/>
                <w:bCs w:val="false"/>
                <w:color w:val="000000"/>
                <w:sz w:val="20"/>
                <w:szCs w:val="20"/>
              </w:rPr>
              <w:t xml:space="preserve">Crowdsourced vehicle-vibe tags</w:t>
            </w:r>
          </w:p>
        </w:tc>
      </w:tr>
      <w:tr>
        <w:tc>
          <w:tcPr>
            <w:tcW w:type="dxa" w:w="2000"/>
            <w:tcMar>
              <w:top w:type="dxa" w:w="100"/>
              <w:left w:type="dxa" w:w="120"/>
              <w:bottom w:type="dxa" w:w="100"/>
              <w:right w:type="dxa" w:w="120"/>
            </w:tcMar>
          </w:tcPr>
          <w:p>
            <w:r>
              <w:rPr>
                <w:b w:val="false"/>
                <w:bCs w:val="false"/>
                <w:color w:val="000000"/>
                <w:sz w:val="20"/>
                <w:szCs w:val="20"/>
              </w:rPr>
              <w:t xml:space="preserve">users</w:t>
            </w:r>
          </w:p>
        </w:tc>
        <w:tc>
          <w:tcPr>
            <w:tcW w:type="dxa" w:w="4200"/>
            <w:tcMar>
              <w:top w:type="dxa" w:w="100"/>
              <w:left w:type="dxa" w:w="120"/>
              <w:bottom w:type="dxa" w:w="100"/>
              <w:right w:type="dxa" w:w="120"/>
            </w:tcMar>
          </w:tcPr>
          <w:p>
            <w:r>
              <w:rPr>
                <w:b w:val="false"/>
                <w:bCs w:val="false"/>
                <w:color w:val="000000"/>
                <w:sz w:val="20"/>
                <w:szCs w:val="20"/>
              </w:rPr>
              <w:t xml:space="preserve">id, device_id, trust_score</w:t>
            </w:r>
          </w:p>
        </w:tc>
        <w:tc>
          <w:tcPr>
            <w:tcW w:type="dxa" w:w="3160"/>
            <w:tcMar>
              <w:top w:type="dxa" w:w="100"/>
              <w:left w:type="dxa" w:w="120"/>
              <w:bottom w:type="dxa" w:w="100"/>
              <w:right w:type="dxa" w:w="120"/>
            </w:tcMar>
          </w:tcPr>
          <w:p>
            <w:r>
              <w:rPr>
                <w:b w:val="false"/>
                <w:bCs w:val="false"/>
                <w:color w:val="000000"/>
                <w:sz w:val="20"/>
                <w:szCs w:val="20"/>
              </w:rPr>
              <w:t xml:space="preserve">Lightweight, device-based identity for rate-limiting — no account/auth required in V1</w:t>
            </w:r>
          </w:p>
        </w:tc>
      </w:tr>
    </w:tbl>
    <w:p>
      <w:pPr>
        <w:spacing w:after="200" w:before="100"/>
      </w:pPr>
      <w:r>
        <w:rPr>
          <w:i/>
          <w:iCs/>
          <w:color w:val="666666"/>
          <w:sz w:val="20"/>
          <w:szCs w:val="20"/>
        </w:rPr>
        <w:t xml:space="preserve">Seed strategy: fare_reports and vibe_reports are bootstrapped from the 116-response survey CSV so the application is not cold-starting with zero data on first demo, with the ML service later blending in live community reports as they accumulate.</w:t>
      </w:r>
    </w:p>
    <w:p>
      <w:pPr>
        <w:pStyle w:val="Heading1"/>
        <w:pBdr>
          <w:bottom w:val="single" w:color="1F3864" w:sz="6" w:space="4"/>
        </w:pBdr>
        <w:spacing w:after="200" w:before="400"/>
      </w:pPr>
      <w:r>
        <w:t xml:space="preserve">5. Team Members and Individual Contributions</w:t>
      </w:r>
    </w:p>
    <w:p>
      <w:pPr>
        <w:spacing w:after="160" w:line="276"/>
      </w:pPr>
      <w:r>
        <w:t xml:space="preserve">The team consists of four members, each owning a distinct architectural layer described in Section 4. Responsibilities below reflect the scope each member owns per the project's role breakdown; where a specific deliverable has been independently verified against the repository, it is noted explicitly.</w:t>
      </w:r>
    </w:p>
    <w:p>
      <w:pPr>
        <w:pStyle w:val="Heading2"/>
        <w:spacing w:after="120" w:before="280"/>
      </w:pPr>
      <w:r>
        <w:t xml:space="preserve">5.1 Fabiola — Human-Computer Interface (UI/UX) Engineer</w:t>
      </w:r>
    </w:p>
    <w:p>
      <w:pPr>
        <w:spacing w:after="160" w:line="276"/>
      </w:pPr>
      <w:r>
        <w:t xml:space="preserve">Owns everything the end user directly sees and interacts with, within apps/frontend.</w:t>
      </w:r>
    </w:p>
    <w:p>
      <w:pPr>
        <w:pStyle w:val="ListParagraph"/>
        <w:numPr>
          <w:ilvl w:val="0"/>
          <w:numId w:val="2"/>
        </w:numPr>
        <w:spacing w:after="80"/>
      </w:pPr>
      <w:r>
        <w:t xml:space="preserve">Search screen: origin/destination input with Google Places autocomplete, and the Nganya/Quiet preference toggle.</w:t>
      </w:r>
    </w:p>
    <w:p>
      <w:pPr>
        <w:pStyle w:val="ListParagraph"/>
        <w:numPr>
          <w:ilvl w:val="0"/>
          <w:numId w:val="2"/>
        </w:numPr>
        <w:spacing w:after="80"/>
      </w:pPr>
      <w:r>
        <w:t xml:space="preserve">Results screen: route cards displaying stage-to-stage path, fare estimate range, traffic-adjusted ETA, and per-stage crowd badge.</w:t>
      </w:r>
    </w:p>
    <w:p>
      <w:pPr>
        <w:pStyle w:val="ListParagraph"/>
        <w:numPr>
          <w:ilvl w:val="0"/>
          <w:numId w:val="2"/>
        </w:numPr>
        <w:spacing w:after="80"/>
      </w:pPr>
      <w:r>
        <w:t xml:space="preserve">Map view: embedded Google Map rendering the route polyline with stage pins colour-coded by crowd level.</w:t>
      </w:r>
    </w:p>
    <w:p>
      <w:pPr>
        <w:pStyle w:val="ListParagraph"/>
        <w:numPr>
          <w:ilvl w:val="0"/>
          <w:numId w:val="2"/>
        </w:numPr>
        <w:spacing w:after="80"/>
      </w:pPr>
      <w:r>
        <w:t xml:space="preserve">Report flow: the lightweight post-trip report modal (fare paid, stage busyness, vehicle vibe) that functions as the product's core data-collection mechanism, deliberately scoped to under three taps.</w:t>
      </w:r>
    </w:p>
    <w:p>
      <w:pPr>
        <w:pStyle w:val="ListParagraph"/>
        <w:numPr>
          <w:ilvl w:val="0"/>
          <w:numId w:val="2"/>
        </w:numPr>
        <w:spacing w:after="80"/>
      </w:pPr>
      <w:r>
        <w:t xml:space="preserve">Client-side state/caching via React Query, and mobile-first responsive layout given the target user base is predominantly on phone browsers, not desktop.</w:t>
      </w:r>
    </w:p>
    <w:p>
      <w:pPr>
        <w:spacing w:after="200" w:before="100"/>
      </w:pPr>
      <w:r>
        <w:rPr>
          <w:i/>
          <w:iCs/>
          <w:color w:val="666666"/>
          <w:sz w:val="20"/>
          <w:szCs w:val="20"/>
        </w:rPr>
        <w:t xml:space="preserve">Verified: the PWA scaffold, map view, journey planner, route-detail screen, offline-mode handling, and report-flow UI were submitted as a consolidated pull request covering frontend scope end-to-end.</w:t>
      </w:r>
    </w:p>
    <w:p>
      <w:pPr>
        <w:pStyle w:val="Heading2"/>
        <w:spacing w:after="120" w:before="280"/>
      </w:pPr>
      <w:r>
        <w:t xml:space="preserve">5.2 Britton — Server-Side Application &amp; Data Layer Engineer</w:t>
      </w:r>
    </w:p>
    <w:p>
      <w:pPr>
        <w:spacing w:after="160" w:line="276"/>
      </w:pPr>
      <w:r>
        <w:t xml:space="preserve">Owns the orchestration API and the persistence layer, within apps/backend.</w:t>
      </w:r>
    </w:p>
    <w:p>
      <w:pPr>
        <w:pStyle w:val="ListParagraph"/>
        <w:numPr>
          <w:ilvl w:val="0"/>
          <w:numId w:val="2"/>
        </w:numPr>
        <w:spacing w:after="80"/>
      </w:pPr>
      <w:r>
        <w:t xml:space="preserve">GET /route — calls the Google Routes API and returns a normalised route + stage list.</w:t>
      </w:r>
    </w:p>
    <w:p>
      <w:pPr>
        <w:pStyle w:val="ListParagraph"/>
        <w:numPr>
          <w:ilvl w:val="0"/>
          <w:numId w:val="2"/>
        </w:numPr>
        <w:spacing w:after="80"/>
      </w:pPr>
      <w:r>
        <w:t xml:space="preserve">GET /fare and GET /eta — merge Google's raw routing/traffic data with the ML service's fare and delay outputs.</w:t>
      </w:r>
    </w:p>
    <w:p>
      <w:pPr>
        <w:pStyle w:val="ListParagraph"/>
        <w:numPr>
          <w:ilvl w:val="0"/>
          <w:numId w:val="2"/>
        </w:numPr>
        <w:spacing w:after="80"/>
      </w:pPr>
      <w:r>
        <w:t xml:space="preserve">POST /reports/fare, /reports/crowd, /reports/vibe — community report ingestion with device-based rate-limiting and statistical outlier rejection (e.g. rejecting a reported fare more than 5× the route median).</w:t>
      </w:r>
    </w:p>
    <w:p>
      <w:pPr>
        <w:pStyle w:val="ListParagraph"/>
        <w:numPr>
          <w:ilvl w:val="0"/>
          <w:numId w:val="2"/>
        </w:numPr>
        <w:spacing w:after="80"/>
      </w:pPr>
      <w:r>
        <w:t xml:space="preserve">PostgreSQL schema design and migrations via Prisma ORM.</w:t>
      </w:r>
    </w:p>
    <w:p>
      <w:pPr>
        <w:pStyle w:val="ListParagraph"/>
        <w:numPr>
          <w:ilvl w:val="0"/>
          <w:numId w:val="2"/>
        </w:numPr>
        <w:spacing w:after="80"/>
      </w:pPr>
      <w:r>
        <w:t xml:space="preserve">Authorship of the API contract (docs/api-spec.md) in the first increment, so the UI/UX and ML layers could build in parallel against a fixed interface rather than waiting on the backend sequentially.</w:t>
      </w:r>
    </w:p>
    <w:p>
      <w:pPr>
        <w:pStyle w:val="ListParagraph"/>
        <w:numPr>
          <w:ilvl w:val="0"/>
          <w:numId w:val="2"/>
        </w:numPr>
        <w:spacing w:after="80"/>
      </w:pPr>
      <w:r>
        <w:t xml:space="preserve">Internal service client (services/mlClient.js) for calling the ML microservice over REST.</w:t>
      </w:r>
    </w:p>
    <w:p>
      <w:pPr>
        <w:pStyle w:val="Heading2"/>
        <w:spacing w:after="120" w:before="280"/>
      </w:pPr>
      <w:r>
        <w:t xml:space="preserve">5.3 Ashley — Machine Learning / Predictive Analytics Engineer</w:t>
      </w:r>
    </w:p>
    <w:p>
      <w:pPr>
        <w:spacing w:after="160" w:line="276"/>
      </w:pPr>
      <w:r>
        <w:t xml:space="preserve">Owns everything that turns raw community reports into predictions, within apps/ml-service.</w:t>
      </w:r>
    </w:p>
    <w:p>
      <w:pPr>
        <w:pStyle w:val="ListParagraph"/>
        <w:numPr>
          <w:ilvl w:val="0"/>
          <w:numId w:val="2"/>
        </w:numPr>
        <w:spacing w:after="80"/>
      </w:pPr>
      <w:r>
        <w:t xml:space="preserve">Exploratory analysis of the 116-response survey dataset in Increment 1 to calibrate initial fare and crowd baselines before any live data existed.</w:t>
      </w:r>
    </w:p>
    <w:p>
      <w:pPr>
        <w:pStyle w:val="ListParagraph"/>
        <w:numPr>
          <w:ilvl w:val="0"/>
          <w:numId w:val="2"/>
        </w:numPr>
        <w:spacing w:after="80"/>
      </w:pPr>
      <w:r>
        <w:t xml:space="preserve">Fare estimator: a statistical/rule-based model (median fare per route and time-bucket) with a planned evolution toward weighted regression incorporating time-of-day, rain, and report recency.</w:t>
      </w:r>
    </w:p>
    <w:p>
      <w:pPr>
        <w:pStyle w:val="ListParagraph"/>
        <w:numPr>
          <w:ilvl w:val="0"/>
          <w:numId w:val="2"/>
        </w:numPr>
        <w:spacing w:after="80"/>
      </w:pPr>
      <w:r>
        <w:t xml:space="preserve">Traffic-ETA blending logic: a rules engine (not a trained model) that adjusts Google's traffic-aware duration using active delay/route-change reports from the community table.</w:t>
      </w:r>
    </w:p>
    <w:p>
      <w:pPr>
        <w:pStyle w:val="ListParagraph"/>
        <w:numPr>
          <w:ilvl w:val="0"/>
          <w:numId w:val="2"/>
        </w:numPr>
        <w:spacing w:after="80"/>
      </w:pPr>
      <w:r>
        <w:t xml:space="preserve">Vibe classifier: majority-vote aggregation of vibe_reports per route as the V1 baseline, with a stretch goal of a lightweight text classifier over vehicle-tag descriptions if the report data proves rich enough.</w:t>
      </w:r>
    </w:p>
    <w:p>
      <w:pPr>
        <w:pStyle w:val="ListParagraph"/>
        <w:numPr>
          <w:ilvl w:val="0"/>
          <w:numId w:val="2"/>
        </w:numPr>
        <w:spacing w:after="80"/>
      </w:pPr>
      <w:r>
        <w:t xml:space="preserve">Exposing all of the above as FastAPI endpoints consumed by the backend service.</w:t>
      </w:r>
    </w:p>
    <w:p>
      <w:pPr>
        <w:pStyle w:val="Heading2"/>
        <w:spacing w:after="120" w:before="280"/>
      </w:pPr>
      <w:r>
        <w:t xml:space="preserve">5.4 Micah — DevOps / Infrastructure &amp; CI-CD Engineer</w:t>
      </w:r>
    </w:p>
    <w:p>
      <w:pPr>
        <w:spacing w:after="160" w:line="276"/>
      </w:pPr>
      <w:r>
        <w:t xml:space="preserve">Owns infrastructure, environments, CI/CD, and secrets management, and serves as the integration point pulling the other three services together.</w:t>
      </w:r>
    </w:p>
    <w:p>
      <w:pPr>
        <w:pStyle w:val="ListParagraph"/>
        <w:numPr>
          <w:ilvl w:val="0"/>
          <w:numId w:val="2"/>
        </w:numPr>
        <w:spacing w:after="80"/>
      </w:pPr>
      <w:r>
        <w:t xml:space="preserve">Repository initialisation and linkage of the local development environment to the remote GitHub repository (SSH-based authentication), including resolution of divergent-history conflicts arising from repository initialisation choices.</w:t>
      </w:r>
    </w:p>
    <w:p>
      <w:pPr>
        <w:pStyle w:val="ListParagraph"/>
        <w:numPr>
          <w:ilvl w:val="0"/>
          <w:numId w:val="2"/>
        </w:numPr>
        <w:spacing w:after="80"/>
      </w:pPr>
      <w:r>
        <w:t xml:space="preserve">Version-control governance: branch-protection rules on main (mandatory pull-request review before merge), a Conventional Commits standard (feat:/fix:/docs:/chore:/refactor:/test:) documented in CONTRIBUTING.md, and Issue/Pull-Request templates under .github/ to standardise submissions.</w:t>
      </w:r>
    </w:p>
    <w:p>
      <w:pPr>
        <w:pStyle w:val="ListParagraph"/>
        <w:numPr>
          <w:ilvl w:val="0"/>
          <w:numId w:val="2"/>
        </w:numPr>
        <w:spacing w:after="80"/>
      </w:pPr>
      <w:r>
        <w:t xml:space="preserve">Monorepo directory scaffolding matching the architecture in Section 4, generated via a reusable shell script so the structure could be reliably reproduced.</w:t>
      </w:r>
    </w:p>
    <w:p>
      <w:pPr>
        <w:pStyle w:val="ListParagraph"/>
        <w:numPr>
          <w:ilvl w:val="0"/>
          <w:numId w:val="2"/>
        </w:numPr>
        <w:spacing w:after="80"/>
      </w:pPr>
      <w:r>
        <w:t xml:space="preserve">CI/CD pipeline implementation: three independent, path-filtered GitHub Actions workflows (ci-backend.yml, ci-frontend.yml, ci-ml.yml), each triggered only by changes within its own service directory so that, for example, a frontend-only pull request does not wait on machine-learning tests.</w:t>
      </w:r>
    </w:p>
    <w:p>
      <w:pPr>
        <w:pStyle w:val="ListParagraph"/>
        <w:numPr>
          <w:ilvl w:val="0"/>
          <w:numId w:val="2"/>
        </w:numPr>
        <w:spacing w:after="80"/>
      </w:pPr>
      <w:r>
        <w:t xml:space="preserve">Diagnosis and remediation of a CI outage in which all prior workflow runs were failing immediately due to empty workflow-definition files, and cross-triggering caused by an initially missing path-filter configuration.</w:t>
      </w:r>
    </w:p>
    <w:p>
      <w:pPr>
        <w:pStyle w:val="ListParagraph"/>
        <w:numPr>
          <w:ilvl w:val="0"/>
          <w:numId w:val="2"/>
        </w:numPr>
        <w:spacing w:after="80"/>
      </w:pPr>
      <w:r>
        <w:t xml:space="preserve">Planning of environment and secrets handling (.env.example, gitignored local secrets, GitHub Actions secrets for CI/CD) and of the Google Maps Platform API key provisioning and billing-cap strategy to prevent uncontrolled API spend during testing.</w:t>
      </w:r>
    </w:p>
    <w:p>
      <w:pPr>
        <w:pStyle w:val="ListParagraph"/>
        <w:numPr>
          <w:ilvl w:val="0"/>
          <w:numId w:val="2"/>
        </w:numPr>
        <w:spacing w:after="80"/>
      </w:pPr>
      <w:r>
        <w:t xml:space="preserve">Local multi-service orchestration design via Docker Compose, and staged/production deployment planning (Render/Fly.io for backend and ML service, Vercel/Netlify for the frontend).</w:t>
      </w:r>
    </w:p>
    <w:p>
      <w:pPr>
        <w:spacing w:after="200" w:before="100"/>
      </w:pPr>
      <w:r>
        <w:rPr>
          <w:i/>
          <w:iCs/>
          <w:color w:val="666666"/>
          <w:sz w:val="20"/>
          <w:szCs w:val="20"/>
        </w:rPr>
        <w:t xml:space="preserve">Verified against this project's own working history: repository setup, CONTRIBUTING.md, branch protection, the three CI workflow files, and the CI outage diagnosis/fix were completed directly and can be cited with full confidence. Billing-cap configuration, staging deployment, and monitoring are documented here as planned/in-progress scope — confirm actual completion status before final submission.</w:t>
      </w:r>
    </w:p>
    <w:p>
      <w:pPr>
        <w:pStyle w:val="Heading1"/>
        <w:pBdr>
          <w:bottom w:val="single" w:color="1F3864" w:sz="6" w:space="4"/>
        </w:pBdr>
        <w:spacing w:after="200" w:before="400"/>
      </w:pPr>
      <w:r>
        <w:t xml:space="preserve">6.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color="auto" w:val="clear"/>
            <w:tcMar>
              <w:top w:type="dxa" w:w="100"/>
              <w:left w:type="dxa" w:w="120"/>
              <w:bottom w:type="dxa" w:w="100"/>
              <w:right w:type="dxa" w:w="120"/>
            </w:tcMar>
          </w:tcPr>
          <w:p>
            <w:r>
              <w:rPr>
                <w:b/>
                <w:bCs/>
                <w:color w:val="FFFFFF"/>
                <w:sz w:val="20"/>
                <w:szCs w:val="20"/>
              </w:rPr>
              <w:t xml:space="preserve">Risk</w:t>
            </w:r>
          </w:p>
        </w:tc>
        <w:tc>
          <w:tcPr>
            <w:tcW w:type="dxa" w:w="5960"/>
            <w:shd w:fill="1F3864" w:color="auto" w:val="clear"/>
            <w:tcMar>
              <w:top w:type="dxa" w:w="100"/>
              <w:left w:type="dxa" w:w="120"/>
              <w:bottom w:type="dxa" w:w="100"/>
              <w:right w:type="dxa" w:w="120"/>
            </w:tcMar>
          </w:tcPr>
          <w:p>
            <w:r>
              <w:rPr>
                <w:b/>
                <w:bCs/>
                <w:color w:val="FFFFFF"/>
                <w:sz w:val="20"/>
                <w:szCs w:val="20"/>
              </w:rPr>
              <w:t xml:space="preserve">Mitigation</w:t>
            </w:r>
          </w:p>
        </w:tc>
      </w:tr>
      <w:tr>
        <w:tc>
          <w:tcPr>
            <w:tcW w:type="dxa" w:w="3400"/>
            <w:tcMar>
              <w:top w:type="dxa" w:w="100"/>
              <w:left w:type="dxa" w:w="120"/>
              <w:bottom w:type="dxa" w:w="100"/>
              <w:right w:type="dxa" w:w="120"/>
            </w:tcMar>
          </w:tcPr>
          <w:p>
            <w:r>
              <w:rPr>
                <w:b w:val="false"/>
                <w:bCs w:val="false"/>
                <w:color w:val="000000"/>
                <w:sz w:val="20"/>
                <w:szCs w:val="20"/>
              </w:rPr>
              <w:t xml:space="preserve">Google Maps API quota/cost during testing</w:t>
            </w:r>
          </w:p>
        </w:tc>
        <w:tc>
          <w:tcPr>
            <w:tcW w:type="dxa" w:w="5960"/>
            <w:tcMar>
              <w:top w:type="dxa" w:w="100"/>
              <w:left w:type="dxa" w:w="120"/>
              <w:bottom w:type="dxa" w:w="100"/>
              <w:right w:type="dxa" w:w="120"/>
            </w:tcMar>
          </w:tcPr>
          <w:p>
            <w:r>
              <w:rPr>
                <w:b w:val="false"/>
                <w:bCs w:val="false"/>
                <w:color w:val="000000"/>
                <w:sz w:val="20"/>
                <w:szCs w:val="20"/>
              </w:rPr>
              <w:t xml:space="preserve">Hard billing cap and alerts configured in Increment 1; aggressive caching of route responses between fixed stage pairs, which do not change often</w:t>
            </w:r>
          </w:p>
        </w:tc>
      </w:tr>
      <w:tr>
        <w:tc>
          <w:tcPr>
            <w:tcW w:type="dxa" w:w="3400"/>
            <w:shd w:fill="DCE6F1" w:color="auto" w:val="clear"/>
            <w:tcMar>
              <w:top w:type="dxa" w:w="100"/>
              <w:left w:type="dxa" w:w="120"/>
              <w:bottom w:type="dxa" w:w="100"/>
              <w:right w:type="dxa" w:w="120"/>
            </w:tcMar>
          </w:tcPr>
          <w:p>
            <w:r>
              <w:rPr>
                <w:b w:val="false"/>
                <w:bCs w:val="false"/>
                <w:color w:val="000000"/>
                <w:sz w:val="20"/>
                <w:szCs w:val="20"/>
              </w:rPr>
              <w:t xml:space="preserve">Cold start — no crowd/fare/vibe data at launch</w:t>
            </w:r>
          </w:p>
        </w:tc>
        <w:tc>
          <w:tcPr>
            <w:tcW w:type="dxa" w:w="5960"/>
            <w:shd w:fill="DCE6F1" w:color="auto" w:val="clear"/>
            <w:tcMar>
              <w:top w:type="dxa" w:w="100"/>
              <w:left w:type="dxa" w:w="120"/>
              <w:bottom w:type="dxa" w:w="100"/>
              <w:right w:type="dxa" w:w="120"/>
            </w:tcMar>
          </w:tcPr>
          <w:p>
            <w:r>
              <w:rPr>
                <w:b w:val="false"/>
                <w:bCs w:val="false"/>
                <w:color w:val="000000"/>
                <w:sz w:val="20"/>
                <w:szCs w:val="20"/>
              </w:rPr>
              <w:t xml:space="preserve">Database seeded from the 116-response survey CSV in Increment 1 so every common route has a baseline before any live report arrives</w:t>
            </w:r>
          </w:p>
        </w:tc>
      </w:tr>
      <w:tr>
        <w:tc>
          <w:tcPr>
            <w:tcW w:type="dxa" w:w="3400"/>
            <w:tcMar>
              <w:top w:type="dxa" w:w="100"/>
              <w:left w:type="dxa" w:w="120"/>
              <w:bottom w:type="dxa" w:w="100"/>
              <w:right w:type="dxa" w:w="120"/>
            </w:tcMar>
          </w:tcPr>
          <w:p>
            <w:r>
              <w:rPr>
                <w:b w:val="false"/>
                <w:bCs w:val="false"/>
                <w:color w:val="000000"/>
                <w:sz w:val="20"/>
                <w:szCs w:val="20"/>
              </w:rPr>
              <w:t xml:space="preserve">Community reports are sparse or low-trust</w:t>
            </w:r>
          </w:p>
        </w:tc>
        <w:tc>
          <w:tcPr>
            <w:tcW w:type="dxa" w:w="5960"/>
            <w:tcMar>
              <w:top w:type="dxa" w:w="100"/>
              <w:left w:type="dxa" w:w="120"/>
              <w:bottom w:type="dxa" w:w="100"/>
              <w:right w:type="dxa" w:w="120"/>
            </w:tcMar>
          </w:tcPr>
          <w:p>
            <w:r>
              <w:rPr>
                <w:b w:val="false"/>
                <w:bCs w:val="false"/>
                <w:color w:val="000000"/>
                <w:sz w:val="20"/>
                <w:szCs w:val="20"/>
              </w:rPr>
              <w:t xml:space="preserve">Per-device rate limiting, statistical outlier rejection, and explicit “based on N reports” labelling so users can calibrate their own trust in an estimate</w:t>
            </w:r>
          </w:p>
        </w:tc>
      </w:tr>
      <w:tr>
        <w:tc>
          <w:tcPr>
            <w:tcW w:type="dxa" w:w="3400"/>
            <w:shd w:fill="DCE6F1" w:color="auto" w:val="clear"/>
            <w:tcMar>
              <w:top w:type="dxa" w:w="100"/>
              <w:left w:type="dxa" w:w="120"/>
              <w:bottom w:type="dxa" w:w="100"/>
              <w:right w:type="dxa" w:w="120"/>
            </w:tcMar>
          </w:tcPr>
          <w:p>
            <w:r>
              <w:rPr>
                <w:b w:val="false"/>
                <w:bCs w:val="false"/>
                <w:color w:val="000000"/>
                <w:sz w:val="20"/>
                <w:szCs w:val="20"/>
              </w:rPr>
              <w:t xml:space="preserve">4-week timeline across 5 features and 4 people</w:t>
            </w:r>
          </w:p>
        </w:tc>
        <w:tc>
          <w:tcPr>
            <w:tcW w:type="dxa" w:w="5960"/>
            <w:shd w:fill="DCE6F1" w:color="auto" w:val="clear"/>
            <w:tcMar>
              <w:top w:type="dxa" w:w="100"/>
              <w:left w:type="dxa" w:w="120"/>
              <w:bottom w:type="dxa" w:w="100"/>
              <w:right w:type="dxa" w:w="120"/>
            </w:tcMar>
          </w:tcPr>
          <w:p>
            <w:r>
              <w:rPr>
                <w:b w:val="false"/>
                <w:bCs w:val="false"/>
                <w:color w:val="000000"/>
                <w:sz w:val="20"/>
                <w:szCs w:val="20"/>
              </w:rPr>
              <w:t xml:space="preserve">API contract locked in Increment 1 so all three build layers work in parallel rather than sequentially; vibe classifier has an explicit majority-vote fallback if the stretch classifier is not ready in time</w:t>
            </w:r>
          </w:p>
        </w:tc>
      </w:tr>
      <w:tr>
        <w:tc>
          <w:tcPr>
            <w:tcW w:type="dxa" w:w="3400"/>
            <w:tcMar>
              <w:top w:type="dxa" w:w="100"/>
              <w:left w:type="dxa" w:w="120"/>
              <w:bottom w:type="dxa" w:w="100"/>
              <w:right w:type="dxa" w:w="120"/>
            </w:tcMar>
          </w:tcPr>
          <w:p>
            <w:r>
              <w:rPr>
                <w:b w:val="false"/>
                <w:bCs w:val="false"/>
                <w:color w:val="000000"/>
                <w:sz w:val="20"/>
                <w:szCs w:val="20"/>
              </w:rPr>
              <w:t xml:space="preserve">Traffic-ETA blending logic becomes disproportionately ML-heavy</w:t>
            </w:r>
          </w:p>
        </w:tc>
        <w:tc>
          <w:tcPr>
            <w:tcW w:type="dxa" w:w="5960"/>
            <w:tcMar>
              <w:top w:type="dxa" w:w="100"/>
              <w:left w:type="dxa" w:w="120"/>
              <w:bottom w:type="dxa" w:w="100"/>
              <w:right w:type="dxa" w:w="120"/>
            </w:tcMar>
          </w:tcPr>
          <w:p>
            <w:r>
              <w:rPr>
                <w:b w:val="false"/>
                <w:bCs w:val="false"/>
                <w:color w:val="000000"/>
                <w:sz w:val="20"/>
                <w:szCs w:val="20"/>
              </w:rPr>
              <w:t xml:space="preserve">Deliberately framed and implemented as a rules engine rather than a trained model, since no labelled delay dataset exists yet</w:t>
            </w:r>
          </w:p>
        </w:tc>
      </w:tr>
    </w:tbl>
    <w:p>
      <w:pPr>
        <w:pStyle w:val="Heading1"/>
        <w:pBdr>
          <w:bottom w:val="single" w:color="1F3864" w:sz="6" w:space="4"/>
        </w:pBdr>
        <w:spacing w:after="200" w:before="400"/>
      </w:pPr>
      <w:r>
        <w:t xml:space="preserve">7. Conclusion</w:t>
      </w:r>
    </w:p>
    <w:p>
      <w:pPr>
        <w:spacing w:after="160" w:line="276"/>
      </w:pPr>
      <w:r>
        <w:t xml:space="preserve">Mat-Map's V1 scope is a deliberately narrowed, four-increment build that layers matatu-specific fare, traffic, crowd, and vibe intelligence on top of Google Maps' existing transit data, rather than re-building routing infrastructure from scratch. The incremental development model allowed the team to reduce an original 8-week concept down to an achievable 4-week build while preserving a working, demonstrable product at the end of every increment. Each of the four specialised engineering roles — Human-Computer Interface, Server-Side Application &amp; Data, Machine Learning, and DevOps/Infrastructure — owns a distinct architectural layer, with the API contract authored in the first increment acting as the coordination point that allowed all three build layers to progress in parallel.</w:t>
      </w:r>
    </w:p>
    <w:p>
      <w:pPr>
        <w:spacing w:after="200" w:before="100"/>
      </w:pPr>
      <w:r>
        <w:rPr>
          <w:i/>
          <w:iCs/>
          <w:color w:val="666666"/>
          <w:sz w:val="20"/>
          <w:szCs w:val="20"/>
        </w:rPr>
        <w:t xml:space="preserve">This document was compiled from the project's ImplementationPlan.md, README.md, and verified repository/CI activity. Team members should review Section 5 and confirm their individual contribution descriptions are accurate and complete before this document is submitted or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2026-08-06T23:48:53.957Z</dcterms:created>
  <dcterms:modified xsi:type="dcterms:W3CDTF">2026-08-06T23:48:53.957Z</dcterms:modified>
</cp:coreProperties>
</file>

<file path=docProps/custom.xml><?xml version="1.0" encoding="utf-8"?>
<Properties xmlns="http://schemas.openxmlformats.org/officeDocument/2006/custom-properties" xmlns:vt="http://schemas.openxmlformats.org/officeDocument/2006/docPropsVTypes"/>
</file>