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A4959" w14:textId="0DBE2999" w:rsidR="00D66849" w:rsidRPr="00753D9C" w:rsidRDefault="00D66849" w:rsidP="00D66849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53D9C">
        <w:rPr>
          <w:rFonts w:ascii="Arial" w:hAnsi="Arial" w:cs="Arial"/>
          <w:b/>
          <w:bCs/>
          <w:sz w:val="28"/>
          <w:szCs w:val="28"/>
        </w:rPr>
        <w:t>Citalyze</w:t>
      </w:r>
      <w:proofErr w:type="spellEnd"/>
      <w:r w:rsidRPr="00753D9C">
        <w:rPr>
          <w:rFonts w:ascii="Arial" w:hAnsi="Arial" w:cs="Arial"/>
          <w:b/>
          <w:bCs/>
          <w:sz w:val="28"/>
          <w:szCs w:val="28"/>
        </w:rPr>
        <w:t xml:space="preserve"> Demo Doc</w:t>
      </w:r>
    </w:p>
    <w:p w14:paraId="65CA6C32" w14:textId="64EFA4AE" w:rsidR="00845D6D" w:rsidRPr="00845D6D" w:rsidRDefault="00845D6D" w:rsidP="00845D6D">
      <w:pPr>
        <w:jc w:val="both"/>
        <w:rPr>
          <w:rFonts w:ascii="Arial" w:hAnsi="Arial" w:cs="Arial"/>
        </w:rPr>
      </w:pPr>
      <w:r w:rsidRPr="00845D6D">
        <w:rPr>
          <w:rFonts w:ascii="Arial" w:hAnsi="Arial" w:cs="Arial"/>
        </w:rPr>
        <w:t>Dies ist ein Beispiel für ein Zitat mit einem Autor (Adams, 2001).</w:t>
      </w:r>
      <w:r w:rsidRPr="00753D9C">
        <w:rPr>
          <w:rFonts w:ascii="Arial" w:hAnsi="Arial" w:cs="Arial"/>
        </w:rPr>
        <w:t xml:space="preserve"> </w:t>
      </w:r>
      <w:r w:rsidRPr="00845D6D">
        <w:rPr>
          <w:rFonts w:ascii="Arial" w:hAnsi="Arial" w:cs="Arial"/>
        </w:rPr>
        <w:t>Dies ist ein Beispiel für ein Zitat mit zwei Autoren (Brown &amp; Carter, 2002).</w:t>
      </w:r>
      <w:r w:rsidRPr="00753D9C">
        <w:rPr>
          <w:rFonts w:ascii="Arial" w:hAnsi="Arial" w:cs="Arial"/>
        </w:rPr>
        <w:t xml:space="preserve"> </w:t>
      </w:r>
      <w:r w:rsidRPr="00845D6D">
        <w:rPr>
          <w:rFonts w:ascii="Arial" w:hAnsi="Arial" w:cs="Arial"/>
        </w:rPr>
        <w:t>Dies ist ein Beispiel für ein Zitat mit drei Autoren (Davis et al., 2003).</w:t>
      </w:r>
      <w:r w:rsidRPr="00753D9C">
        <w:rPr>
          <w:rFonts w:ascii="Arial" w:hAnsi="Arial" w:cs="Arial"/>
        </w:rPr>
        <w:t xml:space="preserve"> </w:t>
      </w:r>
      <w:r w:rsidRPr="00845D6D">
        <w:rPr>
          <w:rFonts w:ascii="Arial" w:hAnsi="Arial" w:cs="Arial"/>
        </w:rPr>
        <w:t>Dies ist ein Beispiel für ein Zitat mit mehr als drei Autoren (Green et al., 2004).</w:t>
      </w:r>
      <w:r w:rsidRPr="00753D9C">
        <w:rPr>
          <w:rFonts w:ascii="Arial" w:hAnsi="Arial" w:cs="Arial"/>
        </w:rPr>
        <w:t xml:space="preserve"> </w:t>
      </w:r>
      <w:r w:rsidRPr="00845D6D">
        <w:rPr>
          <w:rFonts w:ascii="Arial" w:hAnsi="Arial" w:cs="Arial"/>
        </w:rPr>
        <w:t>Zitate können auch in narrativer Form erscheinen, zum Beispiel: Hill (2005) argumentierte, dass …</w:t>
      </w:r>
      <w:r w:rsidRPr="00753D9C">
        <w:rPr>
          <w:rFonts w:ascii="Arial" w:hAnsi="Arial" w:cs="Arial"/>
        </w:rPr>
        <w:t xml:space="preserve"> </w:t>
      </w:r>
      <w:r w:rsidRPr="00845D6D">
        <w:rPr>
          <w:rFonts w:ascii="Arial" w:hAnsi="Arial" w:cs="Arial"/>
        </w:rPr>
        <w:t>Oder mit zwei Autoren: Irwin und Johnson (2006) fanden heraus, dass …</w:t>
      </w:r>
      <w:r w:rsidRPr="00753D9C">
        <w:rPr>
          <w:rFonts w:ascii="Arial" w:hAnsi="Arial" w:cs="Arial"/>
        </w:rPr>
        <w:t xml:space="preserve"> </w:t>
      </w:r>
      <w:r w:rsidRPr="00845D6D">
        <w:rPr>
          <w:rFonts w:ascii="Arial" w:hAnsi="Arial" w:cs="Arial"/>
        </w:rPr>
        <w:t>Oder mit drei Autoren: King, Lee und Miller (2007) berichteten, dass …</w:t>
      </w:r>
      <w:r w:rsidRPr="00753D9C">
        <w:rPr>
          <w:rFonts w:ascii="Arial" w:hAnsi="Arial" w:cs="Arial"/>
        </w:rPr>
        <w:t xml:space="preserve"> </w:t>
      </w:r>
      <w:r w:rsidRPr="00845D6D">
        <w:rPr>
          <w:rFonts w:ascii="Arial" w:hAnsi="Arial" w:cs="Arial"/>
        </w:rPr>
        <w:t>Manchmal werden mehrere Arbeiten zusammen zitiert, z. B. Nelson (2008), Owens (2009) und Patel (2010).</w:t>
      </w:r>
      <w:r w:rsidRPr="00845D6D">
        <w:rPr>
          <w:rFonts w:ascii="Arial" w:hAnsi="Arial" w:cs="Arial"/>
        </w:rPr>
        <w:br/>
        <w:t>Gruppenautoren können ebenfalls auftreten, zum Beispiel der Queensland Research Council (2011) oder die Weltgesundheitsorganisation (2012</w:t>
      </w:r>
      <w:proofErr w:type="gramStart"/>
      <w:r w:rsidRPr="00845D6D">
        <w:rPr>
          <w:rFonts w:ascii="Arial" w:hAnsi="Arial" w:cs="Arial"/>
        </w:rPr>
        <w:t>).Zitate</w:t>
      </w:r>
      <w:proofErr w:type="gramEnd"/>
      <w:r w:rsidRPr="00845D6D">
        <w:rPr>
          <w:rFonts w:ascii="Arial" w:hAnsi="Arial" w:cs="Arial"/>
        </w:rPr>
        <w:t xml:space="preserve"> können auch mehrere Arbeiten in derselben Klammer enthalten, zum Beispiel (Nelson, 2008; Owens, 2009; Patel, 2010).</w:t>
      </w:r>
      <w:r w:rsidRPr="00753D9C">
        <w:rPr>
          <w:rFonts w:ascii="Arial" w:hAnsi="Arial" w:cs="Arial"/>
        </w:rPr>
        <w:t xml:space="preserve"> </w:t>
      </w:r>
      <w:r w:rsidRPr="00845D6D">
        <w:rPr>
          <w:rFonts w:ascii="Arial" w:hAnsi="Arial" w:cs="Arial"/>
        </w:rPr>
        <w:t>Direkte Zitate sollten Seitenzahlen enthalten, zum Beispiel:</w:t>
      </w:r>
      <w:r w:rsidRPr="00753D9C">
        <w:rPr>
          <w:rFonts w:ascii="Arial" w:hAnsi="Arial" w:cs="Arial"/>
        </w:rPr>
        <w:t xml:space="preserve"> </w:t>
      </w:r>
      <w:r w:rsidRPr="00845D6D">
        <w:rPr>
          <w:rFonts w:ascii="Arial" w:hAnsi="Arial" w:cs="Arial"/>
        </w:rPr>
        <w:t>„Dies ist ein Beispielzitat“ (Taylor, 2015, S. 42).</w:t>
      </w:r>
      <w:r w:rsidRPr="00753D9C">
        <w:rPr>
          <w:rFonts w:ascii="Arial" w:hAnsi="Arial" w:cs="Arial"/>
        </w:rPr>
        <w:t xml:space="preserve"> </w:t>
      </w:r>
    </w:p>
    <w:p w14:paraId="6CA9884D" w14:textId="007FCAC1" w:rsidR="00845D6D" w:rsidRPr="00845D6D" w:rsidRDefault="00845D6D" w:rsidP="00845D6D">
      <w:pPr>
        <w:jc w:val="both"/>
        <w:rPr>
          <w:rFonts w:ascii="Arial" w:hAnsi="Arial" w:cs="Arial"/>
        </w:rPr>
      </w:pPr>
      <w:r w:rsidRPr="00845D6D">
        <w:rPr>
          <w:rFonts w:ascii="Arial" w:hAnsi="Arial" w:cs="Arial"/>
        </w:rPr>
        <w:t>Allerdings kommt es vor, dass die Literaturliste die jeweilige Quelle nicht enthält (Vargas, 2017), das Jahr nicht übereinstimmt (White, 2003) oder ein kleiner Tippfehler vorliegt (Young &amp; Zane, 2002).</w:t>
      </w:r>
      <w:r w:rsidRPr="00753D9C">
        <w:rPr>
          <w:rFonts w:ascii="Arial" w:hAnsi="Arial" w:cs="Arial"/>
        </w:rPr>
        <w:t xml:space="preserve"> </w:t>
      </w:r>
      <w:r w:rsidRPr="00845D6D">
        <w:rPr>
          <w:rFonts w:ascii="Arial" w:hAnsi="Arial" w:cs="Arial"/>
        </w:rPr>
        <w:t xml:space="preserve">Zum Glück gibt es </w:t>
      </w:r>
      <w:proofErr w:type="spellStart"/>
      <w:r w:rsidRPr="00845D6D">
        <w:rPr>
          <w:rFonts w:ascii="Arial" w:hAnsi="Arial" w:cs="Arial"/>
        </w:rPr>
        <w:t>Citalyze</w:t>
      </w:r>
      <w:proofErr w:type="spellEnd"/>
      <w:r w:rsidRPr="00845D6D">
        <w:rPr>
          <w:rFonts w:ascii="Arial" w:hAnsi="Arial" w:cs="Arial"/>
        </w:rPr>
        <w:t>, das Ihnen hilft, Zitate automatisch zu überprüfen. Um Fehler weiter zu identifizieren und zu verifizieren, können Sie auf jedes In-Text-Zitat klicken und, falls kein entsprechender Eintrag gefunden wird, manuell zuweisen. Außerdem finden Sie eine vollständige Literaturliste, in der Sie sehen können, wie oft eine Quelle zitiert wurde und – was besonders wichtig ist, wenn Sie mit großen Sprachmodellen arbeiten – ob die Quelle tatsächlich existiert</w:t>
      </w:r>
      <w:r w:rsidR="00C17F28">
        <w:rPr>
          <w:rFonts w:ascii="Arial" w:hAnsi="Arial" w:cs="Arial"/>
        </w:rPr>
        <w:t xml:space="preserve">, </w:t>
      </w:r>
      <w:r w:rsidRPr="00845D6D">
        <w:rPr>
          <w:rFonts w:ascii="Arial" w:hAnsi="Arial" w:cs="Arial"/>
        </w:rPr>
        <w:t xml:space="preserve">ob Details fehlen </w:t>
      </w:r>
      <w:r w:rsidR="00C17F28">
        <w:rPr>
          <w:rFonts w:ascii="Arial" w:hAnsi="Arial" w:cs="Arial"/>
        </w:rPr>
        <w:t xml:space="preserve">oder ob die Quelle </w:t>
      </w:r>
      <w:proofErr w:type="spellStart"/>
      <w:r w:rsidR="00C17F28">
        <w:rPr>
          <w:rFonts w:ascii="Arial" w:hAnsi="Arial" w:cs="Arial"/>
        </w:rPr>
        <w:t>überhaubt</w:t>
      </w:r>
      <w:proofErr w:type="spellEnd"/>
      <w:r w:rsidR="00C17F28">
        <w:rPr>
          <w:rFonts w:ascii="Arial" w:hAnsi="Arial" w:cs="Arial"/>
        </w:rPr>
        <w:t xml:space="preserve"> im Text zitiert wurde wie die von Underwood</w:t>
      </w:r>
      <w:r w:rsidRPr="00845D6D">
        <w:rPr>
          <w:rFonts w:ascii="Arial" w:hAnsi="Arial" w:cs="Arial"/>
        </w:rPr>
        <w:t>.</w:t>
      </w:r>
    </w:p>
    <w:p w14:paraId="2C2DCD8B" w14:textId="42FEF66E" w:rsidR="005B24B7" w:rsidRPr="00753D9C" w:rsidRDefault="00753D9C" w:rsidP="00BB3E38">
      <w:pPr>
        <w:rPr>
          <w:rFonts w:ascii="Arial" w:hAnsi="Arial" w:cs="Arial"/>
          <w:b/>
          <w:bCs/>
          <w:sz w:val="28"/>
          <w:szCs w:val="28"/>
        </w:rPr>
      </w:pPr>
      <w:r w:rsidRPr="00753D9C">
        <w:rPr>
          <w:rFonts w:ascii="Arial" w:hAnsi="Arial" w:cs="Arial"/>
          <w:b/>
          <w:bCs/>
          <w:sz w:val="28"/>
          <w:szCs w:val="28"/>
        </w:rPr>
        <w:t>Literaturverzeichnis</w:t>
      </w:r>
    </w:p>
    <w:p w14:paraId="2C78B938" w14:textId="5C667FF3" w:rsidR="00C534C0" w:rsidRPr="00753D9C" w:rsidRDefault="00C534C0" w:rsidP="00C534C0">
      <w:pPr>
        <w:ind w:left="709" w:hanging="709"/>
        <w:rPr>
          <w:rFonts w:ascii="Arial" w:hAnsi="Arial" w:cs="Arial"/>
        </w:rPr>
      </w:pPr>
      <w:r w:rsidRPr="00753D9C">
        <w:rPr>
          <w:rFonts w:ascii="Arial" w:hAnsi="Arial" w:cs="Arial"/>
        </w:rPr>
        <w:t xml:space="preserve">Adams, J. (2001). </w:t>
      </w:r>
      <w:proofErr w:type="spellStart"/>
      <w:r w:rsidRPr="00753D9C">
        <w:rPr>
          <w:rFonts w:ascii="Arial" w:hAnsi="Arial" w:cs="Arial"/>
          <w:i/>
          <w:iCs/>
        </w:rPr>
        <w:t>Social</w:t>
      </w:r>
      <w:proofErr w:type="spellEnd"/>
      <w:r w:rsidRPr="00753D9C">
        <w:rPr>
          <w:rFonts w:ascii="Arial" w:hAnsi="Arial" w:cs="Arial"/>
          <w:i/>
          <w:iCs/>
        </w:rPr>
        <w:t xml:space="preserve"> </w:t>
      </w:r>
      <w:proofErr w:type="spellStart"/>
      <w:r w:rsidRPr="00753D9C">
        <w:rPr>
          <w:rFonts w:ascii="Arial" w:hAnsi="Arial" w:cs="Arial"/>
          <w:i/>
          <w:iCs/>
        </w:rPr>
        <w:t>identity</w:t>
      </w:r>
      <w:proofErr w:type="spellEnd"/>
      <w:r w:rsidRPr="00753D9C">
        <w:rPr>
          <w:rFonts w:ascii="Arial" w:hAnsi="Arial" w:cs="Arial"/>
          <w:i/>
          <w:iCs/>
        </w:rPr>
        <w:t xml:space="preserve"> and organizational </w:t>
      </w:r>
      <w:proofErr w:type="spellStart"/>
      <w:r w:rsidRPr="00753D9C">
        <w:rPr>
          <w:rFonts w:ascii="Arial" w:hAnsi="Arial" w:cs="Arial"/>
          <w:i/>
          <w:iCs/>
        </w:rPr>
        <w:t>culture</w:t>
      </w:r>
      <w:proofErr w:type="spellEnd"/>
      <w:r w:rsidRPr="00753D9C">
        <w:rPr>
          <w:rFonts w:ascii="Arial" w:hAnsi="Arial" w:cs="Arial"/>
        </w:rPr>
        <w:t xml:space="preserve">. </w:t>
      </w:r>
      <w:r w:rsidRPr="00753D9C">
        <w:rPr>
          <w:rFonts w:ascii="Arial" w:hAnsi="Arial" w:cs="Arial"/>
          <w:i/>
          <w:iCs/>
        </w:rPr>
        <w:t>Journal of Management Studies, 38</w:t>
      </w:r>
      <w:r w:rsidRPr="00753D9C">
        <w:rPr>
          <w:rFonts w:ascii="Arial" w:hAnsi="Arial" w:cs="Arial"/>
        </w:rPr>
        <w:t>(1), 1–15. https://doi.org/10.1000/jms.2001.001</w:t>
      </w:r>
    </w:p>
    <w:p w14:paraId="274ED918" w14:textId="77777777" w:rsidR="00C534C0" w:rsidRPr="00753D9C" w:rsidRDefault="00C534C0" w:rsidP="00C534C0">
      <w:pPr>
        <w:ind w:left="709" w:hanging="709"/>
        <w:rPr>
          <w:rFonts w:ascii="Arial" w:hAnsi="Arial" w:cs="Arial"/>
        </w:rPr>
      </w:pPr>
      <w:r w:rsidRPr="00753D9C">
        <w:rPr>
          <w:rFonts w:ascii="Arial" w:hAnsi="Arial" w:cs="Arial"/>
        </w:rPr>
        <w:t xml:space="preserve">Brown, K., &amp; Carter, L. (2002). Innovation in </w:t>
      </w:r>
      <w:proofErr w:type="spellStart"/>
      <w:r w:rsidRPr="00753D9C">
        <w:rPr>
          <w:rFonts w:ascii="Arial" w:hAnsi="Arial" w:cs="Arial"/>
        </w:rPr>
        <w:t>small</w:t>
      </w:r>
      <w:proofErr w:type="spellEnd"/>
      <w:r w:rsidRPr="00753D9C">
        <w:rPr>
          <w:rFonts w:ascii="Arial" w:hAnsi="Arial" w:cs="Arial"/>
        </w:rPr>
        <w:t xml:space="preserve"> </w:t>
      </w:r>
      <w:proofErr w:type="spellStart"/>
      <w:r w:rsidRPr="00753D9C">
        <w:rPr>
          <w:rFonts w:ascii="Arial" w:hAnsi="Arial" w:cs="Arial"/>
        </w:rPr>
        <w:t>enterprises</w:t>
      </w:r>
      <w:proofErr w:type="spellEnd"/>
      <w:r w:rsidRPr="00753D9C">
        <w:rPr>
          <w:rFonts w:ascii="Arial" w:hAnsi="Arial" w:cs="Arial"/>
        </w:rPr>
        <w:t xml:space="preserve">: A </w:t>
      </w:r>
      <w:proofErr w:type="spellStart"/>
      <w:r w:rsidRPr="00753D9C">
        <w:rPr>
          <w:rFonts w:ascii="Arial" w:hAnsi="Arial" w:cs="Arial"/>
        </w:rPr>
        <w:t>cross-case</w:t>
      </w:r>
      <w:proofErr w:type="spellEnd"/>
      <w:r w:rsidRPr="00753D9C">
        <w:rPr>
          <w:rFonts w:ascii="Arial" w:hAnsi="Arial" w:cs="Arial"/>
        </w:rPr>
        <w:t xml:space="preserve"> </w:t>
      </w:r>
      <w:proofErr w:type="spellStart"/>
      <w:r w:rsidRPr="00753D9C">
        <w:rPr>
          <w:rFonts w:ascii="Arial" w:hAnsi="Arial" w:cs="Arial"/>
        </w:rPr>
        <w:t>analysis</w:t>
      </w:r>
      <w:proofErr w:type="spellEnd"/>
      <w:r w:rsidRPr="00753D9C">
        <w:rPr>
          <w:rFonts w:ascii="Arial" w:hAnsi="Arial" w:cs="Arial"/>
        </w:rPr>
        <w:t>. International Journal of Entrepreneurship, 12(2), 45–60. https://doi.org/10.1000/ije.2002.002</w:t>
      </w:r>
    </w:p>
    <w:p w14:paraId="16EB3B0C" w14:textId="77777777" w:rsidR="00C534C0" w:rsidRPr="00753D9C" w:rsidRDefault="00C534C0" w:rsidP="00C534C0">
      <w:pPr>
        <w:ind w:left="709" w:hanging="709"/>
        <w:rPr>
          <w:rFonts w:ascii="Arial" w:hAnsi="Arial" w:cs="Arial"/>
        </w:rPr>
      </w:pPr>
      <w:r w:rsidRPr="00753D9C">
        <w:rPr>
          <w:rFonts w:ascii="Arial" w:hAnsi="Arial" w:cs="Arial"/>
        </w:rPr>
        <w:t xml:space="preserve">Davis, M., Evans, N., &amp; Foster, O. (2003). </w:t>
      </w:r>
      <w:proofErr w:type="spellStart"/>
      <w:r w:rsidRPr="00753D9C">
        <w:rPr>
          <w:rFonts w:ascii="Arial" w:hAnsi="Arial" w:cs="Arial"/>
        </w:rPr>
        <w:t>Cognitive</w:t>
      </w:r>
      <w:proofErr w:type="spellEnd"/>
      <w:r w:rsidRPr="00753D9C">
        <w:rPr>
          <w:rFonts w:ascii="Arial" w:hAnsi="Arial" w:cs="Arial"/>
        </w:rPr>
        <w:t xml:space="preserve"> </w:t>
      </w:r>
      <w:proofErr w:type="spellStart"/>
      <w:r w:rsidRPr="00753D9C">
        <w:rPr>
          <w:rFonts w:ascii="Arial" w:hAnsi="Arial" w:cs="Arial"/>
        </w:rPr>
        <w:t>frameworks</w:t>
      </w:r>
      <w:proofErr w:type="spellEnd"/>
      <w:r w:rsidRPr="00753D9C">
        <w:rPr>
          <w:rFonts w:ascii="Arial" w:hAnsi="Arial" w:cs="Arial"/>
        </w:rPr>
        <w:t xml:space="preserve"> in </w:t>
      </w:r>
      <w:proofErr w:type="spellStart"/>
      <w:r w:rsidRPr="00753D9C">
        <w:rPr>
          <w:rFonts w:ascii="Arial" w:hAnsi="Arial" w:cs="Arial"/>
        </w:rPr>
        <w:t>higher</w:t>
      </w:r>
      <w:proofErr w:type="spellEnd"/>
      <w:r w:rsidRPr="00753D9C">
        <w:rPr>
          <w:rFonts w:ascii="Arial" w:hAnsi="Arial" w:cs="Arial"/>
        </w:rPr>
        <w:t xml:space="preserve"> </w:t>
      </w:r>
      <w:proofErr w:type="spellStart"/>
      <w:r w:rsidRPr="00753D9C">
        <w:rPr>
          <w:rFonts w:ascii="Arial" w:hAnsi="Arial" w:cs="Arial"/>
        </w:rPr>
        <w:t>education</w:t>
      </w:r>
      <w:proofErr w:type="spellEnd"/>
      <w:r w:rsidRPr="00753D9C">
        <w:rPr>
          <w:rFonts w:ascii="Arial" w:hAnsi="Arial" w:cs="Arial"/>
        </w:rPr>
        <w:t>. Educational Research Review, 27(3), 211–225. https://doi.org/10.1000/err.2003.003</w:t>
      </w:r>
    </w:p>
    <w:p w14:paraId="59450038" w14:textId="77777777" w:rsidR="00C534C0" w:rsidRPr="00753D9C" w:rsidRDefault="00C534C0" w:rsidP="00C534C0">
      <w:pPr>
        <w:ind w:left="709" w:hanging="709"/>
        <w:rPr>
          <w:rFonts w:ascii="Arial" w:hAnsi="Arial" w:cs="Arial"/>
        </w:rPr>
      </w:pPr>
      <w:r w:rsidRPr="00753D9C">
        <w:rPr>
          <w:rFonts w:ascii="Arial" w:hAnsi="Arial" w:cs="Arial"/>
        </w:rPr>
        <w:t xml:space="preserve">Green, P., Hall, Q., Roberts, R., &amp; Scott, S. (2004). </w:t>
      </w:r>
      <w:proofErr w:type="spellStart"/>
      <w:r w:rsidRPr="00753D9C">
        <w:rPr>
          <w:rFonts w:ascii="Arial" w:hAnsi="Arial" w:cs="Arial"/>
        </w:rPr>
        <w:t>Collaboration</w:t>
      </w:r>
      <w:proofErr w:type="spellEnd"/>
      <w:r w:rsidRPr="00753D9C">
        <w:rPr>
          <w:rFonts w:ascii="Arial" w:hAnsi="Arial" w:cs="Arial"/>
        </w:rPr>
        <w:t xml:space="preserve"> and </w:t>
      </w:r>
      <w:proofErr w:type="spellStart"/>
      <w:r w:rsidRPr="00753D9C">
        <w:rPr>
          <w:rFonts w:ascii="Arial" w:hAnsi="Arial" w:cs="Arial"/>
        </w:rPr>
        <w:t>team</w:t>
      </w:r>
      <w:proofErr w:type="spellEnd"/>
      <w:r w:rsidRPr="00753D9C">
        <w:rPr>
          <w:rFonts w:ascii="Arial" w:hAnsi="Arial" w:cs="Arial"/>
        </w:rPr>
        <w:t xml:space="preserve"> </w:t>
      </w:r>
      <w:proofErr w:type="spellStart"/>
      <w:r w:rsidRPr="00753D9C">
        <w:rPr>
          <w:rFonts w:ascii="Arial" w:hAnsi="Arial" w:cs="Arial"/>
        </w:rPr>
        <w:t>learning</w:t>
      </w:r>
      <w:proofErr w:type="spellEnd"/>
      <w:r w:rsidRPr="00753D9C">
        <w:rPr>
          <w:rFonts w:ascii="Arial" w:hAnsi="Arial" w:cs="Arial"/>
        </w:rPr>
        <w:t xml:space="preserve"> in digital </w:t>
      </w:r>
      <w:proofErr w:type="spellStart"/>
      <w:r w:rsidRPr="00753D9C">
        <w:rPr>
          <w:rFonts w:ascii="Arial" w:hAnsi="Arial" w:cs="Arial"/>
        </w:rPr>
        <w:t>environments</w:t>
      </w:r>
      <w:proofErr w:type="spellEnd"/>
      <w:r w:rsidRPr="00753D9C">
        <w:rPr>
          <w:rFonts w:ascii="Arial" w:hAnsi="Arial" w:cs="Arial"/>
        </w:rPr>
        <w:t>. Computers in Education, 44(4), 301–315. https://doi.org/10.1000/cie.2004.004</w:t>
      </w:r>
    </w:p>
    <w:p w14:paraId="47263B69" w14:textId="01A5A299" w:rsidR="00C534C0" w:rsidRPr="00753D9C" w:rsidRDefault="00C534C0" w:rsidP="00C534C0">
      <w:pPr>
        <w:ind w:left="709" w:hanging="709"/>
        <w:rPr>
          <w:rFonts w:ascii="Arial" w:hAnsi="Arial" w:cs="Arial"/>
        </w:rPr>
      </w:pPr>
      <w:r w:rsidRPr="00753D9C">
        <w:rPr>
          <w:rFonts w:ascii="Arial" w:hAnsi="Arial" w:cs="Arial"/>
        </w:rPr>
        <w:t xml:space="preserve">Hill, T. (2005). </w:t>
      </w:r>
      <w:proofErr w:type="spellStart"/>
      <w:r w:rsidRPr="00753D9C">
        <w:rPr>
          <w:rFonts w:ascii="Arial" w:hAnsi="Arial" w:cs="Arial"/>
        </w:rPr>
        <w:t>Ethics</w:t>
      </w:r>
      <w:proofErr w:type="spellEnd"/>
      <w:r w:rsidRPr="00753D9C">
        <w:rPr>
          <w:rFonts w:ascii="Arial" w:hAnsi="Arial" w:cs="Arial"/>
        </w:rPr>
        <w:t xml:space="preserve"> in </w:t>
      </w:r>
      <w:proofErr w:type="spellStart"/>
      <w:r w:rsidRPr="00753D9C">
        <w:rPr>
          <w:rFonts w:ascii="Arial" w:hAnsi="Arial" w:cs="Arial"/>
        </w:rPr>
        <w:t>contemporary</w:t>
      </w:r>
      <w:proofErr w:type="spellEnd"/>
      <w:r w:rsidRPr="00753D9C">
        <w:rPr>
          <w:rFonts w:ascii="Arial" w:hAnsi="Arial" w:cs="Arial"/>
        </w:rPr>
        <w:t xml:space="preserve"> </w:t>
      </w:r>
      <w:proofErr w:type="spellStart"/>
      <w:r w:rsidRPr="00753D9C">
        <w:rPr>
          <w:rFonts w:ascii="Arial" w:hAnsi="Arial" w:cs="Arial"/>
        </w:rPr>
        <w:t>decision</w:t>
      </w:r>
      <w:proofErr w:type="spellEnd"/>
      <w:r w:rsidRPr="00753D9C">
        <w:rPr>
          <w:rFonts w:ascii="Arial" w:hAnsi="Arial" w:cs="Arial"/>
        </w:rPr>
        <w:t xml:space="preserve"> </w:t>
      </w:r>
      <w:proofErr w:type="spellStart"/>
      <w:r w:rsidRPr="00753D9C">
        <w:rPr>
          <w:rFonts w:ascii="Arial" w:hAnsi="Arial" w:cs="Arial"/>
        </w:rPr>
        <w:t>making</w:t>
      </w:r>
      <w:proofErr w:type="spellEnd"/>
      <w:r w:rsidRPr="00753D9C">
        <w:rPr>
          <w:rFonts w:ascii="Arial" w:hAnsi="Arial" w:cs="Arial"/>
        </w:rPr>
        <w:t xml:space="preserve">. Journal of Applied Philosophy, 22(1), 55–67. </w:t>
      </w:r>
      <w:hyperlink r:id="rId5" w:history="1">
        <w:r w:rsidR="0086001D" w:rsidRPr="00753D9C">
          <w:rPr>
            <w:rStyle w:val="Hyperlink"/>
            <w:rFonts w:ascii="Arial" w:hAnsi="Arial" w:cs="Arial"/>
          </w:rPr>
          <w:t>https://doi.org/10.1000/jap.2005.005</w:t>
        </w:r>
      </w:hyperlink>
    </w:p>
    <w:p w14:paraId="561B5D87" w14:textId="6046358B" w:rsidR="0086001D" w:rsidRPr="00753D9C" w:rsidRDefault="0086001D" w:rsidP="00C534C0">
      <w:pPr>
        <w:ind w:left="709" w:hanging="709"/>
        <w:rPr>
          <w:rFonts w:ascii="Arial" w:hAnsi="Arial" w:cs="Arial"/>
        </w:rPr>
      </w:pPr>
      <w:r w:rsidRPr="00753D9C">
        <w:rPr>
          <w:rFonts w:ascii="Arial" w:hAnsi="Arial" w:cs="Arial"/>
        </w:rPr>
        <w:t xml:space="preserve">Irwin, U., &amp; Johnson, V. (2006). Cross-national </w:t>
      </w:r>
      <w:proofErr w:type="spellStart"/>
      <w:r w:rsidRPr="00753D9C">
        <w:rPr>
          <w:rFonts w:ascii="Arial" w:hAnsi="Arial" w:cs="Arial"/>
        </w:rPr>
        <w:t>perspectives</w:t>
      </w:r>
      <w:proofErr w:type="spellEnd"/>
      <w:r w:rsidRPr="00753D9C">
        <w:rPr>
          <w:rFonts w:ascii="Arial" w:hAnsi="Arial" w:cs="Arial"/>
        </w:rPr>
        <w:t xml:space="preserve"> on </w:t>
      </w:r>
      <w:proofErr w:type="spellStart"/>
      <w:r w:rsidRPr="00753D9C">
        <w:rPr>
          <w:rFonts w:ascii="Arial" w:hAnsi="Arial" w:cs="Arial"/>
        </w:rPr>
        <w:t>labor</w:t>
      </w:r>
      <w:proofErr w:type="spellEnd"/>
      <w:r w:rsidRPr="00753D9C">
        <w:rPr>
          <w:rFonts w:ascii="Arial" w:hAnsi="Arial" w:cs="Arial"/>
        </w:rPr>
        <w:t xml:space="preserve"> </w:t>
      </w:r>
      <w:proofErr w:type="spellStart"/>
      <w:r w:rsidRPr="00753D9C">
        <w:rPr>
          <w:rFonts w:ascii="Arial" w:hAnsi="Arial" w:cs="Arial"/>
        </w:rPr>
        <w:t>migration</w:t>
      </w:r>
      <w:proofErr w:type="spellEnd"/>
      <w:r w:rsidRPr="00753D9C">
        <w:rPr>
          <w:rFonts w:ascii="Arial" w:hAnsi="Arial" w:cs="Arial"/>
        </w:rPr>
        <w:t>. Journal of International Economics, 14(2), 101–118. https://doi.org/10.1000/jie.2006.006</w:t>
      </w:r>
    </w:p>
    <w:p w14:paraId="4EA7C4D2" w14:textId="77777777" w:rsidR="00C534C0" w:rsidRPr="00753D9C" w:rsidRDefault="00C534C0" w:rsidP="00C534C0">
      <w:pPr>
        <w:ind w:left="709" w:hanging="709"/>
        <w:rPr>
          <w:rFonts w:ascii="Arial" w:hAnsi="Arial" w:cs="Arial"/>
        </w:rPr>
      </w:pPr>
      <w:r w:rsidRPr="00753D9C">
        <w:rPr>
          <w:rFonts w:ascii="Arial" w:hAnsi="Arial" w:cs="Arial"/>
        </w:rPr>
        <w:t xml:space="preserve">King, W., Lee, X., &amp; Miller, Y. (2007). Global </w:t>
      </w:r>
      <w:proofErr w:type="spellStart"/>
      <w:r w:rsidRPr="00753D9C">
        <w:rPr>
          <w:rFonts w:ascii="Arial" w:hAnsi="Arial" w:cs="Arial"/>
        </w:rPr>
        <w:t>perspectives</w:t>
      </w:r>
      <w:proofErr w:type="spellEnd"/>
      <w:r w:rsidRPr="00753D9C">
        <w:rPr>
          <w:rFonts w:ascii="Arial" w:hAnsi="Arial" w:cs="Arial"/>
        </w:rPr>
        <w:t xml:space="preserve"> on </w:t>
      </w:r>
      <w:proofErr w:type="spellStart"/>
      <w:r w:rsidRPr="00753D9C">
        <w:rPr>
          <w:rFonts w:ascii="Arial" w:hAnsi="Arial" w:cs="Arial"/>
        </w:rPr>
        <w:t>cultural</w:t>
      </w:r>
      <w:proofErr w:type="spellEnd"/>
      <w:r w:rsidRPr="00753D9C">
        <w:rPr>
          <w:rFonts w:ascii="Arial" w:hAnsi="Arial" w:cs="Arial"/>
        </w:rPr>
        <w:t xml:space="preserve"> </w:t>
      </w:r>
      <w:proofErr w:type="spellStart"/>
      <w:r w:rsidRPr="00753D9C">
        <w:rPr>
          <w:rFonts w:ascii="Arial" w:hAnsi="Arial" w:cs="Arial"/>
        </w:rPr>
        <w:t>intelligence</w:t>
      </w:r>
      <w:proofErr w:type="spellEnd"/>
      <w:r w:rsidRPr="00753D9C">
        <w:rPr>
          <w:rFonts w:ascii="Arial" w:hAnsi="Arial" w:cs="Arial"/>
        </w:rPr>
        <w:t>. International Journal of Cross Cultural Management, 7(3), 233–248. https://doi.org/10.1000/ijccm.2007.007</w:t>
      </w:r>
    </w:p>
    <w:p w14:paraId="15369305" w14:textId="77777777" w:rsidR="00C534C0" w:rsidRPr="00753D9C" w:rsidRDefault="00C534C0" w:rsidP="00C534C0">
      <w:pPr>
        <w:ind w:left="709" w:hanging="709"/>
        <w:rPr>
          <w:rFonts w:ascii="Arial" w:hAnsi="Arial" w:cs="Arial"/>
        </w:rPr>
      </w:pPr>
      <w:r w:rsidRPr="00753D9C">
        <w:rPr>
          <w:rFonts w:ascii="Arial" w:hAnsi="Arial" w:cs="Arial"/>
        </w:rPr>
        <w:t xml:space="preserve">Nelson, Z. (2008). The </w:t>
      </w:r>
      <w:proofErr w:type="spellStart"/>
      <w:r w:rsidRPr="00753D9C">
        <w:rPr>
          <w:rFonts w:ascii="Arial" w:hAnsi="Arial" w:cs="Arial"/>
        </w:rPr>
        <w:t>politics</w:t>
      </w:r>
      <w:proofErr w:type="spellEnd"/>
      <w:r w:rsidRPr="00753D9C">
        <w:rPr>
          <w:rFonts w:ascii="Arial" w:hAnsi="Arial" w:cs="Arial"/>
        </w:rPr>
        <w:t xml:space="preserve"> of </w:t>
      </w:r>
      <w:proofErr w:type="spellStart"/>
      <w:r w:rsidRPr="00753D9C">
        <w:rPr>
          <w:rFonts w:ascii="Arial" w:hAnsi="Arial" w:cs="Arial"/>
        </w:rPr>
        <w:t>educational</w:t>
      </w:r>
      <w:proofErr w:type="spellEnd"/>
      <w:r w:rsidRPr="00753D9C">
        <w:rPr>
          <w:rFonts w:ascii="Arial" w:hAnsi="Arial" w:cs="Arial"/>
        </w:rPr>
        <w:t xml:space="preserve"> </w:t>
      </w:r>
      <w:proofErr w:type="spellStart"/>
      <w:r w:rsidRPr="00753D9C">
        <w:rPr>
          <w:rFonts w:ascii="Arial" w:hAnsi="Arial" w:cs="Arial"/>
        </w:rPr>
        <w:t>reform</w:t>
      </w:r>
      <w:proofErr w:type="spellEnd"/>
      <w:r w:rsidRPr="00753D9C">
        <w:rPr>
          <w:rFonts w:ascii="Arial" w:hAnsi="Arial" w:cs="Arial"/>
        </w:rPr>
        <w:t>. Policy Futures in Education, 6(4), 400–412. https://doi.org/10.1000/pfe.2008.008</w:t>
      </w:r>
    </w:p>
    <w:p w14:paraId="69B2DB6A" w14:textId="77777777" w:rsidR="00C534C0" w:rsidRPr="00753D9C" w:rsidRDefault="00C534C0" w:rsidP="00C534C0">
      <w:pPr>
        <w:ind w:left="709" w:hanging="709"/>
        <w:rPr>
          <w:rFonts w:ascii="Arial" w:hAnsi="Arial" w:cs="Arial"/>
        </w:rPr>
      </w:pPr>
      <w:r w:rsidRPr="00753D9C">
        <w:rPr>
          <w:rFonts w:ascii="Arial" w:hAnsi="Arial" w:cs="Arial"/>
        </w:rPr>
        <w:t xml:space="preserve">Owens, A. (2009). Urban </w:t>
      </w:r>
      <w:proofErr w:type="spellStart"/>
      <w:r w:rsidRPr="00753D9C">
        <w:rPr>
          <w:rFonts w:ascii="Arial" w:hAnsi="Arial" w:cs="Arial"/>
        </w:rPr>
        <w:t>resilience</w:t>
      </w:r>
      <w:proofErr w:type="spellEnd"/>
      <w:r w:rsidRPr="00753D9C">
        <w:rPr>
          <w:rFonts w:ascii="Arial" w:hAnsi="Arial" w:cs="Arial"/>
        </w:rPr>
        <w:t xml:space="preserve"> and social </w:t>
      </w:r>
      <w:proofErr w:type="spellStart"/>
      <w:r w:rsidRPr="00753D9C">
        <w:rPr>
          <w:rFonts w:ascii="Arial" w:hAnsi="Arial" w:cs="Arial"/>
        </w:rPr>
        <w:t>capital</w:t>
      </w:r>
      <w:proofErr w:type="spellEnd"/>
      <w:r w:rsidRPr="00753D9C">
        <w:rPr>
          <w:rFonts w:ascii="Arial" w:hAnsi="Arial" w:cs="Arial"/>
        </w:rPr>
        <w:t>. Journal of Urban Studies, 46(5), 955–970. https://doi.org/10.1000/jus.2009.009</w:t>
      </w:r>
    </w:p>
    <w:p w14:paraId="0D985EFB" w14:textId="77777777" w:rsidR="00C534C0" w:rsidRPr="00753D9C" w:rsidRDefault="00C534C0" w:rsidP="00C534C0">
      <w:pPr>
        <w:ind w:left="709" w:hanging="709"/>
        <w:rPr>
          <w:rFonts w:ascii="Arial" w:hAnsi="Arial" w:cs="Arial"/>
        </w:rPr>
      </w:pPr>
      <w:r w:rsidRPr="00753D9C">
        <w:rPr>
          <w:rFonts w:ascii="Arial" w:hAnsi="Arial" w:cs="Arial"/>
        </w:rPr>
        <w:lastRenderedPageBreak/>
        <w:t xml:space="preserve">Patel, B. (2010). Health </w:t>
      </w:r>
      <w:proofErr w:type="spellStart"/>
      <w:r w:rsidRPr="00753D9C">
        <w:rPr>
          <w:rFonts w:ascii="Arial" w:hAnsi="Arial" w:cs="Arial"/>
        </w:rPr>
        <w:t>systems</w:t>
      </w:r>
      <w:proofErr w:type="spellEnd"/>
      <w:r w:rsidRPr="00753D9C">
        <w:rPr>
          <w:rFonts w:ascii="Arial" w:hAnsi="Arial" w:cs="Arial"/>
        </w:rPr>
        <w:t xml:space="preserve"> and </w:t>
      </w:r>
      <w:proofErr w:type="spellStart"/>
      <w:r w:rsidRPr="00753D9C">
        <w:rPr>
          <w:rFonts w:ascii="Arial" w:hAnsi="Arial" w:cs="Arial"/>
        </w:rPr>
        <w:t>inequality</w:t>
      </w:r>
      <w:proofErr w:type="spellEnd"/>
      <w:r w:rsidRPr="00753D9C">
        <w:rPr>
          <w:rFonts w:ascii="Arial" w:hAnsi="Arial" w:cs="Arial"/>
        </w:rPr>
        <w:t xml:space="preserve">: A </w:t>
      </w:r>
      <w:proofErr w:type="spellStart"/>
      <w:r w:rsidRPr="00753D9C">
        <w:rPr>
          <w:rFonts w:ascii="Arial" w:hAnsi="Arial" w:cs="Arial"/>
        </w:rPr>
        <w:t>comparative</w:t>
      </w:r>
      <w:proofErr w:type="spellEnd"/>
      <w:r w:rsidRPr="00753D9C">
        <w:rPr>
          <w:rFonts w:ascii="Arial" w:hAnsi="Arial" w:cs="Arial"/>
        </w:rPr>
        <w:t xml:space="preserve"> </w:t>
      </w:r>
      <w:proofErr w:type="spellStart"/>
      <w:r w:rsidRPr="00753D9C">
        <w:rPr>
          <w:rFonts w:ascii="Arial" w:hAnsi="Arial" w:cs="Arial"/>
        </w:rPr>
        <w:t>approach</w:t>
      </w:r>
      <w:proofErr w:type="spellEnd"/>
      <w:r w:rsidRPr="00753D9C">
        <w:rPr>
          <w:rFonts w:ascii="Arial" w:hAnsi="Arial" w:cs="Arial"/>
        </w:rPr>
        <w:t>. Health Policy Review, 18(2), 115–128. https://doi.org/10.1000/hpr.2010.010</w:t>
      </w:r>
    </w:p>
    <w:p w14:paraId="2980851F" w14:textId="77777777" w:rsidR="00C534C0" w:rsidRPr="00753D9C" w:rsidRDefault="00C534C0" w:rsidP="00C534C0">
      <w:pPr>
        <w:ind w:left="709" w:hanging="709"/>
        <w:rPr>
          <w:rFonts w:ascii="Arial" w:hAnsi="Arial" w:cs="Arial"/>
        </w:rPr>
      </w:pPr>
      <w:r w:rsidRPr="00753D9C">
        <w:rPr>
          <w:rFonts w:ascii="Arial" w:hAnsi="Arial" w:cs="Arial"/>
        </w:rPr>
        <w:t xml:space="preserve">Queensland Research Council. (2011). Trends in </w:t>
      </w:r>
      <w:proofErr w:type="spellStart"/>
      <w:r w:rsidRPr="00753D9C">
        <w:rPr>
          <w:rFonts w:ascii="Arial" w:hAnsi="Arial" w:cs="Arial"/>
        </w:rPr>
        <w:t>research</w:t>
      </w:r>
      <w:proofErr w:type="spellEnd"/>
      <w:r w:rsidRPr="00753D9C">
        <w:rPr>
          <w:rFonts w:ascii="Arial" w:hAnsi="Arial" w:cs="Arial"/>
        </w:rPr>
        <w:t xml:space="preserve"> </w:t>
      </w:r>
      <w:proofErr w:type="spellStart"/>
      <w:r w:rsidRPr="00753D9C">
        <w:rPr>
          <w:rFonts w:ascii="Arial" w:hAnsi="Arial" w:cs="Arial"/>
        </w:rPr>
        <w:t>funding</w:t>
      </w:r>
      <w:proofErr w:type="spellEnd"/>
      <w:r w:rsidRPr="00753D9C">
        <w:rPr>
          <w:rFonts w:ascii="Arial" w:hAnsi="Arial" w:cs="Arial"/>
        </w:rPr>
        <w:t xml:space="preserve"> and </w:t>
      </w:r>
      <w:proofErr w:type="spellStart"/>
      <w:r w:rsidRPr="00753D9C">
        <w:rPr>
          <w:rFonts w:ascii="Arial" w:hAnsi="Arial" w:cs="Arial"/>
        </w:rPr>
        <w:t>innovation</w:t>
      </w:r>
      <w:proofErr w:type="spellEnd"/>
      <w:r w:rsidRPr="00753D9C">
        <w:rPr>
          <w:rFonts w:ascii="Arial" w:hAnsi="Arial" w:cs="Arial"/>
        </w:rPr>
        <w:t>. Queensland Research Reports, 5(1), 1–50. https://doi.org/10.1000/qrr.2011.011</w:t>
      </w:r>
    </w:p>
    <w:p w14:paraId="38370C09" w14:textId="77777777" w:rsidR="00C534C0" w:rsidRPr="00753D9C" w:rsidRDefault="00C534C0" w:rsidP="00C534C0">
      <w:pPr>
        <w:ind w:left="709" w:hanging="709"/>
        <w:rPr>
          <w:rFonts w:ascii="Arial" w:hAnsi="Arial" w:cs="Arial"/>
        </w:rPr>
      </w:pPr>
      <w:r w:rsidRPr="00753D9C">
        <w:rPr>
          <w:rFonts w:ascii="Arial" w:hAnsi="Arial" w:cs="Arial"/>
        </w:rPr>
        <w:t xml:space="preserve">Taylor, E. (2015). Language, </w:t>
      </w:r>
      <w:proofErr w:type="spellStart"/>
      <w:r w:rsidRPr="00753D9C">
        <w:rPr>
          <w:rFonts w:ascii="Arial" w:hAnsi="Arial" w:cs="Arial"/>
        </w:rPr>
        <w:t>culture</w:t>
      </w:r>
      <w:proofErr w:type="spellEnd"/>
      <w:r w:rsidRPr="00753D9C">
        <w:rPr>
          <w:rFonts w:ascii="Arial" w:hAnsi="Arial" w:cs="Arial"/>
        </w:rPr>
        <w:t xml:space="preserve">, and </w:t>
      </w:r>
      <w:proofErr w:type="spellStart"/>
      <w:r w:rsidRPr="00753D9C">
        <w:rPr>
          <w:rFonts w:ascii="Arial" w:hAnsi="Arial" w:cs="Arial"/>
        </w:rPr>
        <w:t>translation</w:t>
      </w:r>
      <w:proofErr w:type="spellEnd"/>
      <w:r w:rsidRPr="00753D9C">
        <w:rPr>
          <w:rFonts w:ascii="Arial" w:hAnsi="Arial" w:cs="Arial"/>
        </w:rPr>
        <w:t xml:space="preserve"> </w:t>
      </w:r>
      <w:proofErr w:type="spellStart"/>
      <w:r w:rsidRPr="00753D9C">
        <w:rPr>
          <w:rFonts w:ascii="Arial" w:hAnsi="Arial" w:cs="Arial"/>
        </w:rPr>
        <w:t>studies</w:t>
      </w:r>
      <w:proofErr w:type="spellEnd"/>
      <w:r w:rsidRPr="00753D9C">
        <w:rPr>
          <w:rFonts w:ascii="Arial" w:hAnsi="Arial" w:cs="Arial"/>
        </w:rPr>
        <w:t xml:space="preserve">. Translation &amp; </w:t>
      </w:r>
      <w:proofErr w:type="spellStart"/>
      <w:r w:rsidRPr="00753D9C">
        <w:rPr>
          <w:rFonts w:ascii="Arial" w:hAnsi="Arial" w:cs="Arial"/>
        </w:rPr>
        <w:t>Interpreting</w:t>
      </w:r>
      <w:proofErr w:type="spellEnd"/>
      <w:r w:rsidRPr="00753D9C">
        <w:rPr>
          <w:rFonts w:ascii="Arial" w:hAnsi="Arial" w:cs="Arial"/>
        </w:rPr>
        <w:t xml:space="preserve"> Studies, 10(2), 210–225. https://doi.org/10.1000/tis.2015.014</w:t>
      </w:r>
    </w:p>
    <w:p w14:paraId="32D58BE3" w14:textId="519C4072" w:rsidR="00C534C0" w:rsidRPr="00753D9C" w:rsidRDefault="00C534C0" w:rsidP="00C534C0">
      <w:pPr>
        <w:ind w:left="709" w:hanging="709"/>
        <w:rPr>
          <w:rFonts w:ascii="Arial" w:hAnsi="Arial" w:cs="Arial"/>
        </w:rPr>
      </w:pPr>
      <w:r w:rsidRPr="00753D9C">
        <w:rPr>
          <w:rFonts w:ascii="Arial" w:hAnsi="Arial" w:cs="Arial"/>
        </w:rPr>
        <w:t xml:space="preserve">Underwood, F. (2016). Media narratives in </w:t>
      </w:r>
      <w:proofErr w:type="spellStart"/>
      <w:r w:rsidRPr="00753D9C">
        <w:rPr>
          <w:rFonts w:ascii="Arial" w:hAnsi="Arial" w:cs="Arial"/>
        </w:rPr>
        <w:t>political</w:t>
      </w:r>
      <w:proofErr w:type="spellEnd"/>
      <w:r w:rsidRPr="00753D9C">
        <w:rPr>
          <w:rFonts w:ascii="Arial" w:hAnsi="Arial" w:cs="Arial"/>
        </w:rPr>
        <w:t xml:space="preserve"> </w:t>
      </w:r>
      <w:proofErr w:type="spellStart"/>
      <w:r w:rsidRPr="00753D9C">
        <w:rPr>
          <w:rFonts w:ascii="Arial" w:hAnsi="Arial" w:cs="Arial"/>
        </w:rPr>
        <w:t>campaigns</w:t>
      </w:r>
      <w:proofErr w:type="spellEnd"/>
      <w:r w:rsidRPr="00753D9C">
        <w:rPr>
          <w:rFonts w:ascii="Arial" w:hAnsi="Arial" w:cs="Arial"/>
        </w:rPr>
        <w:t>. Journal of Political Communication, 33(4), 421–435. https://doi.org/10.1000/jpc.2016.015</w:t>
      </w:r>
    </w:p>
    <w:p w14:paraId="3639CC90" w14:textId="5AA1ABF6" w:rsidR="00C534C0" w:rsidRPr="00753D9C" w:rsidRDefault="00C534C0" w:rsidP="00C534C0">
      <w:pPr>
        <w:ind w:left="709" w:hanging="709"/>
        <w:rPr>
          <w:rFonts w:ascii="Arial" w:hAnsi="Arial" w:cs="Arial"/>
        </w:rPr>
      </w:pPr>
      <w:r w:rsidRPr="00753D9C">
        <w:rPr>
          <w:rFonts w:ascii="Arial" w:hAnsi="Arial" w:cs="Arial"/>
        </w:rPr>
        <w:t xml:space="preserve">White, G. (2004). Quantitative </w:t>
      </w:r>
      <w:proofErr w:type="spellStart"/>
      <w:r w:rsidRPr="00753D9C">
        <w:rPr>
          <w:rFonts w:ascii="Arial" w:hAnsi="Arial" w:cs="Arial"/>
        </w:rPr>
        <w:t>models</w:t>
      </w:r>
      <w:proofErr w:type="spellEnd"/>
      <w:r w:rsidRPr="00753D9C">
        <w:rPr>
          <w:rFonts w:ascii="Arial" w:hAnsi="Arial" w:cs="Arial"/>
        </w:rPr>
        <w:t xml:space="preserve"> in </w:t>
      </w:r>
      <w:proofErr w:type="spellStart"/>
      <w:r w:rsidRPr="00753D9C">
        <w:rPr>
          <w:rFonts w:ascii="Arial" w:hAnsi="Arial" w:cs="Arial"/>
        </w:rPr>
        <w:t>economic</w:t>
      </w:r>
      <w:proofErr w:type="spellEnd"/>
      <w:r w:rsidRPr="00753D9C">
        <w:rPr>
          <w:rFonts w:ascii="Arial" w:hAnsi="Arial" w:cs="Arial"/>
        </w:rPr>
        <w:t xml:space="preserve"> </w:t>
      </w:r>
      <w:proofErr w:type="spellStart"/>
      <w:r w:rsidRPr="00753D9C">
        <w:rPr>
          <w:rFonts w:ascii="Arial" w:hAnsi="Arial" w:cs="Arial"/>
        </w:rPr>
        <w:t>forecasting</w:t>
      </w:r>
      <w:proofErr w:type="spellEnd"/>
      <w:r w:rsidRPr="00753D9C">
        <w:rPr>
          <w:rFonts w:ascii="Arial" w:hAnsi="Arial" w:cs="Arial"/>
        </w:rPr>
        <w:t xml:space="preserve">. Journal of </w:t>
      </w:r>
      <w:proofErr w:type="spellStart"/>
      <w:r w:rsidRPr="00753D9C">
        <w:rPr>
          <w:rFonts w:ascii="Arial" w:hAnsi="Arial" w:cs="Arial"/>
        </w:rPr>
        <w:t>Economic</w:t>
      </w:r>
      <w:proofErr w:type="spellEnd"/>
      <w:r w:rsidRPr="00753D9C">
        <w:rPr>
          <w:rFonts w:ascii="Arial" w:hAnsi="Arial" w:cs="Arial"/>
        </w:rPr>
        <w:t xml:space="preserve"> </w:t>
      </w:r>
      <w:proofErr w:type="spellStart"/>
      <w:r w:rsidRPr="00753D9C">
        <w:rPr>
          <w:rFonts w:ascii="Arial" w:hAnsi="Arial" w:cs="Arial"/>
        </w:rPr>
        <w:t>Perspectives</w:t>
      </w:r>
      <w:proofErr w:type="spellEnd"/>
      <w:r w:rsidRPr="00753D9C">
        <w:rPr>
          <w:rFonts w:ascii="Arial" w:hAnsi="Arial" w:cs="Arial"/>
        </w:rPr>
        <w:t xml:space="preserve">, 18(2), 77–91. </w:t>
      </w:r>
      <w:hyperlink r:id="rId6" w:history="1">
        <w:r w:rsidR="005B6FFC" w:rsidRPr="00753D9C">
          <w:rPr>
            <w:rStyle w:val="Hyperlink"/>
            <w:rFonts w:ascii="Arial" w:hAnsi="Arial" w:cs="Arial"/>
          </w:rPr>
          <w:t>https://doi.org/10.1000/jep.2004.017</w:t>
        </w:r>
      </w:hyperlink>
    </w:p>
    <w:p w14:paraId="40BAB656" w14:textId="30B2CC9D" w:rsidR="005B6FFC" w:rsidRPr="00753D9C" w:rsidRDefault="005C529E" w:rsidP="00C534C0">
      <w:pPr>
        <w:ind w:left="709" w:hanging="709"/>
        <w:rPr>
          <w:rFonts w:ascii="Arial" w:hAnsi="Arial" w:cs="Arial"/>
        </w:rPr>
      </w:pPr>
      <w:r w:rsidRPr="00845D6D">
        <w:rPr>
          <w:rFonts w:ascii="Arial" w:hAnsi="Arial" w:cs="Arial"/>
        </w:rPr>
        <w:t>Weltgesundheitsorganisation</w:t>
      </w:r>
      <w:r w:rsidR="005B6FFC" w:rsidRPr="00753D9C">
        <w:rPr>
          <w:rFonts w:ascii="Arial" w:hAnsi="Arial" w:cs="Arial"/>
        </w:rPr>
        <w:t xml:space="preserve">. (2012). Global </w:t>
      </w:r>
      <w:proofErr w:type="spellStart"/>
      <w:r w:rsidR="005B6FFC" w:rsidRPr="00753D9C">
        <w:rPr>
          <w:rFonts w:ascii="Arial" w:hAnsi="Arial" w:cs="Arial"/>
        </w:rPr>
        <w:t>health</w:t>
      </w:r>
      <w:proofErr w:type="spellEnd"/>
      <w:r w:rsidR="005B6FFC" w:rsidRPr="00753D9C">
        <w:rPr>
          <w:rFonts w:ascii="Arial" w:hAnsi="Arial" w:cs="Arial"/>
        </w:rPr>
        <w:t xml:space="preserve"> </w:t>
      </w:r>
      <w:proofErr w:type="spellStart"/>
      <w:r w:rsidR="005B6FFC" w:rsidRPr="00753D9C">
        <w:rPr>
          <w:rFonts w:ascii="Arial" w:hAnsi="Arial" w:cs="Arial"/>
        </w:rPr>
        <w:t>report</w:t>
      </w:r>
      <w:proofErr w:type="spellEnd"/>
      <w:r w:rsidR="005B6FFC" w:rsidRPr="00753D9C">
        <w:rPr>
          <w:rFonts w:ascii="Arial" w:hAnsi="Arial" w:cs="Arial"/>
        </w:rPr>
        <w:t xml:space="preserve">. Geneva, </w:t>
      </w:r>
      <w:proofErr w:type="spellStart"/>
      <w:r w:rsidR="005B6FFC" w:rsidRPr="00753D9C">
        <w:rPr>
          <w:rFonts w:ascii="Arial" w:hAnsi="Arial" w:cs="Arial"/>
        </w:rPr>
        <w:t>Switzerland</w:t>
      </w:r>
      <w:proofErr w:type="spellEnd"/>
      <w:r w:rsidR="005B6FFC" w:rsidRPr="00753D9C">
        <w:rPr>
          <w:rFonts w:ascii="Arial" w:hAnsi="Arial" w:cs="Arial"/>
        </w:rPr>
        <w:t xml:space="preserve">: WHO Press. </w:t>
      </w:r>
      <w:hyperlink r:id="rId7" w:history="1">
        <w:r w:rsidR="000A5E79" w:rsidRPr="00753D9C">
          <w:rPr>
            <w:rStyle w:val="Hyperlink"/>
            <w:rFonts w:ascii="Arial" w:hAnsi="Arial" w:cs="Arial"/>
          </w:rPr>
          <w:t>https://doi.org/10.1000/who.2012.019</w:t>
        </w:r>
      </w:hyperlink>
    </w:p>
    <w:p w14:paraId="276FEE7E" w14:textId="5FDA4398" w:rsidR="000A5E79" w:rsidRPr="00753D9C" w:rsidRDefault="000A5E79" w:rsidP="00C534C0">
      <w:pPr>
        <w:ind w:left="709" w:hanging="709"/>
        <w:rPr>
          <w:rFonts w:ascii="Arial" w:hAnsi="Arial" w:cs="Arial"/>
        </w:rPr>
      </w:pPr>
      <w:r w:rsidRPr="00753D9C">
        <w:rPr>
          <w:rFonts w:ascii="Arial" w:hAnsi="Arial" w:cs="Arial"/>
        </w:rPr>
        <w:t xml:space="preserve">Young, R., &amp; </w:t>
      </w:r>
      <w:r w:rsidRPr="00753D9C">
        <w:rPr>
          <w:rFonts w:ascii="Arial" w:hAnsi="Arial" w:cs="Arial"/>
        </w:rPr>
        <w:t>Zine</w:t>
      </w:r>
      <w:r w:rsidRPr="00753D9C">
        <w:rPr>
          <w:rFonts w:ascii="Arial" w:hAnsi="Arial" w:cs="Arial"/>
        </w:rPr>
        <w:t xml:space="preserve">, L. (2002). Innovation in </w:t>
      </w:r>
      <w:proofErr w:type="spellStart"/>
      <w:r w:rsidRPr="00753D9C">
        <w:rPr>
          <w:rFonts w:ascii="Arial" w:hAnsi="Arial" w:cs="Arial"/>
        </w:rPr>
        <w:t>practice</w:t>
      </w:r>
      <w:proofErr w:type="spellEnd"/>
      <w:r w:rsidRPr="00753D9C">
        <w:rPr>
          <w:rFonts w:ascii="Arial" w:hAnsi="Arial" w:cs="Arial"/>
        </w:rPr>
        <w:t xml:space="preserve">: Case </w:t>
      </w:r>
      <w:proofErr w:type="spellStart"/>
      <w:r w:rsidRPr="00753D9C">
        <w:rPr>
          <w:rFonts w:ascii="Arial" w:hAnsi="Arial" w:cs="Arial"/>
        </w:rPr>
        <w:t>studies</w:t>
      </w:r>
      <w:proofErr w:type="spellEnd"/>
      <w:r w:rsidRPr="00753D9C">
        <w:rPr>
          <w:rFonts w:ascii="Arial" w:hAnsi="Arial" w:cs="Arial"/>
        </w:rPr>
        <w:t xml:space="preserve"> </w:t>
      </w:r>
      <w:proofErr w:type="spellStart"/>
      <w:r w:rsidRPr="00753D9C">
        <w:rPr>
          <w:rFonts w:ascii="Arial" w:hAnsi="Arial" w:cs="Arial"/>
        </w:rPr>
        <w:t>from</w:t>
      </w:r>
      <w:proofErr w:type="spellEnd"/>
      <w:r w:rsidRPr="00753D9C">
        <w:rPr>
          <w:rFonts w:ascii="Arial" w:hAnsi="Arial" w:cs="Arial"/>
        </w:rPr>
        <w:t xml:space="preserve"> </w:t>
      </w:r>
      <w:proofErr w:type="spellStart"/>
      <w:r w:rsidRPr="00753D9C">
        <w:rPr>
          <w:rFonts w:ascii="Arial" w:hAnsi="Arial" w:cs="Arial"/>
        </w:rPr>
        <w:t>emerging</w:t>
      </w:r>
      <w:proofErr w:type="spellEnd"/>
      <w:r w:rsidRPr="00753D9C">
        <w:rPr>
          <w:rFonts w:ascii="Arial" w:hAnsi="Arial" w:cs="Arial"/>
        </w:rPr>
        <w:t xml:space="preserve"> </w:t>
      </w:r>
      <w:proofErr w:type="spellStart"/>
      <w:r w:rsidRPr="00753D9C">
        <w:rPr>
          <w:rFonts w:ascii="Arial" w:hAnsi="Arial" w:cs="Arial"/>
        </w:rPr>
        <w:t>economies</w:t>
      </w:r>
      <w:proofErr w:type="spellEnd"/>
      <w:r w:rsidRPr="00753D9C">
        <w:rPr>
          <w:rFonts w:ascii="Arial" w:hAnsi="Arial" w:cs="Arial"/>
        </w:rPr>
        <w:t>. Journal of Innovation Studies, 8(1), 33–49. https://doi.org/10.1000/jis.2002.020</w:t>
      </w:r>
    </w:p>
    <w:p w14:paraId="59555556" w14:textId="77777777" w:rsidR="00C534C0" w:rsidRPr="00753D9C" w:rsidRDefault="00C534C0" w:rsidP="00C534C0">
      <w:pPr>
        <w:rPr>
          <w:b/>
          <w:bCs/>
        </w:rPr>
      </w:pPr>
    </w:p>
    <w:p w14:paraId="58C768CB" w14:textId="77777777" w:rsidR="00C534C0" w:rsidRPr="00753D9C" w:rsidRDefault="00C534C0" w:rsidP="00C534C0">
      <w:pPr>
        <w:rPr>
          <w:b/>
          <w:bCs/>
        </w:rPr>
      </w:pPr>
    </w:p>
    <w:p w14:paraId="6C99EC55" w14:textId="77777777" w:rsidR="00C534C0" w:rsidRPr="00753D9C" w:rsidRDefault="00C534C0" w:rsidP="00C534C0">
      <w:pPr>
        <w:rPr>
          <w:b/>
          <w:bCs/>
        </w:rPr>
      </w:pPr>
    </w:p>
    <w:p w14:paraId="3DEA9647" w14:textId="77777777" w:rsidR="00C534C0" w:rsidRPr="00753D9C" w:rsidRDefault="00C534C0" w:rsidP="00C534C0">
      <w:pPr>
        <w:rPr>
          <w:b/>
          <w:bCs/>
        </w:rPr>
      </w:pPr>
    </w:p>
    <w:p w14:paraId="2703E935" w14:textId="77777777" w:rsidR="00C534C0" w:rsidRPr="00753D9C" w:rsidRDefault="00C534C0" w:rsidP="00C534C0">
      <w:pPr>
        <w:rPr>
          <w:b/>
          <w:bCs/>
        </w:rPr>
      </w:pPr>
    </w:p>
    <w:p w14:paraId="605082FF" w14:textId="77777777" w:rsidR="00C534C0" w:rsidRPr="005B24B7" w:rsidRDefault="00C534C0" w:rsidP="00C534C0">
      <w:pPr>
        <w:rPr>
          <w:b/>
          <w:bCs/>
          <w:lang w:val="en-US"/>
        </w:rPr>
      </w:pPr>
    </w:p>
    <w:sectPr w:rsidR="00C534C0" w:rsidRPr="005B24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E008A"/>
    <w:multiLevelType w:val="multilevel"/>
    <w:tmpl w:val="96D4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905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EA"/>
    <w:rsid w:val="000A5E79"/>
    <w:rsid w:val="00294BCB"/>
    <w:rsid w:val="003B3B0B"/>
    <w:rsid w:val="0047743B"/>
    <w:rsid w:val="0048785D"/>
    <w:rsid w:val="00491A50"/>
    <w:rsid w:val="005B24B7"/>
    <w:rsid w:val="005B6FFC"/>
    <w:rsid w:val="005C529E"/>
    <w:rsid w:val="006C5F82"/>
    <w:rsid w:val="00753D9C"/>
    <w:rsid w:val="00845D6D"/>
    <w:rsid w:val="0086001D"/>
    <w:rsid w:val="008C1C3A"/>
    <w:rsid w:val="00BB3E38"/>
    <w:rsid w:val="00C17F28"/>
    <w:rsid w:val="00C534C0"/>
    <w:rsid w:val="00CD5027"/>
    <w:rsid w:val="00D215EA"/>
    <w:rsid w:val="00D66849"/>
    <w:rsid w:val="00F1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F2D34"/>
  <w15:chartTrackingRefBased/>
  <w15:docId w15:val="{A690C7DD-4AD7-4346-BF56-5D36C1DA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21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21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21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21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21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21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21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21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21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1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21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21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215E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215E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15E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15E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15E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15E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21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1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1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1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21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215E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215E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215E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21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215E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215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534C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53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00/who.2012.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0/jep.2004.017" TargetMode="External"/><Relationship Id="rId5" Type="http://schemas.openxmlformats.org/officeDocument/2006/relationships/hyperlink" Target="https://doi.org/10.1000/jap.2005.00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616</Words>
  <Characters>3886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Müller</dc:creator>
  <cp:keywords/>
  <dc:description/>
  <cp:lastModifiedBy>Matthias Müller</cp:lastModifiedBy>
  <cp:revision>8</cp:revision>
  <cp:lastPrinted>2025-08-25T09:29:00Z</cp:lastPrinted>
  <dcterms:created xsi:type="dcterms:W3CDTF">2025-08-25T09:21:00Z</dcterms:created>
  <dcterms:modified xsi:type="dcterms:W3CDTF">2025-08-25T09:30:00Z</dcterms:modified>
</cp:coreProperties>
</file>