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278A" w14:textId="77777777" w:rsidR="00D32EC0" w:rsidRDefault="00D32EC0" w:rsidP="00D727D3">
      <w:pPr>
        <w:spacing w:after="0" w:line="240" w:lineRule="auto"/>
        <w:jc w:val="center"/>
      </w:pPr>
    </w:p>
    <w:p w14:paraId="23FD9068" w14:textId="77777777" w:rsidR="00D727D3" w:rsidRPr="00D67623" w:rsidRDefault="00D727D3" w:rsidP="00D727D3">
      <w:pPr>
        <w:spacing w:after="0" w:line="240" w:lineRule="auto"/>
        <w:jc w:val="center"/>
      </w:pPr>
      <w:r w:rsidRPr="00D67623">
        <w:t>UNIVERSITÉ DE SHERBROOKE</w:t>
      </w:r>
    </w:p>
    <w:p w14:paraId="5199A5D8" w14:textId="77777777" w:rsidR="00D727D3" w:rsidRPr="00D67623" w:rsidRDefault="00D727D3" w:rsidP="00D727D3">
      <w:pPr>
        <w:spacing w:after="0" w:line="240" w:lineRule="auto"/>
        <w:jc w:val="center"/>
      </w:pPr>
      <w:r w:rsidRPr="00D67623">
        <w:t>Faculté de génie</w:t>
      </w:r>
    </w:p>
    <w:p w14:paraId="0E7C34ED" w14:textId="77777777" w:rsidR="00D727D3" w:rsidRPr="00D67623" w:rsidRDefault="00D727D3" w:rsidP="00EF458C">
      <w:pPr>
        <w:spacing w:after="0" w:line="240" w:lineRule="auto"/>
        <w:jc w:val="center"/>
      </w:pPr>
      <w:r>
        <w:t>Département de génie électrique et génie informatique</w:t>
      </w:r>
    </w:p>
    <w:p w14:paraId="01636BF5" w14:textId="77777777" w:rsidR="00D727D3" w:rsidRDefault="00D727D3" w:rsidP="00D727D3">
      <w:pPr>
        <w:spacing w:after="0" w:line="240" w:lineRule="auto"/>
        <w:jc w:val="center"/>
      </w:pPr>
    </w:p>
    <w:p w14:paraId="5E315192" w14:textId="77777777" w:rsidR="00D727D3" w:rsidRPr="008B4F57" w:rsidRDefault="00D727D3" w:rsidP="00D727D3">
      <w:pPr>
        <w:spacing w:after="0" w:line="240" w:lineRule="auto"/>
        <w:jc w:val="center"/>
      </w:pPr>
    </w:p>
    <w:p w14:paraId="25133764" w14:textId="77777777" w:rsidR="00D727D3" w:rsidRPr="008B4F57" w:rsidRDefault="00D727D3" w:rsidP="00D727D3">
      <w:pPr>
        <w:spacing w:after="0" w:line="240" w:lineRule="auto"/>
        <w:jc w:val="center"/>
      </w:pPr>
    </w:p>
    <w:p w14:paraId="6D40C51A" w14:textId="77777777" w:rsidR="00D727D3" w:rsidRPr="008B4F57" w:rsidRDefault="00D727D3" w:rsidP="00D727D3">
      <w:pPr>
        <w:spacing w:after="0" w:line="240" w:lineRule="auto"/>
        <w:jc w:val="center"/>
      </w:pPr>
    </w:p>
    <w:p w14:paraId="68D6651D" w14:textId="0362E1D7" w:rsidR="00D727D3" w:rsidRPr="008B4F57" w:rsidRDefault="005D52B5" w:rsidP="00D727D3">
      <w:pPr>
        <w:spacing w:after="0" w:line="240" w:lineRule="auto"/>
        <w:jc w:val="center"/>
        <w:rPr>
          <w:rStyle w:val="Titredulivre"/>
          <w:sz w:val="40"/>
        </w:rPr>
      </w:pPr>
      <w:r>
        <w:rPr>
          <w:rStyle w:val="Titredulivre"/>
          <w:sz w:val="40"/>
        </w:rPr>
        <w:t>Rapport APP4</w:t>
      </w:r>
    </w:p>
    <w:p w14:paraId="735058AA" w14:textId="77777777" w:rsidR="00D727D3" w:rsidRPr="008B4F57" w:rsidRDefault="00D727D3" w:rsidP="00D727D3">
      <w:pPr>
        <w:spacing w:after="0" w:line="240" w:lineRule="auto"/>
        <w:jc w:val="center"/>
      </w:pPr>
    </w:p>
    <w:p w14:paraId="6C665749" w14:textId="77777777" w:rsidR="00D727D3" w:rsidRDefault="00D727D3" w:rsidP="00D727D3">
      <w:pPr>
        <w:spacing w:after="0" w:line="240" w:lineRule="auto"/>
        <w:jc w:val="center"/>
      </w:pPr>
    </w:p>
    <w:p w14:paraId="2D2F6A28" w14:textId="77777777" w:rsidR="00D727D3" w:rsidRDefault="00D727D3" w:rsidP="00D727D3">
      <w:pPr>
        <w:spacing w:after="0" w:line="240" w:lineRule="auto"/>
        <w:jc w:val="center"/>
      </w:pPr>
    </w:p>
    <w:p w14:paraId="20C0FC3E" w14:textId="77777777" w:rsidR="00440269" w:rsidRDefault="00440269" w:rsidP="00D727D3">
      <w:pPr>
        <w:spacing w:after="0" w:line="240" w:lineRule="auto"/>
        <w:jc w:val="center"/>
      </w:pPr>
    </w:p>
    <w:p w14:paraId="6C192A9E" w14:textId="77777777" w:rsidR="00440269" w:rsidRPr="008B4F57" w:rsidRDefault="00440269" w:rsidP="00D727D3">
      <w:pPr>
        <w:spacing w:after="0" w:line="240" w:lineRule="auto"/>
        <w:jc w:val="center"/>
      </w:pPr>
    </w:p>
    <w:p w14:paraId="0F0843E5" w14:textId="77777777" w:rsidR="00D727D3" w:rsidRPr="008B4F57" w:rsidRDefault="00D727D3" w:rsidP="00D727D3">
      <w:pPr>
        <w:spacing w:after="0" w:line="240" w:lineRule="auto"/>
        <w:jc w:val="center"/>
      </w:pPr>
    </w:p>
    <w:p w14:paraId="4B2166FB" w14:textId="2D7B3CA0" w:rsidR="00D727D3" w:rsidRPr="008B4F57" w:rsidRDefault="0021251C" w:rsidP="00D727D3">
      <w:pPr>
        <w:spacing w:after="0" w:line="240" w:lineRule="auto"/>
        <w:jc w:val="center"/>
      </w:pPr>
      <w:r>
        <w:t>Ingénierie</w:t>
      </w:r>
      <w:r w:rsidR="005D52B5">
        <w:t xml:space="preserve"> durable et évaluation des impact</w:t>
      </w:r>
      <w:r>
        <w:t>s environnementaux</w:t>
      </w:r>
    </w:p>
    <w:p w14:paraId="5B788D43" w14:textId="323628C9" w:rsidR="00D727D3" w:rsidRPr="008B4F57" w:rsidRDefault="0021251C" w:rsidP="00D727D3">
      <w:pPr>
        <w:spacing w:after="0" w:line="240" w:lineRule="auto"/>
        <w:jc w:val="center"/>
      </w:pPr>
      <w:r>
        <w:t>APP4</w:t>
      </w:r>
    </w:p>
    <w:p w14:paraId="6165EC8E" w14:textId="77777777" w:rsidR="00D727D3" w:rsidRPr="008B4F57" w:rsidRDefault="00D727D3" w:rsidP="00D727D3">
      <w:pPr>
        <w:spacing w:after="0" w:line="240" w:lineRule="auto"/>
        <w:jc w:val="center"/>
      </w:pPr>
    </w:p>
    <w:p w14:paraId="1E30FB06" w14:textId="77777777" w:rsidR="00D727D3" w:rsidRDefault="00D727D3" w:rsidP="00D727D3">
      <w:pPr>
        <w:spacing w:after="0" w:line="240" w:lineRule="auto"/>
        <w:jc w:val="center"/>
      </w:pPr>
    </w:p>
    <w:p w14:paraId="19A44345" w14:textId="77777777" w:rsidR="00D727D3" w:rsidRDefault="00D727D3" w:rsidP="00D727D3">
      <w:pPr>
        <w:spacing w:after="0" w:line="240" w:lineRule="auto"/>
        <w:jc w:val="center"/>
      </w:pPr>
    </w:p>
    <w:p w14:paraId="1E55085A" w14:textId="77777777" w:rsidR="00440269" w:rsidRDefault="00440269" w:rsidP="00D727D3">
      <w:pPr>
        <w:spacing w:after="0" w:line="240" w:lineRule="auto"/>
        <w:jc w:val="center"/>
      </w:pPr>
    </w:p>
    <w:p w14:paraId="6A5BB3DF" w14:textId="77777777" w:rsidR="00440269" w:rsidRDefault="00440269" w:rsidP="00D727D3">
      <w:pPr>
        <w:spacing w:after="0" w:line="240" w:lineRule="auto"/>
        <w:jc w:val="center"/>
      </w:pPr>
    </w:p>
    <w:p w14:paraId="7C94FCB4" w14:textId="77777777" w:rsidR="00DC4055" w:rsidRPr="008B4F57" w:rsidRDefault="00DC4055" w:rsidP="00D727D3">
      <w:pPr>
        <w:spacing w:after="0" w:line="240" w:lineRule="auto"/>
        <w:jc w:val="center"/>
      </w:pPr>
    </w:p>
    <w:p w14:paraId="4DB576D2" w14:textId="77777777" w:rsidR="00D727D3" w:rsidRPr="008B4F57" w:rsidRDefault="00D727D3" w:rsidP="00D727D3">
      <w:pPr>
        <w:spacing w:after="0" w:line="240" w:lineRule="auto"/>
        <w:jc w:val="center"/>
      </w:pPr>
      <w:r w:rsidRPr="008B4F57">
        <w:t>Présenté à</w:t>
      </w:r>
    </w:p>
    <w:p w14:paraId="459C3E70" w14:textId="229EDCB9" w:rsidR="00D727D3" w:rsidRDefault="00E76830" w:rsidP="00D727D3">
      <w:pPr>
        <w:spacing w:after="0" w:line="240" w:lineRule="auto"/>
        <w:jc w:val="center"/>
      </w:pPr>
      <w:r>
        <w:t>Pr Ben Amor</w:t>
      </w:r>
    </w:p>
    <w:p w14:paraId="16D3A2EB" w14:textId="061D32F5" w:rsidR="00E76830" w:rsidRDefault="00E76830" w:rsidP="00D727D3">
      <w:pPr>
        <w:spacing w:after="0" w:line="240" w:lineRule="auto"/>
        <w:jc w:val="center"/>
      </w:pPr>
      <w:r>
        <w:t>Mathieu Courchesne</w:t>
      </w:r>
    </w:p>
    <w:p w14:paraId="7C822EE2" w14:textId="07502002" w:rsidR="00E76830" w:rsidRPr="008B4F57" w:rsidRDefault="00E76830" w:rsidP="00D727D3">
      <w:pPr>
        <w:spacing w:after="0" w:line="240" w:lineRule="auto"/>
        <w:jc w:val="center"/>
      </w:pPr>
      <w:r>
        <w:t xml:space="preserve">Edgar </w:t>
      </w:r>
      <w:proofErr w:type="spellStart"/>
      <w:r>
        <w:t>Sergues</w:t>
      </w:r>
      <w:proofErr w:type="spellEnd"/>
    </w:p>
    <w:p w14:paraId="2126B4E7" w14:textId="77777777" w:rsidR="00D727D3" w:rsidRPr="008B4F57" w:rsidRDefault="00D727D3" w:rsidP="00D727D3">
      <w:pPr>
        <w:spacing w:after="0" w:line="240" w:lineRule="auto"/>
        <w:jc w:val="center"/>
      </w:pPr>
    </w:p>
    <w:p w14:paraId="64F6CAF9" w14:textId="77777777" w:rsidR="00D727D3" w:rsidRDefault="00D727D3" w:rsidP="00D727D3">
      <w:pPr>
        <w:spacing w:after="0" w:line="240" w:lineRule="auto"/>
        <w:jc w:val="center"/>
      </w:pPr>
    </w:p>
    <w:p w14:paraId="6AD5901D" w14:textId="77777777" w:rsidR="00D727D3" w:rsidRDefault="00D727D3" w:rsidP="00D727D3">
      <w:pPr>
        <w:spacing w:after="0" w:line="240" w:lineRule="auto"/>
        <w:jc w:val="center"/>
      </w:pPr>
    </w:p>
    <w:p w14:paraId="11797BF4" w14:textId="77777777" w:rsidR="00DC4055" w:rsidRDefault="00DC4055" w:rsidP="00D727D3">
      <w:pPr>
        <w:spacing w:after="0" w:line="240" w:lineRule="auto"/>
        <w:jc w:val="center"/>
      </w:pPr>
    </w:p>
    <w:p w14:paraId="1E06AAB0" w14:textId="77777777" w:rsidR="00D727D3" w:rsidRDefault="00D727D3" w:rsidP="00D727D3">
      <w:pPr>
        <w:spacing w:after="0" w:line="240" w:lineRule="auto"/>
        <w:jc w:val="center"/>
      </w:pPr>
    </w:p>
    <w:p w14:paraId="3C3333D0" w14:textId="77777777" w:rsidR="00440269" w:rsidRPr="008B4F57" w:rsidRDefault="00440269" w:rsidP="00D727D3">
      <w:pPr>
        <w:spacing w:after="0" w:line="240" w:lineRule="auto"/>
        <w:jc w:val="center"/>
      </w:pPr>
    </w:p>
    <w:p w14:paraId="00CEE90C" w14:textId="77777777" w:rsidR="00D727D3" w:rsidRDefault="00D727D3" w:rsidP="00D727D3">
      <w:pPr>
        <w:spacing w:after="0" w:line="240" w:lineRule="auto"/>
        <w:jc w:val="center"/>
      </w:pPr>
      <w:r w:rsidRPr="008B4F57">
        <w:t>Présenté par</w:t>
      </w:r>
    </w:p>
    <w:p w14:paraId="1CCF334C" w14:textId="3D63EE3F" w:rsidR="00D727D3" w:rsidRPr="008B4F57" w:rsidRDefault="00440269" w:rsidP="00D727D3">
      <w:pPr>
        <w:spacing w:after="0" w:line="240" w:lineRule="auto"/>
        <w:jc w:val="center"/>
      </w:pPr>
      <w:r>
        <w:t>Mathieu Desautels</w:t>
      </w:r>
      <w:r w:rsidR="00D727D3" w:rsidRPr="008B4F57">
        <w:t xml:space="preserve"> </w:t>
      </w:r>
      <w:r>
        <w:t>–</w:t>
      </w:r>
      <w:r w:rsidR="00D727D3" w:rsidRPr="008B4F57">
        <w:t xml:space="preserve"> </w:t>
      </w:r>
      <w:r>
        <w:t>DESM1210</w:t>
      </w:r>
      <w:r w:rsidR="00D727D3" w:rsidRPr="008B4F57">
        <w:t xml:space="preserve"> </w:t>
      </w:r>
    </w:p>
    <w:p w14:paraId="53EFBE74" w14:textId="7A13AE93" w:rsidR="00D727D3" w:rsidRPr="008B4F57" w:rsidRDefault="00440269" w:rsidP="00D727D3">
      <w:pPr>
        <w:spacing w:after="0" w:line="240" w:lineRule="auto"/>
        <w:jc w:val="center"/>
      </w:pPr>
      <w:r>
        <w:t>Felix Boivin</w:t>
      </w:r>
      <w:r w:rsidR="00D727D3" w:rsidRPr="008B4F57">
        <w:t xml:space="preserve"> </w:t>
      </w:r>
      <w:r>
        <w:t>–</w:t>
      </w:r>
      <w:r w:rsidR="00D727D3" w:rsidRPr="008B4F57">
        <w:t xml:space="preserve"> </w:t>
      </w:r>
      <w:r>
        <w:t>BOIF1302</w:t>
      </w:r>
      <w:r w:rsidR="00D727D3" w:rsidRPr="008B4F57">
        <w:t xml:space="preserve"> </w:t>
      </w:r>
    </w:p>
    <w:p w14:paraId="511E4D93" w14:textId="77777777" w:rsidR="00D727D3" w:rsidRPr="008B4F57" w:rsidRDefault="00D727D3" w:rsidP="00D727D3">
      <w:pPr>
        <w:spacing w:after="0" w:line="240" w:lineRule="auto"/>
        <w:jc w:val="center"/>
      </w:pPr>
    </w:p>
    <w:p w14:paraId="1292D440" w14:textId="77777777" w:rsidR="00D727D3" w:rsidRDefault="00D727D3" w:rsidP="00D727D3">
      <w:pPr>
        <w:spacing w:after="0" w:line="240" w:lineRule="auto"/>
        <w:jc w:val="center"/>
      </w:pPr>
    </w:p>
    <w:p w14:paraId="0943860A" w14:textId="77777777" w:rsidR="00897312" w:rsidRDefault="00897312" w:rsidP="00D727D3">
      <w:pPr>
        <w:spacing w:after="0" w:line="240" w:lineRule="auto"/>
        <w:jc w:val="center"/>
      </w:pPr>
    </w:p>
    <w:p w14:paraId="0DE82505" w14:textId="77777777" w:rsidR="00440269" w:rsidRDefault="00440269" w:rsidP="00D727D3">
      <w:pPr>
        <w:spacing w:after="0" w:line="240" w:lineRule="auto"/>
        <w:jc w:val="center"/>
      </w:pPr>
    </w:p>
    <w:p w14:paraId="57696581" w14:textId="77777777" w:rsidR="00440269" w:rsidRDefault="00440269" w:rsidP="00D727D3">
      <w:pPr>
        <w:spacing w:after="0" w:line="240" w:lineRule="auto"/>
        <w:jc w:val="center"/>
      </w:pPr>
    </w:p>
    <w:p w14:paraId="09C70503" w14:textId="77777777" w:rsidR="00440269" w:rsidRDefault="00440269" w:rsidP="00D727D3">
      <w:pPr>
        <w:spacing w:after="0" w:line="240" w:lineRule="auto"/>
        <w:jc w:val="center"/>
      </w:pPr>
    </w:p>
    <w:p w14:paraId="3A595E0A" w14:textId="77777777" w:rsidR="00DC4055" w:rsidRDefault="00DC4055" w:rsidP="00D727D3">
      <w:pPr>
        <w:spacing w:after="0" w:line="240" w:lineRule="auto"/>
        <w:jc w:val="center"/>
      </w:pPr>
    </w:p>
    <w:p w14:paraId="25E5588B" w14:textId="77777777" w:rsidR="00D727D3" w:rsidRPr="008B4F57" w:rsidRDefault="00D727D3" w:rsidP="00D727D3">
      <w:pPr>
        <w:spacing w:after="0" w:line="240" w:lineRule="auto"/>
        <w:jc w:val="center"/>
      </w:pPr>
    </w:p>
    <w:p w14:paraId="04841FCD" w14:textId="66ACC4E0" w:rsidR="00D727D3" w:rsidRPr="00D727D3" w:rsidRDefault="00440269" w:rsidP="00F3288A">
      <w:pPr>
        <w:spacing w:after="0" w:line="240" w:lineRule="auto"/>
        <w:jc w:val="center"/>
        <w:rPr>
          <w:sz w:val="44"/>
        </w:rPr>
        <w:sectPr w:rsidR="00D727D3" w:rsidRPr="00D727D3" w:rsidSect="00994547">
          <w:headerReference w:type="default" r:id="rId8"/>
          <w:footerReference w:type="default" r:id="rId9"/>
          <w:endnotePr>
            <w:numFmt w:val="decimal"/>
          </w:endnotePr>
          <w:type w:val="continuous"/>
          <w:pgSz w:w="12240" w:h="15840" w:code="1"/>
          <w:pgMar w:top="1440" w:right="1797" w:bottom="1440" w:left="1797" w:header="709" w:footer="709" w:gutter="0"/>
          <w:pgNumType w:fmt="lowerRoman" w:start="1"/>
          <w:cols w:space="708"/>
          <w:titlePg/>
          <w:docGrid w:linePitch="360"/>
        </w:sectPr>
      </w:pPr>
      <w:r>
        <w:t>Université de Sherbrooke</w:t>
      </w:r>
      <w:r w:rsidR="00D727D3" w:rsidRPr="008B4F57">
        <w:t xml:space="preserve"> </w:t>
      </w:r>
      <w:r w:rsidR="00F3288A">
        <w:t>–</w:t>
      </w:r>
      <w:r w:rsidR="00D727D3" w:rsidRPr="008B4F57">
        <w:t xml:space="preserve"> </w:t>
      </w:r>
      <w:r w:rsidR="00F3288A">
        <w:t>22 février 2023</w:t>
      </w:r>
      <w:r w:rsidR="00D727D3" w:rsidRPr="008B4F57">
        <w:t xml:space="preserve"> </w:t>
      </w:r>
    </w:p>
    <w:p w14:paraId="697CB2F5" w14:textId="74E9E1AF" w:rsidR="001A25E4" w:rsidRPr="0025036D" w:rsidRDefault="001A25E4" w:rsidP="0021560C">
      <w:pPr>
        <w:pStyle w:val="Headingsanstable"/>
      </w:pPr>
      <w:r w:rsidRPr="0025036D">
        <w:lastRenderedPageBreak/>
        <w:t>Table des matières</w:t>
      </w:r>
    </w:p>
    <w:p w14:paraId="43894E36" w14:textId="367BBF57" w:rsidR="001F6183" w:rsidRDefault="00814B0D">
      <w:pPr>
        <w:pStyle w:val="TM1"/>
        <w:tabs>
          <w:tab w:val="left" w:pos="720"/>
        </w:tabs>
        <w:rPr>
          <w:rFonts w:eastAsiaTheme="minorEastAsia" w:cstheme="minorBidi"/>
          <w:b w:val="0"/>
          <w:sz w:val="24"/>
          <w:lang w:eastAsia="fr-CA"/>
        </w:rPr>
      </w:pPr>
      <w:r w:rsidRPr="0025036D">
        <w:fldChar w:fldCharType="begin"/>
      </w:r>
      <w:r w:rsidRPr="0025036D">
        <w:instrText xml:space="preserve"> TOC \o "1-3" \h \z \u </w:instrText>
      </w:r>
      <w:r w:rsidRPr="0025036D">
        <w:fldChar w:fldCharType="separate"/>
      </w:r>
      <w:hyperlink w:anchor="_Toc127874031" w:history="1">
        <w:r w:rsidR="001F6183" w:rsidRPr="00605B11">
          <w:rPr>
            <w:rStyle w:val="Lienhypertexte"/>
          </w:rPr>
          <w:t>1.</w:t>
        </w:r>
        <w:r w:rsidR="001F6183">
          <w:rPr>
            <w:rFonts w:eastAsiaTheme="minorEastAsia" w:cstheme="minorBidi"/>
            <w:b w:val="0"/>
            <w:sz w:val="24"/>
            <w:lang w:eastAsia="fr-CA"/>
          </w:rPr>
          <w:tab/>
        </w:r>
        <w:r w:rsidR="001F6183" w:rsidRPr="00605B11">
          <w:rPr>
            <w:rStyle w:val="Lienhypertexte"/>
          </w:rPr>
          <w:t>Introduction</w:t>
        </w:r>
        <w:r w:rsidR="001F6183">
          <w:rPr>
            <w:webHidden/>
          </w:rPr>
          <w:tab/>
        </w:r>
        <w:r w:rsidR="001F6183">
          <w:rPr>
            <w:webHidden/>
          </w:rPr>
          <w:fldChar w:fldCharType="begin"/>
        </w:r>
        <w:r w:rsidR="001F6183">
          <w:rPr>
            <w:webHidden/>
          </w:rPr>
          <w:instrText xml:space="preserve"> PAGEREF _Toc127874031 \h </w:instrText>
        </w:r>
        <w:r w:rsidR="001F6183">
          <w:rPr>
            <w:webHidden/>
          </w:rPr>
        </w:r>
        <w:r w:rsidR="001F6183">
          <w:rPr>
            <w:webHidden/>
          </w:rPr>
          <w:fldChar w:fldCharType="separate"/>
        </w:r>
        <w:r w:rsidR="00B47C06">
          <w:rPr>
            <w:webHidden/>
          </w:rPr>
          <w:t>1</w:t>
        </w:r>
        <w:r w:rsidR="001F6183">
          <w:rPr>
            <w:webHidden/>
          </w:rPr>
          <w:fldChar w:fldCharType="end"/>
        </w:r>
      </w:hyperlink>
    </w:p>
    <w:p w14:paraId="058A401E" w14:textId="37D29FF5" w:rsidR="001F6183" w:rsidRDefault="00B47C06">
      <w:pPr>
        <w:pStyle w:val="TM1"/>
        <w:tabs>
          <w:tab w:val="left" w:pos="720"/>
        </w:tabs>
        <w:rPr>
          <w:rFonts w:eastAsiaTheme="minorEastAsia" w:cstheme="minorBidi"/>
          <w:b w:val="0"/>
          <w:sz w:val="24"/>
          <w:lang w:eastAsia="fr-CA"/>
        </w:rPr>
      </w:pPr>
      <w:hyperlink w:anchor="_Toc127874032" w:history="1">
        <w:r w:rsidR="001F6183" w:rsidRPr="00605B11">
          <w:rPr>
            <w:rStyle w:val="Lienhypertexte"/>
          </w:rPr>
          <w:t>2.</w:t>
        </w:r>
        <w:r w:rsidR="001F6183">
          <w:rPr>
            <w:rFonts w:eastAsiaTheme="minorEastAsia" w:cstheme="minorBidi"/>
            <w:b w:val="0"/>
            <w:sz w:val="24"/>
            <w:lang w:eastAsia="fr-CA"/>
          </w:rPr>
          <w:tab/>
        </w:r>
        <w:r w:rsidR="001F6183" w:rsidRPr="00605B11">
          <w:rPr>
            <w:rStyle w:val="Lienhypertexte"/>
          </w:rPr>
          <w:t>Objectifs</w:t>
        </w:r>
        <w:r w:rsidR="001F6183">
          <w:rPr>
            <w:webHidden/>
          </w:rPr>
          <w:tab/>
        </w:r>
        <w:r w:rsidR="001F6183">
          <w:rPr>
            <w:webHidden/>
          </w:rPr>
          <w:fldChar w:fldCharType="begin"/>
        </w:r>
        <w:r w:rsidR="001F6183">
          <w:rPr>
            <w:webHidden/>
          </w:rPr>
          <w:instrText xml:space="preserve"> PAGEREF _Toc127874032 \h </w:instrText>
        </w:r>
        <w:r w:rsidR="001F6183">
          <w:rPr>
            <w:webHidden/>
          </w:rPr>
        </w:r>
        <w:r w:rsidR="001F6183">
          <w:rPr>
            <w:webHidden/>
          </w:rPr>
          <w:fldChar w:fldCharType="separate"/>
        </w:r>
        <w:r>
          <w:rPr>
            <w:webHidden/>
          </w:rPr>
          <w:t>1</w:t>
        </w:r>
        <w:r w:rsidR="001F6183">
          <w:rPr>
            <w:webHidden/>
          </w:rPr>
          <w:fldChar w:fldCharType="end"/>
        </w:r>
      </w:hyperlink>
    </w:p>
    <w:p w14:paraId="23CA71DA" w14:textId="4B70213A" w:rsidR="001F6183" w:rsidRDefault="00B47C06">
      <w:pPr>
        <w:pStyle w:val="TM1"/>
        <w:tabs>
          <w:tab w:val="left" w:pos="720"/>
        </w:tabs>
        <w:rPr>
          <w:rFonts w:eastAsiaTheme="minorEastAsia" w:cstheme="minorBidi"/>
          <w:b w:val="0"/>
          <w:sz w:val="24"/>
          <w:lang w:eastAsia="fr-CA"/>
        </w:rPr>
      </w:pPr>
      <w:hyperlink w:anchor="_Toc127874033" w:history="1">
        <w:r w:rsidR="001F6183" w:rsidRPr="00605B11">
          <w:rPr>
            <w:rStyle w:val="Lienhypertexte"/>
          </w:rPr>
          <w:t>3.</w:t>
        </w:r>
        <w:r w:rsidR="001F6183">
          <w:rPr>
            <w:rFonts w:eastAsiaTheme="minorEastAsia" w:cstheme="minorBidi"/>
            <w:b w:val="0"/>
            <w:sz w:val="24"/>
            <w:lang w:eastAsia="fr-CA"/>
          </w:rPr>
          <w:tab/>
        </w:r>
        <w:r w:rsidR="001F6183" w:rsidRPr="00605B11">
          <w:rPr>
            <w:rStyle w:val="Lienhypertexte"/>
          </w:rPr>
          <w:t>Champ d’étude</w:t>
        </w:r>
        <w:r w:rsidR="001F6183">
          <w:rPr>
            <w:webHidden/>
          </w:rPr>
          <w:tab/>
        </w:r>
        <w:r w:rsidR="001F6183">
          <w:rPr>
            <w:webHidden/>
          </w:rPr>
          <w:fldChar w:fldCharType="begin"/>
        </w:r>
        <w:r w:rsidR="001F6183">
          <w:rPr>
            <w:webHidden/>
          </w:rPr>
          <w:instrText xml:space="preserve"> PAGEREF _Toc127874033 \h </w:instrText>
        </w:r>
        <w:r w:rsidR="001F6183">
          <w:rPr>
            <w:webHidden/>
          </w:rPr>
        </w:r>
        <w:r w:rsidR="001F6183">
          <w:rPr>
            <w:webHidden/>
          </w:rPr>
          <w:fldChar w:fldCharType="separate"/>
        </w:r>
        <w:r>
          <w:rPr>
            <w:webHidden/>
          </w:rPr>
          <w:t>1</w:t>
        </w:r>
        <w:r w:rsidR="001F6183">
          <w:rPr>
            <w:webHidden/>
          </w:rPr>
          <w:fldChar w:fldCharType="end"/>
        </w:r>
      </w:hyperlink>
    </w:p>
    <w:p w14:paraId="287E7F74" w14:textId="49022F01" w:rsidR="001F6183" w:rsidRDefault="00B47C06">
      <w:pPr>
        <w:pStyle w:val="TM1"/>
        <w:tabs>
          <w:tab w:val="left" w:pos="720"/>
        </w:tabs>
        <w:rPr>
          <w:rFonts w:eastAsiaTheme="minorEastAsia" w:cstheme="minorBidi"/>
          <w:b w:val="0"/>
          <w:sz w:val="24"/>
          <w:lang w:eastAsia="fr-CA"/>
        </w:rPr>
      </w:pPr>
      <w:hyperlink w:anchor="_Toc127874034" w:history="1">
        <w:r w:rsidR="001F6183" w:rsidRPr="00605B11">
          <w:rPr>
            <w:rStyle w:val="Lienhypertexte"/>
          </w:rPr>
          <w:t>4.</w:t>
        </w:r>
        <w:r w:rsidR="001F6183">
          <w:rPr>
            <w:rFonts w:eastAsiaTheme="minorEastAsia" w:cstheme="minorBidi"/>
            <w:b w:val="0"/>
            <w:sz w:val="24"/>
            <w:lang w:eastAsia="fr-CA"/>
          </w:rPr>
          <w:tab/>
        </w:r>
        <w:r w:rsidR="001F6183" w:rsidRPr="00605B11">
          <w:rPr>
            <w:rStyle w:val="Lienhypertexte"/>
          </w:rPr>
          <w:t>Inventaire</w:t>
        </w:r>
        <w:r w:rsidR="001F6183">
          <w:rPr>
            <w:webHidden/>
          </w:rPr>
          <w:tab/>
        </w:r>
        <w:r w:rsidR="001F6183">
          <w:rPr>
            <w:webHidden/>
          </w:rPr>
          <w:fldChar w:fldCharType="begin"/>
        </w:r>
        <w:r w:rsidR="001F6183">
          <w:rPr>
            <w:webHidden/>
          </w:rPr>
          <w:instrText xml:space="preserve"> PAGEREF _Toc127874034 \h </w:instrText>
        </w:r>
        <w:r w:rsidR="001F6183">
          <w:rPr>
            <w:webHidden/>
          </w:rPr>
        </w:r>
        <w:r w:rsidR="001F6183">
          <w:rPr>
            <w:webHidden/>
          </w:rPr>
          <w:fldChar w:fldCharType="separate"/>
        </w:r>
        <w:r>
          <w:rPr>
            <w:webHidden/>
          </w:rPr>
          <w:t>2</w:t>
        </w:r>
        <w:r w:rsidR="001F6183">
          <w:rPr>
            <w:webHidden/>
          </w:rPr>
          <w:fldChar w:fldCharType="end"/>
        </w:r>
      </w:hyperlink>
    </w:p>
    <w:p w14:paraId="17EC5504" w14:textId="5C06D145" w:rsidR="001F6183" w:rsidRDefault="00B47C06">
      <w:pPr>
        <w:pStyle w:val="TM1"/>
        <w:tabs>
          <w:tab w:val="left" w:pos="720"/>
        </w:tabs>
        <w:rPr>
          <w:rFonts w:eastAsiaTheme="minorEastAsia" w:cstheme="minorBidi"/>
          <w:b w:val="0"/>
          <w:sz w:val="24"/>
          <w:lang w:eastAsia="fr-CA"/>
        </w:rPr>
      </w:pPr>
      <w:hyperlink w:anchor="_Toc127874035" w:history="1">
        <w:r w:rsidR="001F6183" w:rsidRPr="00605B11">
          <w:rPr>
            <w:rStyle w:val="Lienhypertexte"/>
          </w:rPr>
          <w:t>5.</w:t>
        </w:r>
        <w:r w:rsidR="001F6183">
          <w:rPr>
            <w:rFonts w:eastAsiaTheme="minorEastAsia" w:cstheme="minorBidi"/>
            <w:b w:val="0"/>
            <w:sz w:val="24"/>
            <w:lang w:eastAsia="fr-CA"/>
          </w:rPr>
          <w:tab/>
        </w:r>
        <w:r w:rsidR="001F6183" w:rsidRPr="00605B11">
          <w:rPr>
            <w:rStyle w:val="Lienhypertexte"/>
          </w:rPr>
          <w:t>Évaluation des impacts sur le cycle de vie (EICV)</w:t>
        </w:r>
        <w:r w:rsidR="001F6183">
          <w:rPr>
            <w:webHidden/>
          </w:rPr>
          <w:tab/>
        </w:r>
        <w:r w:rsidR="001F6183">
          <w:rPr>
            <w:webHidden/>
          </w:rPr>
          <w:fldChar w:fldCharType="begin"/>
        </w:r>
        <w:r w:rsidR="001F6183">
          <w:rPr>
            <w:webHidden/>
          </w:rPr>
          <w:instrText xml:space="preserve"> PAGEREF _Toc127874035 \h </w:instrText>
        </w:r>
        <w:r w:rsidR="001F6183">
          <w:rPr>
            <w:webHidden/>
          </w:rPr>
        </w:r>
        <w:r w:rsidR="001F6183">
          <w:rPr>
            <w:webHidden/>
          </w:rPr>
          <w:fldChar w:fldCharType="separate"/>
        </w:r>
        <w:r>
          <w:rPr>
            <w:webHidden/>
          </w:rPr>
          <w:t>3</w:t>
        </w:r>
        <w:r w:rsidR="001F6183">
          <w:rPr>
            <w:webHidden/>
          </w:rPr>
          <w:fldChar w:fldCharType="end"/>
        </w:r>
      </w:hyperlink>
    </w:p>
    <w:p w14:paraId="6086460E" w14:textId="1E8B0620" w:rsidR="001F6183" w:rsidRDefault="00B47C06">
      <w:pPr>
        <w:pStyle w:val="TM1"/>
        <w:tabs>
          <w:tab w:val="left" w:pos="720"/>
        </w:tabs>
        <w:rPr>
          <w:rFonts w:eastAsiaTheme="minorEastAsia" w:cstheme="minorBidi"/>
          <w:b w:val="0"/>
          <w:sz w:val="24"/>
          <w:lang w:eastAsia="fr-CA"/>
        </w:rPr>
      </w:pPr>
      <w:hyperlink w:anchor="_Toc127874036" w:history="1">
        <w:r w:rsidR="001F6183" w:rsidRPr="00605B11">
          <w:rPr>
            <w:rStyle w:val="Lienhypertexte"/>
          </w:rPr>
          <w:t>6.</w:t>
        </w:r>
        <w:r w:rsidR="001F6183">
          <w:rPr>
            <w:rFonts w:eastAsiaTheme="minorEastAsia" w:cstheme="minorBidi"/>
            <w:b w:val="0"/>
            <w:sz w:val="24"/>
            <w:lang w:eastAsia="fr-CA"/>
          </w:rPr>
          <w:tab/>
        </w:r>
        <w:r w:rsidR="001F6183" w:rsidRPr="00605B11">
          <w:rPr>
            <w:rStyle w:val="Lienhypertexte"/>
          </w:rPr>
          <w:t>Interprétation</w:t>
        </w:r>
        <w:r w:rsidR="001F6183">
          <w:rPr>
            <w:webHidden/>
          </w:rPr>
          <w:tab/>
        </w:r>
        <w:r w:rsidR="001F6183">
          <w:rPr>
            <w:webHidden/>
          </w:rPr>
          <w:fldChar w:fldCharType="begin"/>
        </w:r>
        <w:r w:rsidR="001F6183">
          <w:rPr>
            <w:webHidden/>
          </w:rPr>
          <w:instrText xml:space="preserve"> PAGEREF _Toc127874036 \h </w:instrText>
        </w:r>
        <w:r w:rsidR="001F6183">
          <w:rPr>
            <w:webHidden/>
          </w:rPr>
        </w:r>
        <w:r w:rsidR="001F6183">
          <w:rPr>
            <w:webHidden/>
          </w:rPr>
          <w:fldChar w:fldCharType="separate"/>
        </w:r>
        <w:r>
          <w:rPr>
            <w:webHidden/>
          </w:rPr>
          <w:t>5</w:t>
        </w:r>
        <w:r w:rsidR="001F6183">
          <w:rPr>
            <w:webHidden/>
          </w:rPr>
          <w:fldChar w:fldCharType="end"/>
        </w:r>
      </w:hyperlink>
    </w:p>
    <w:p w14:paraId="1A3A6B7E" w14:textId="23F23811" w:rsidR="001F6183" w:rsidRDefault="00B47C06">
      <w:pPr>
        <w:pStyle w:val="TM1"/>
        <w:tabs>
          <w:tab w:val="left" w:pos="720"/>
        </w:tabs>
        <w:rPr>
          <w:rFonts w:eastAsiaTheme="minorEastAsia" w:cstheme="minorBidi"/>
          <w:b w:val="0"/>
          <w:sz w:val="24"/>
          <w:lang w:eastAsia="fr-CA"/>
        </w:rPr>
      </w:pPr>
      <w:hyperlink w:anchor="_Toc127874037" w:history="1">
        <w:r w:rsidR="001F6183" w:rsidRPr="00605B11">
          <w:rPr>
            <w:rStyle w:val="Lienhypertexte"/>
          </w:rPr>
          <w:t>7.</w:t>
        </w:r>
        <w:r w:rsidR="001F6183">
          <w:rPr>
            <w:rFonts w:eastAsiaTheme="minorEastAsia" w:cstheme="minorBidi"/>
            <w:b w:val="0"/>
            <w:sz w:val="24"/>
            <w:lang w:eastAsia="fr-CA"/>
          </w:rPr>
          <w:tab/>
        </w:r>
        <w:r w:rsidR="001F6183" w:rsidRPr="00605B11">
          <w:rPr>
            <w:rStyle w:val="Lienhypertexte"/>
          </w:rPr>
          <w:t>Options de sources énergétiques</w:t>
        </w:r>
        <w:r w:rsidR="001F6183">
          <w:rPr>
            <w:webHidden/>
          </w:rPr>
          <w:tab/>
        </w:r>
        <w:r w:rsidR="001F6183">
          <w:rPr>
            <w:webHidden/>
          </w:rPr>
          <w:fldChar w:fldCharType="begin"/>
        </w:r>
        <w:r w:rsidR="001F6183">
          <w:rPr>
            <w:webHidden/>
          </w:rPr>
          <w:instrText xml:space="preserve"> PAGEREF _Toc127874037 \h </w:instrText>
        </w:r>
        <w:r w:rsidR="001F6183">
          <w:rPr>
            <w:webHidden/>
          </w:rPr>
        </w:r>
        <w:r w:rsidR="001F6183">
          <w:rPr>
            <w:webHidden/>
          </w:rPr>
          <w:fldChar w:fldCharType="separate"/>
        </w:r>
        <w:r>
          <w:rPr>
            <w:webHidden/>
          </w:rPr>
          <w:t>6</w:t>
        </w:r>
        <w:r w:rsidR="001F6183">
          <w:rPr>
            <w:webHidden/>
          </w:rPr>
          <w:fldChar w:fldCharType="end"/>
        </w:r>
      </w:hyperlink>
    </w:p>
    <w:p w14:paraId="4E3A8389" w14:textId="079B32D4" w:rsidR="001F6183" w:rsidRDefault="00B47C06">
      <w:pPr>
        <w:pStyle w:val="TM1"/>
        <w:tabs>
          <w:tab w:val="left" w:pos="720"/>
        </w:tabs>
        <w:rPr>
          <w:rFonts w:eastAsiaTheme="minorEastAsia" w:cstheme="minorBidi"/>
          <w:b w:val="0"/>
          <w:sz w:val="24"/>
          <w:lang w:eastAsia="fr-CA"/>
        </w:rPr>
      </w:pPr>
      <w:hyperlink w:anchor="_Toc127874038" w:history="1">
        <w:r w:rsidR="001F6183" w:rsidRPr="00605B11">
          <w:rPr>
            <w:rStyle w:val="Lienhypertexte"/>
          </w:rPr>
          <w:t>8.</w:t>
        </w:r>
        <w:r w:rsidR="001F6183">
          <w:rPr>
            <w:rFonts w:eastAsiaTheme="minorEastAsia" w:cstheme="minorBidi"/>
            <w:b w:val="0"/>
            <w:sz w:val="24"/>
            <w:lang w:eastAsia="fr-CA"/>
          </w:rPr>
          <w:tab/>
        </w:r>
        <w:r w:rsidR="001F6183" w:rsidRPr="00605B11">
          <w:rPr>
            <w:rStyle w:val="Lienhypertexte"/>
          </w:rPr>
          <w:t>Conclusion</w:t>
        </w:r>
        <w:r w:rsidR="001F6183">
          <w:rPr>
            <w:webHidden/>
          </w:rPr>
          <w:tab/>
        </w:r>
        <w:r w:rsidR="001F6183">
          <w:rPr>
            <w:webHidden/>
          </w:rPr>
          <w:fldChar w:fldCharType="begin"/>
        </w:r>
        <w:r w:rsidR="001F6183">
          <w:rPr>
            <w:webHidden/>
          </w:rPr>
          <w:instrText xml:space="preserve"> PAGEREF _Toc127874038 \h </w:instrText>
        </w:r>
        <w:r w:rsidR="001F6183">
          <w:rPr>
            <w:webHidden/>
          </w:rPr>
        </w:r>
        <w:r w:rsidR="001F6183">
          <w:rPr>
            <w:webHidden/>
          </w:rPr>
          <w:fldChar w:fldCharType="separate"/>
        </w:r>
        <w:r>
          <w:rPr>
            <w:webHidden/>
          </w:rPr>
          <w:t>7</w:t>
        </w:r>
        <w:r w:rsidR="001F6183">
          <w:rPr>
            <w:webHidden/>
          </w:rPr>
          <w:fldChar w:fldCharType="end"/>
        </w:r>
      </w:hyperlink>
    </w:p>
    <w:p w14:paraId="35D4F28A" w14:textId="6C51EAAC" w:rsidR="001F6183" w:rsidRDefault="00B47C06">
      <w:pPr>
        <w:pStyle w:val="TM1"/>
        <w:tabs>
          <w:tab w:val="left" w:pos="720"/>
        </w:tabs>
        <w:rPr>
          <w:rFonts w:eastAsiaTheme="minorEastAsia" w:cstheme="minorBidi"/>
          <w:b w:val="0"/>
          <w:sz w:val="24"/>
          <w:lang w:eastAsia="fr-CA"/>
        </w:rPr>
      </w:pPr>
      <w:hyperlink w:anchor="_Toc127874039" w:history="1">
        <w:r w:rsidR="001F6183" w:rsidRPr="00605B11">
          <w:rPr>
            <w:rStyle w:val="Lienhypertexte"/>
          </w:rPr>
          <w:t>9.</w:t>
        </w:r>
        <w:r w:rsidR="001F6183">
          <w:rPr>
            <w:rFonts w:eastAsiaTheme="minorEastAsia" w:cstheme="minorBidi"/>
            <w:b w:val="0"/>
            <w:sz w:val="24"/>
            <w:lang w:eastAsia="fr-CA"/>
          </w:rPr>
          <w:tab/>
        </w:r>
        <w:r w:rsidR="001F6183" w:rsidRPr="00605B11">
          <w:rPr>
            <w:rStyle w:val="Lienhypertexte"/>
          </w:rPr>
          <w:t>Références</w:t>
        </w:r>
        <w:r w:rsidR="001F6183">
          <w:rPr>
            <w:webHidden/>
          </w:rPr>
          <w:tab/>
        </w:r>
        <w:r w:rsidR="001F6183">
          <w:rPr>
            <w:webHidden/>
          </w:rPr>
          <w:fldChar w:fldCharType="begin"/>
        </w:r>
        <w:r w:rsidR="001F6183">
          <w:rPr>
            <w:webHidden/>
          </w:rPr>
          <w:instrText xml:space="preserve"> PAGEREF _Toc127874039 \h </w:instrText>
        </w:r>
        <w:r w:rsidR="001F6183">
          <w:rPr>
            <w:webHidden/>
          </w:rPr>
        </w:r>
        <w:r w:rsidR="001F6183">
          <w:rPr>
            <w:webHidden/>
          </w:rPr>
          <w:fldChar w:fldCharType="separate"/>
        </w:r>
        <w:r>
          <w:rPr>
            <w:webHidden/>
          </w:rPr>
          <w:t>8</w:t>
        </w:r>
        <w:r w:rsidR="001F6183">
          <w:rPr>
            <w:webHidden/>
          </w:rPr>
          <w:fldChar w:fldCharType="end"/>
        </w:r>
      </w:hyperlink>
    </w:p>
    <w:p w14:paraId="456974D2" w14:textId="517B0A4F" w:rsidR="001F6183" w:rsidRDefault="00B47C06">
      <w:pPr>
        <w:pStyle w:val="TM1"/>
        <w:tabs>
          <w:tab w:val="left" w:pos="1440"/>
        </w:tabs>
        <w:rPr>
          <w:rFonts w:eastAsiaTheme="minorEastAsia" w:cstheme="minorBidi"/>
          <w:b w:val="0"/>
          <w:sz w:val="24"/>
          <w:lang w:eastAsia="fr-CA"/>
        </w:rPr>
      </w:pPr>
      <w:hyperlink w:anchor="_Toc127874040" w:history="1">
        <w:r w:rsidR="001F6183" w:rsidRPr="00605B11">
          <w:rPr>
            <w:rStyle w:val="Lienhypertexte"/>
          </w:rPr>
          <w:t>Annexe A</w:t>
        </w:r>
        <w:r w:rsidR="001F6183">
          <w:rPr>
            <w:rFonts w:eastAsiaTheme="minorEastAsia" w:cstheme="minorBidi"/>
            <w:b w:val="0"/>
            <w:sz w:val="24"/>
            <w:lang w:eastAsia="fr-CA"/>
          </w:rPr>
          <w:tab/>
        </w:r>
        <w:r w:rsidR="001F6183" w:rsidRPr="00605B11">
          <w:rPr>
            <w:rStyle w:val="Lienhypertexte"/>
          </w:rPr>
          <w:t>Graphique de comparaison des deux centre de données avec l’électricité provinciale</w:t>
        </w:r>
        <w:r w:rsidR="001F6183">
          <w:rPr>
            <w:webHidden/>
          </w:rPr>
          <w:tab/>
        </w:r>
        <w:r w:rsidR="001F6183">
          <w:rPr>
            <w:webHidden/>
          </w:rPr>
          <w:fldChar w:fldCharType="begin"/>
        </w:r>
        <w:r w:rsidR="001F6183">
          <w:rPr>
            <w:webHidden/>
          </w:rPr>
          <w:instrText xml:space="preserve"> PAGEREF _Toc127874040 \h </w:instrText>
        </w:r>
        <w:r w:rsidR="001F6183">
          <w:rPr>
            <w:webHidden/>
          </w:rPr>
        </w:r>
        <w:r w:rsidR="001F6183">
          <w:rPr>
            <w:webHidden/>
          </w:rPr>
          <w:fldChar w:fldCharType="separate"/>
        </w:r>
        <w:r>
          <w:rPr>
            <w:webHidden/>
          </w:rPr>
          <w:t>9</w:t>
        </w:r>
        <w:r w:rsidR="001F6183">
          <w:rPr>
            <w:webHidden/>
          </w:rPr>
          <w:fldChar w:fldCharType="end"/>
        </w:r>
      </w:hyperlink>
    </w:p>
    <w:p w14:paraId="79B36A36" w14:textId="666F44B0" w:rsidR="001F6183" w:rsidRDefault="00B47C06">
      <w:pPr>
        <w:pStyle w:val="TM1"/>
        <w:tabs>
          <w:tab w:val="left" w:pos="1440"/>
        </w:tabs>
        <w:rPr>
          <w:rFonts w:eastAsiaTheme="minorEastAsia" w:cstheme="minorBidi"/>
          <w:b w:val="0"/>
          <w:sz w:val="24"/>
          <w:lang w:eastAsia="fr-CA"/>
        </w:rPr>
      </w:pPr>
      <w:hyperlink w:anchor="_Toc127874041" w:history="1">
        <w:r w:rsidR="001F6183" w:rsidRPr="00605B11">
          <w:rPr>
            <w:rStyle w:val="Lienhypertexte"/>
          </w:rPr>
          <w:t>Annexe B</w:t>
        </w:r>
        <w:r w:rsidR="001F6183">
          <w:rPr>
            <w:rFonts w:eastAsiaTheme="minorEastAsia" w:cstheme="minorBidi"/>
            <w:b w:val="0"/>
            <w:sz w:val="24"/>
            <w:lang w:eastAsia="fr-CA"/>
          </w:rPr>
          <w:tab/>
        </w:r>
        <w:r w:rsidR="001F6183" w:rsidRPr="00605B11">
          <w:rPr>
            <w:rStyle w:val="Lienhypertexte"/>
          </w:rPr>
          <w:t>Graphique des pollutions des gaz à effets de serre</w:t>
        </w:r>
        <w:r w:rsidR="001F6183">
          <w:rPr>
            <w:webHidden/>
          </w:rPr>
          <w:tab/>
        </w:r>
        <w:r w:rsidR="001F6183">
          <w:rPr>
            <w:webHidden/>
          </w:rPr>
          <w:fldChar w:fldCharType="begin"/>
        </w:r>
        <w:r w:rsidR="001F6183">
          <w:rPr>
            <w:webHidden/>
          </w:rPr>
          <w:instrText xml:space="preserve"> PAGEREF _Toc127874041 \h </w:instrText>
        </w:r>
        <w:r w:rsidR="001F6183">
          <w:rPr>
            <w:webHidden/>
          </w:rPr>
        </w:r>
        <w:r w:rsidR="001F6183">
          <w:rPr>
            <w:webHidden/>
          </w:rPr>
          <w:fldChar w:fldCharType="separate"/>
        </w:r>
        <w:r>
          <w:rPr>
            <w:webHidden/>
          </w:rPr>
          <w:t>10</w:t>
        </w:r>
        <w:r w:rsidR="001F6183">
          <w:rPr>
            <w:webHidden/>
          </w:rPr>
          <w:fldChar w:fldCharType="end"/>
        </w:r>
      </w:hyperlink>
    </w:p>
    <w:p w14:paraId="72FE9638" w14:textId="1A5C725D" w:rsidR="001F6183" w:rsidRDefault="00B47C06">
      <w:pPr>
        <w:pStyle w:val="TM1"/>
        <w:tabs>
          <w:tab w:val="left" w:pos="1440"/>
        </w:tabs>
        <w:rPr>
          <w:rFonts w:eastAsiaTheme="minorEastAsia" w:cstheme="minorBidi"/>
          <w:b w:val="0"/>
          <w:sz w:val="24"/>
          <w:lang w:eastAsia="fr-CA"/>
        </w:rPr>
      </w:pPr>
      <w:hyperlink w:anchor="_Toc127874042" w:history="1">
        <w:r w:rsidR="001F6183" w:rsidRPr="00605B11">
          <w:rPr>
            <w:rStyle w:val="Lienhypertexte"/>
          </w:rPr>
          <w:t>Annexe C</w:t>
        </w:r>
        <w:r w:rsidR="001F6183">
          <w:rPr>
            <w:rFonts w:eastAsiaTheme="minorEastAsia" w:cstheme="minorBidi"/>
            <w:b w:val="0"/>
            <w:sz w:val="24"/>
            <w:lang w:eastAsia="fr-CA"/>
          </w:rPr>
          <w:tab/>
        </w:r>
        <w:r w:rsidR="001F6183" w:rsidRPr="00605B11">
          <w:rPr>
            <w:rStyle w:val="Lienhypertexte"/>
          </w:rPr>
          <w:t>Graphique incluant tous les possibilités de source d’énergie pour chaque centre de donnée</w:t>
        </w:r>
        <w:r w:rsidR="001F6183">
          <w:rPr>
            <w:webHidden/>
          </w:rPr>
          <w:tab/>
        </w:r>
        <w:r w:rsidR="001F6183">
          <w:rPr>
            <w:webHidden/>
          </w:rPr>
          <w:fldChar w:fldCharType="begin"/>
        </w:r>
        <w:r w:rsidR="001F6183">
          <w:rPr>
            <w:webHidden/>
          </w:rPr>
          <w:instrText xml:space="preserve"> PAGEREF _Toc127874042 \h </w:instrText>
        </w:r>
        <w:r w:rsidR="001F6183">
          <w:rPr>
            <w:webHidden/>
          </w:rPr>
        </w:r>
        <w:r w:rsidR="001F6183">
          <w:rPr>
            <w:webHidden/>
          </w:rPr>
          <w:fldChar w:fldCharType="separate"/>
        </w:r>
        <w:r>
          <w:rPr>
            <w:webHidden/>
          </w:rPr>
          <w:t>11</w:t>
        </w:r>
        <w:r w:rsidR="001F6183">
          <w:rPr>
            <w:webHidden/>
          </w:rPr>
          <w:fldChar w:fldCharType="end"/>
        </w:r>
      </w:hyperlink>
    </w:p>
    <w:p w14:paraId="0E693383" w14:textId="2BD5E53F" w:rsidR="001F1650" w:rsidRDefault="00814B0D" w:rsidP="0021560C">
      <w:pPr>
        <w:pStyle w:val="Titre1"/>
        <w:numPr>
          <w:ilvl w:val="0"/>
          <w:numId w:val="0"/>
        </w:numPr>
        <w:rPr>
          <w:b w:val="0"/>
          <w:smallCaps w:val="0"/>
        </w:rPr>
      </w:pPr>
      <w:r w:rsidRPr="0025036D">
        <w:fldChar w:fldCharType="end"/>
      </w:r>
      <w:r w:rsidR="001F1650">
        <w:br w:type="page"/>
      </w:r>
    </w:p>
    <w:p w14:paraId="07C3FD6E" w14:textId="273A9B6C" w:rsidR="001A25E4" w:rsidRPr="0025036D" w:rsidRDefault="004245AE" w:rsidP="0021560C">
      <w:pPr>
        <w:pStyle w:val="Headingsanstable"/>
      </w:pPr>
      <w:r w:rsidRPr="0025036D">
        <w:lastRenderedPageBreak/>
        <w:t>Liste des figures</w:t>
      </w:r>
    </w:p>
    <w:p w14:paraId="7F74C1CE" w14:textId="57FCD5A4" w:rsidR="001F6183" w:rsidRDefault="004245AE">
      <w:pPr>
        <w:pStyle w:val="Tabledesillustrations"/>
        <w:rPr>
          <w:rFonts w:eastAsiaTheme="minorEastAsia" w:cstheme="minorBidi"/>
          <w:sz w:val="24"/>
          <w:lang w:eastAsia="fr-CA"/>
        </w:rPr>
      </w:pPr>
      <w:r w:rsidRPr="0025036D">
        <w:fldChar w:fldCharType="begin"/>
      </w:r>
      <w:r w:rsidRPr="0025036D">
        <w:instrText xml:space="preserve"> TOC \h \z \c "Figure" </w:instrText>
      </w:r>
      <w:r w:rsidRPr="0025036D">
        <w:fldChar w:fldCharType="separate"/>
      </w:r>
      <w:hyperlink w:anchor="_Toc127874043" w:history="1">
        <w:r w:rsidR="001F6183" w:rsidRPr="003D404C">
          <w:rPr>
            <w:rStyle w:val="Lienhypertexte"/>
          </w:rPr>
          <w:t>Figure 1 : Graphique de comparaison des centre de données sur électricité provinciale</w:t>
        </w:r>
        <w:r w:rsidR="001F6183">
          <w:rPr>
            <w:webHidden/>
          </w:rPr>
          <w:tab/>
        </w:r>
        <w:r w:rsidR="001F6183">
          <w:rPr>
            <w:webHidden/>
          </w:rPr>
          <w:fldChar w:fldCharType="begin"/>
        </w:r>
        <w:r w:rsidR="001F6183">
          <w:rPr>
            <w:webHidden/>
          </w:rPr>
          <w:instrText xml:space="preserve"> PAGEREF _Toc127874043 \h </w:instrText>
        </w:r>
        <w:r w:rsidR="001F6183">
          <w:rPr>
            <w:webHidden/>
          </w:rPr>
        </w:r>
        <w:r w:rsidR="001F6183">
          <w:rPr>
            <w:webHidden/>
          </w:rPr>
          <w:fldChar w:fldCharType="separate"/>
        </w:r>
        <w:r w:rsidR="00B47C06">
          <w:rPr>
            <w:webHidden/>
          </w:rPr>
          <w:t>9</w:t>
        </w:r>
        <w:r w:rsidR="001F6183">
          <w:rPr>
            <w:webHidden/>
          </w:rPr>
          <w:fldChar w:fldCharType="end"/>
        </w:r>
      </w:hyperlink>
    </w:p>
    <w:p w14:paraId="3D3BF0E0" w14:textId="342E1C6D" w:rsidR="001F6183" w:rsidRDefault="00B47C06">
      <w:pPr>
        <w:pStyle w:val="Tabledesillustrations"/>
        <w:rPr>
          <w:rFonts w:eastAsiaTheme="minorEastAsia" w:cstheme="minorBidi"/>
          <w:sz w:val="24"/>
          <w:lang w:eastAsia="fr-CA"/>
        </w:rPr>
      </w:pPr>
      <w:hyperlink w:anchor="_Toc127874044" w:history="1">
        <w:r w:rsidR="001F6183" w:rsidRPr="003D404C">
          <w:rPr>
            <w:rStyle w:val="Lienhypertexte"/>
          </w:rPr>
          <w:t>Figure 2 : Graphique de pollution GES pour le Québec</w:t>
        </w:r>
        <w:r w:rsidR="001F6183">
          <w:rPr>
            <w:webHidden/>
          </w:rPr>
          <w:tab/>
        </w:r>
        <w:r w:rsidR="001F6183">
          <w:rPr>
            <w:webHidden/>
          </w:rPr>
          <w:fldChar w:fldCharType="begin"/>
        </w:r>
        <w:r w:rsidR="001F6183">
          <w:rPr>
            <w:webHidden/>
          </w:rPr>
          <w:instrText xml:space="preserve"> PAGEREF _Toc127874044 \h </w:instrText>
        </w:r>
        <w:r w:rsidR="001F6183">
          <w:rPr>
            <w:webHidden/>
          </w:rPr>
        </w:r>
        <w:r w:rsidR="001F6183">
          <w:rPr>
            <w:webHidden/>
          </w:rPr>
          <w:fldChar w:fldCharType="separate"/>
        </w:r>
        <w:r>
          <w:rPr>
            <w:webHidden/>
          </w:rPr>
          <w:t>10</w:t>
        </w:r>
        <w:r w:rsidR="001F6183">
          <w:rPr>
            <w:webHidden/>
          </w:rPr>
          <w:fldChar w:fldCharType="end"/>
        </w:r>
      </w:hyperlink>
    </w:p>
    <w:p w14:paraId="3F9490B9" w14:textId="2ED41D68" w:rsidR="001F6183" w:rsidRDefault="00B47C06">
      <w:pPr>
        <w:pStyle w:val="Tabledesillustrations"/>
        <w:rPr>
          <w:rFonts w:eastAsiaTheme="minorEastAsia" w:cstheme="minorBidi"/>
          <w:sz w:val="24"/>
          <w:lang w:eastAsia="fr-CA"/>
        </w:rPr>
      </w:pPr>
      <w:hyperlink w:anchor="_Toc127874045" w:history="1">
        <w:r w:rsidR="001F6183" w:rsidRPr="003D404C">
          <w:rPr>
            <w:rStyle w:val="Lienhypertexte"/>
          </w:rPr>
          <w:t>Figure 3 : Graphique de pollution GES pour l'Alberta</w:t>
        </w:r>
        <w:r w:rsidR="001F6183">
          <w:rPr>
            <w:webHidden/>
          </w:rPr>
          <w:tab/>
        </w:r>
        <w:r w:rsidR="001F6183">
          <w:rPr>
            <w:webHidden/>
          </w:rPr>
          <w:fldChar w:fldCharType="begin"/>
        </w:r>
        <w:r w:rsidR="001F6183">
          <w:rPr>
            <w:webHidden/>
          </w:rPr>
          <w:instrText xml:space="preserve"> PAGEREF _Toc127874045 \h </w:instrText>
        </w:r>
        <w:r w:rsidR="001F6183">
          <w:rPr>
            <w:webHidden/>
          </w:rPr>
        </w:r>
        <w:r w:rsidR="001F6183">
          <w:rPr>
            <w:webHidden/>
          </w:rPr>
          <w:fldChar w:fldCharType="separate"/>
        </w:r>
        <w:r>
          <w:rPr>
            <w:webHidden/>
          </w:rPr>
          <w:t>10</w:t>
        </w:r>
        <w:r w:rsidR="001F6183">
          <w:rPr>
            <w:webHidden/>
          </w:rPr>
          <w:fldChar w:fldCharType="end"/>
        </w:r>
      </w:hyperlink>
    </w:p>
    <w:p w14:paraId="4180F0C2" w14:textId="2BD2F55C" w:rsidR="001F6183" w:rsidRDefault="00B47C06">
      <w:pPr>
        <w:pStyle w:val="Tabledesillustrations"/>
        <w:rPr>
          <w:rFonts w:eastAsiaTheme="minorEastAsia" w:cstheme="minorBidi"/>
          <w:sz w:val="24"/>
          <w:lang w:eastAsia="fr-CA"/>
        </w:rPr>
      </w:pPr>
      <w:hyperlink w:anchor="_Toc127874046" w:history="1">
        <w:r w:rsidR="001F6183" w:rsidRPr="003D404C">
          <w:rPr>
            <w:rStyle w:val="Lienhypertexte"/>
          </w:rPr>
          <w:t>Figure 4 : Graphique de comparaison finale</w:t>
        </w:r>
        <w:r w:rsidR="001F6183">
          <w:rPr>
            <w:webHidden/>
          </w:rPr>
          <w:tab/>
        </w:r>
        <w:r w:rsidR="001F6183">
          <w:rPr>
            <w:webHidden/>
          </w:rPr>
          <w:fldChar w:fldCharType="begin"/>
        </w:r>
        <w:r w:rsidR="001F6183">
          <w:rPr>
            <w:webHidden/>
          </w:rPr>
          <w:instrText xml:space="preserve"> PAGEREF _Toc127874046 \h </w:instrText>
        </w:r>
        <w:r w:rsidR="001F6183">
          <w:rPr>
            <w:webHidden/>
          </w:rPr>
        </w:r>
        <w:r w:rsidR="001F6183">
          <w:rPr>
            <w:webHidden/>
          </w:rPr>
          <w:fldChar w:fldCharType="separate"/>
        </w:r>
        <w:r>
          <w:rPr>
            <w:webHidden/>
          </w:rPr>
          <w:t>11</w:t>
        </w:r>
        <w:r w:rsidR="001F6183">
          <w:rPr>
            <w:webHidden/>
          </w:rPr>
          <w:fldChar w:fldCharType="end"/>
        </w:r>
      </w:hyperlink>
    </w:p>
    <w:p w14:paraId="09F73E07" w14:textId="0AA11D5E" w:rsidR="00C6272B" w:rsidRPr="0025036D" w:rsidRDefault="004245AE" w:rsidP="00E62234">
      <w:pPr>
        <w:spacing w:after="0"/>
        <w:jc w:val="left"/>
      </w:pPr>
      <w:r w:rsidRPr="0025036D">
        <w:fldChar w:fldCharType="end"/>
      </w:r>
    </w:p>
    <w:p w14:paraId="6D1347F7" w14:textId="77777777" w:rsidR="004245AE" w:rsidRPr="0025036D" w:rsidRDefault="004245AE" w:rsidP="0021560C">
      <w:pPr>
        <w:pStyle w:val="Headingsanstable"/>
      </w:pPr>
      <w:r w:rsidRPr="0025036D">
        <w:t>Liste des table</w:t>
      </w:r>
      <w:r w:rsidR="00B03618" w:rsidRPr="0025036D">
        <w:t>aux</w:t>
      </w:r>
    </w:p>
    <w:p w14:paraId="31C96835" w14:textId="59AD5931" w:rsidR="001F6183" w:rsidRDefault="001317C1">
      <w:pPr>
        <w:pStyle w:val="Tabledesillustrations"/>
        <w:rPr>
          <w:rFonts w:eastAsiaTheme="minorEastAsia" w:cstheme="minorBidi"/>
          <w:sz w:val="24"/>
          <w:lang w:eastAsia="fr-CA"/>
        </w:rPr>
      </w:pPr>
      <w:r w:rsidRPr="0025036D">
        <w:fldChar w:fldCharType="begin"/>
      </w:r>
      <w:r w:rsidRPr="0025036D">
        <w:instrText xml:space="preserve"> TOC \h \z \c "Tableau" </w:instrText>
      </w:r>
      <w:r w:rsidRPr="0025036D">
        <w:fldChar w:fldCharType="separate"/>
      </w:r>
      <w:hyperlink w:anchor="_Toc127874047" w:history="1">
        <w:r w:rsidR="001F6183" w:rsidRPr="004E30CE">
          <w:rPr>
            <w:rStyle w:val="Lienhypertexte"/>
          </w:rPr>
          <w:t>Tableau 1 : Tableau des dommages pour les deux scénarios</w:t>
        </w:r>
        <w:r w:rsidR="001F6183">
          <w:rPr>
            <w:webHidden/>
          </w:rPr>
          <w:tab/>
        </w:r>
        <w:r w:rsidR="001F6183">
          <w:rPr>
            <w:webHidden/>
          </w:rPr>
          <w:fldChar w:fldCharType="begin"/>
        </w:r>
        <w:r w:rsidR="001F6183">
          <w:rPr>
            <w:webHidden/>
          </w:rPr>
          <w:instrText xml:space="preserve"> PAGEREF _Toc127874047 \h </w:instrText>
        </w:r>
        <w:r w:rsidR="001F6183">
          <w:rPr>
            <w:webHidden/>
          </w:rPr>
        </w:r>
        <w:r w:rsidR="001F6183">
          <w:rPr>
            <w:webHidden/>
          </w:rPr>
          <w:fldChar w:fldCharType="separate"/>
        </w:r>
        <w:r w:rsidR="00B47C06">
          <w:rPr>
            <w:webHidden/>
          </w:rPr>
          <w:t>4</w:t>
        </w:r>
        <w:r w:rsidR="001F6183">
          <w:rPr>
            <w:webHidden/>
          </w:rPr>
          <w:fldChar w:fldCharType="end"/>
        </w:r>
      </w:hyperlink>
    </w:p>
    <w:p w14:paraId="16AF90B3" w14:textId="3F1A8A83" w:rsidR="001F6183" w:rsidRDefault="00B47C06">
      <w:pPr>
        <w:pStyle w:val="Tabledesillustrations"/>
        <w:rPr>
          <w:rFonts w:eastAsiaTheme="minorEastAsia" w:cstheme="minorBidi"/>
          <w:sz w:val="24"/>
          <w:lang w:eastAsia="fr-CA"/>
        </w:rPr>
      </w:pPr>
      <w:hyperlink w:anchor="_Toc127874048" w:history="1">
        <w:r w:rsidR="001F6183" w:rsidRPr="004E30CE">
          <w:rPr>
            <w:rStyle w:val="Lienhypertexte"/>
          </w:rPr>
          <w:t>Tableau 2 : Tableau des dommages pour les deux scénarios en %</w:t>
        </w:r>
        <w:r w:rsidR="001F6183">
          <w:rPr>
            <w:webHidden/>
          </w:rPr>
          <w:tab/>
        </w:r>
        <w:r w:rsidR="001F6183">
          <w:rPr>
            <w:webHidden/>
          </w:rPr>
          <w:fldChar w:fldCharType="begin"/>
        </w:r>
        <w:r w:rsidR="001F6183">
          <w:rPr>
            <w:webHidden/>
          </w:rPr>
          <w:instrText xml:space="preserve"> PAGEREF _Toc127874048 \h </w:instrText>
        </w:r>
        <w:r w:rsidR="001F6183">
          <w:rPr>
            <w:webHidden/>
          </w:rPr>
        </w:r>
        <w:r w:rsidR="001F6183">
          <w:rPr>
            <w:webHidden/>
          </w:rPr>
          <w:fldChar w:fldCharType="separate"/>
        </w:r>
        <w:r>
          <w:rPr>
            <w:webHidden/>
          </w:rPr>
          <w:t>5</w:t>
        </w:r>
        <w:r w:rsidR="001F6183">
          <w:rPr>
            <w:webHidden/>
          </w:rPr>
          <w:fldChar w:fldCharType="end"/>
        </w:r>
      </w:hyperlink>
    </w:p>
    <w:p w14:paraId="5BF130EB" w14:textId="684ED587" w:rsidR="00923BDE" w:rsidRPr="000941A2" w:rsidRDefault="001317C1" w:rsidP="000941A2">
      <w:r w:rsidRPr="0025036D">
        <w:fldChar w:fldCharType="end"/>
      </w:r>
      <w:bookmarkStart w:id="0" w:name="_Toc290389073"/>
      <w:bookmarkStart w:id="1" w:name="Lexique"/>
    </w:p>
    <w:p w14:paraId="780D2F02" w14:textId="77777777" w:rsidR="001F1650" w:rsidRDefault="001F1650">
      <w:pPr>
        <w:spacing w:after="0" w:line="240" w:lineRule="auto"/>
        <w:jc w:val="left"/>
        <w:rPr>
          <w:rFonts w:asciiTheme="majorHAnsi" w:eastAsiaTheme="majorEastAsia" w:hAnsiTheme="majorHAnsi"/>
          <w:b/>
          <w:smallCaps/>
          <w:snapToGrid w:val="0"/>
          <w:color w:val="000000"/>
          <w:w w:val="0"/>
          <w:sz w:val="40"/>
          <w:szCs w:val="40"/>
          <w:u w:color="000000"/>
          <w:lang w:eastAsia="fr-CA"/>
        </w:rPr>
      </w:pPr>
      <w:r>
        <w:br w:type="page"/>
      </w:r>
    </w:p>
    <w:bookmarkEnd w:id="0"/>
    <w:bookmarkEnd w:id="1"/>
    <w:p w14:paraId="07415B1C" w14:textId="77777777" w:rsidR="00923BDE" w:rsidRDefault="00923BDE" w:rsidP="00C6272B">
      <w:pPr>
        <w:rPr>
          <w:lang w:val="en-CA"/>
        </w:rPr>
        <w:sectPr w:rsidR="00923BDE" w:rsidSect="00923BDE">
          <w:headerReference w:type="default" r:id="rId10"/>
          <w:endnotePr>
            <w:numFmt w:val="decimal"/>
          </w:endnotePr>
          <w:type w:val="continuous"/>
          <w:pgSz w:w="12240" w:h="15840" w:code="1"/>
          <w:pgMar w:top="1440" w:right="1797" w:bottom="1440" w:left="1797" w:header="708" w:footer="708" w:gutter="0"/>
          <w:pgNumType w:fmt="lowerRoman" w:start="1"/>
          <w:cols w:space="708"/>
          <w:docGrid w:linePitch="360"/>
        </w:sectPr>
      </w:pPr>
    </w:p>
    <w:p w14:paraId="46FCE789" w14:textId="0F0D9A7E" w:rsidR="00741309" w:rsidRDefault="00D2001C" w:rsidP="00915FA9">
      <w:pPr>
        <w:pStyle w:val="Titre1"/>
      </w:pPr>
      <w:bookmarkStart w:id="2" w:name="_Toc398020578"/>
      <w:bookmarkStart w:id="3" w:name="_Toc127806197"/>
      <w:bookmarkStart w:id="4" w:name="_Toc127874031"/>
      <w:r w:rsidRPr="00270D45">
        <w:lastRenderedPageBreak/>
        <w:t>Introduction</w:t>
      </w:r>
      <w:bookmarkEnd w:id="2"/>
      <w:bookmarkEnd w:id="3"/>
      <w:bookmarkEnd w:id="4"/>
    </w:p>
    <w:p w14:paraId="66360921" w14:textId="494C145A" w:rsidR="00D17375" w:rsidRPr="00D17375" w:rsidRDefault="00085ED5" w:rsidP="00D17375">
      <w:pPr>
        <w:rPr>
          <w:lang w:eastAsia="fr-CA"/>
        </w:rPr>
      </w:pPr>
      <w:r>
        <w:rPr>
          <w:lang w:eastAsia="fr-CA"/>
        </w:rPr>
        <w:tab/>
        <w:t xml:space="preserve">Une entreprise </w:t>
      </w:r>
      <w:r w:rsidR="00983264">
        <w:rPr>
          <w:lang w:eastAsia="fr-CA"/>
        </w:rPr>
        <w:t>veut entreprendre la co</w:t>
      </w:r>
      <w:r w:rsidR="00C235E6">
        <w:rPr>
          <w:lang w:eastAsia="fr-CA"/>
        </w:rPr>
        <w:t>n</w:t>
      </w:r>
      <w:r w:rsidR="00983264">
        <w:rPr>
          <w:lang w:eastAsia="fr-CA"/>
        </w:rPr>
        <w:t>struction d’</w:t>
      </w:r>
      <w:r>
        <w:rPr>
          <w:lang w:eastAsia="fr-CA"/>
        </w:rPr>
        <w:t xml:space="preserve">un nouveau centre de stockage </w:t>
      </w:r>
      <w:r w:rsidR="00B41904">
        <w:rPr>
          <w:lang w:eastAsia="fr-CA"/>
        </w:rPr>
        <w:t xml:space="preserve">de données informatique. Cependant, cette entreprise aimerait </w:t>
      </w:r>
      <w:r w:rsidR="00781F67">
        <w:rPr>
          <w:lang w:eastAsia="fr-CA"/>
        </w:rPr>
        <w:t>trouver</w:t>
      </w:r>
      <w:r w:rsidR="00B41904">
        <w:rPr>
          <w:lang w:eastAsia="fr-CA"/>
        </w:rPr>
        <w:t xml:space="preserve"> une façon d’être le plus écologique possible dans la création de leur</w:t>
      </w:r>
      <w:r w:rsidR="0065311D">
        <w:rPr>
          <w:lang w:eastAsia="fr-CA"/>
        </w:rPr>
        <w:t xml:space="preserve"> expansion. La compagnie </w:t>
      </w:r>
      <w:r w:rsidR="00781F67">
        <w:rPr>
          <w:lang w:eastAsia="fr-CA"/>
        </w:rPr>
        <w:t>se questionne sur l’emplacement ainsi que sur la source d’énergie à être utilis</w:t>
      </w:r>
      <w:r w:rsidR="00F207DF">
        <w:rPr>
          <w:lang w:eastAsia="fr-CA"/>
        </w:rPr>
        <w:t>ée</w:t>
      </w:r>
      <w:r w:rsidR="00781F67">
        <w:rPr>
          <w:lang w:eastAsia="fr-CA"/>
        </w:rPr>
        <w:t xml:space="preserve"> pour leur nouveau complexe de stockage. Pour l’emplacement la compagnie hésite entre le Québec et l’Alberta. De plus, pour les sources d’énergie</w:t>
      </w:r>
      <w:r w:rsidR="00511683">
        <w:rPr>
          <w:lang w:eastAsia="fr-CA"/>
        </w:rPr>
        <w:t>,</w:t>
      </w:r>
      <w:r w:rsidR="00781F67">
        <w:rPr>
          <w:lang w:eastAsia="fr-CA"/>
        </w:rPr>
        <w:t xml:space="preserve"> l’entreprise se questionne sur trois sources et aimerait </w:t>
      </w:r>
      <w:r w:rsidR="00B37DDF">
        <w:rPr>
          <w:lang w:eastAsia="fr-CA"/>
        </w:rPr>
        <w:t>opter pour la</w:t>
      </w:r>
      <w:r w:rsidR="00781F67">
        <w:rPr>
          <w:lang w:eastAsia="fr-CA"/>
        </w:rPr>
        <w:t xml:space="preserve"> plus écologique des trois. Ils hésitent entre </w:t>
      </w:r>
      <w:r w:rsidR="000635E1">
        <w:rPr>
          <w:lang w:eastAsia="fr-CA"/>
        </w:rPr>
        <w:t xml:space="preserve">le réseau déjà installé dans </w:t>
      </w:r>
      <w:r w:rsidR="00562F67">
        <w:rPr>
          <w:lang w:eastAsia="fr-CA"/>
        </w:rPr>
        <w:t>les lieux</w:t>
      </w:r>
      <w:r w:rsidR="000635E1">
        <w:rPr>
          <w:lang w:eastAsia="fr-CA"/>
        </w:rPr>
        <w:t xml:space="preserve"> (Hydro-Québec ou </w:t>
      </w:r>
      <w:r w:rsidR="00932831">
        <w:rPr>
          <w:lang w:eastAsia="fr-CA"/>
        </w:rPr>
        <w:t xml:space="preserve">Alberta </w:t>
      </w:r>
      <w:r w:rsidR="00562F67">
        <w:rPr>
          <w:lang w:eastAsia="fr-CA"/>
        </w:rPr>
        <w:t xml:space="preserve">Electric System </w:t>
      </w:r>
      <w:proofErr w:type="spellStart"/>
      <w:r w:rsidR="00562F67">
        <w:rPr>
          <w:lang w:eastAsia="fr-CA"/>
        </w:rPr>
        <w:t>Operator</w:t>
      </w:r>
      <w:proofErr w:type="spellEnd"/>
      <w:sdt>
        <w:sdtPr>
          <w:rPr>
            <w:lang w:eastAsia="fr-CA"/>
          </w:rPr>
          <w:id w:val="-1759593921"/>
          <w:citation/>
        </w:sdtPr>
        <w:sdtContent>
          <w:r w:rsidR="00562F67">
            <w:rPr>
              <w:lang w:eastAsia="fr-CA"/>
            </w:rPr>
            <w:fldChar w:fldCharType="begin"/>
          </w:r>
          <w:r w:rsidR="00562F67">
            <w:rPr>
              <w:lang w:eastAsia="fr-CA"/>
            </w:rPr>
            <w:instrText xml:space="preserve"> CITATION Alb23 \l 3084 </w:instrText>
          </w:r>
          <w:r w:rsidR="00562F67">
            <w:rPr>
              <w:lang w:eastAsia="fr-CA"/>
            </w:rPr>
            <w:fldChar w:fldCharType="separate"/>
          </w:r>
          <w:r w:rsidR="006D5238">
            <w:rPr>
              <w:noProof/>
              <w:lang w:eastAsia="fr-CA"/>
            </w:rPr>
            <w:t xml:space="preserve"> [1]</w:t>
          </w:r>
          <w:r w:rsidR="00562F67">
            <w:rPr>
              <w:lang w:eastAsia="fr-CA"/>
            </w:rPr>
            <w:fldChar w:fldCharType="end"/>
          </w:r>
        </w:sdtContent>
      </w:sdt>
      <w:r w:rsidR="00562F67">
        <w:rPr>
          <w:lang w:eastAsia="fr-CA"/>
        </w:rPr>
        <w:t xml:space="preserve"> (AESO)), </w:t>
      </w:r>
      <w:r w:rsidR="00756A72">
        <w:rPr>
          <w:lang w:eastAsia="fr-CA"/>
        </w:rPr>
        <w:t xml:space="preserve">l’énergie éolien grâce à </w:t>
      </w:r>
      <w:r w:rsidR="00F93C6C">
        <w:rPr>
          <w:lang w:eastAsia="fr-CA"/>
        </w:rPr>
        <w:t>une éolienne de 2MW ou finalement</w:t>
      </w:r>
      <w:r w:rsidR="00756A72">
        <w:rPr>
          <w:lang w:eastAsia="fr-CA"/>
        </w:rPr>
        <w:t xml:space="preserve"> l’énergie solaire grâce à</w:t>
      </w:r>
      <w:r w:rsidR="00F93C6C">
        <w:rPr>
          <w:lang w:eastAsia="fr-CA"/>
        </w:rPr>
        <w:t xml:space="preserve"> des panneaux solaire </w:t>
      </w:r>
      <w:r w:rsidR="00756A72">
        <w:rPr>
          <w:lang w:eastAsia="fr-CA"/>
        </w:rPr>
        <w:t xml:space="preserve">polycristallin. Dans cette étude, les trois seront </w:t>
      </w:r>
      <w:r w:rsidR="007820A6">
        <w:rPr>
          <w:lang w:eastAsia="fr-CA"/>
        </w:rPr>
        <w:t>analysés</w:t>
      </w:r>
      <w:r w:rsidR="00756A72">
        <w:rPr>
          <w:lang w:eastAsia="fr-CA"/>
        </w:rPr>
        <w:t xml:space="preserve"> et l’option la plus écoresponsable sera présent</w:t>
      </w:r>
      <w:r w:rsidR="00D94308">
        <w:rPr>
          <w:lang w:eastAsia="fr-CA"/>
        </w:rPr>
        <w:t>ée</w:t>
      </w:r>
      <w:r w:rsidR="00756A72">
        <w:rPr>
          <w:lang w:eastAsia="fr-CA"/>
        </w:rPr>
        <w:t xml:space="preserve"> avec </w:t>
      </w:r>
      <w:r w:rsidR="007820A6">
        <w:rPr>
          <w:lang w:eastAsia="fr-CA"/>
        </w:rPr>
        <w:t>les chiffres</w:t>
      </w:r>
      <w:r w:rsidR="00756A72">
        <w:rPr>
          <w:lang w:eastAsia="fr-CA"/>
        </w:rPr>
        <w:t xml:space="preserve"> pour le prouver. </w:t>
      </w:r>
    </w:p>
    <w:p w14:paraId="348D0ACD" w14:textId="1A7626DA" w:rsidR="003F143D" w:rsidRPr="00AB5356" w:rsidRDefault="00741309" w:rsidP="00AB5356">
      <w:pPr>
        <w:pStyle w:val="Titre1"/>
      </w:pPr>
      <w:bookmarkStart w:id="5" w:name="_Toc127806198"/>
      <w:bookmarkStart w:id="6" w:name="_Toc127874032"/>
      <w:r>
        <w:t>Objectifs</w:t>
      </w:r>
      <w:bookmarkEnd w:id="5"/>
      <w:bookmarkEnd w:id="6"/>
    </w:p>
    <w:p w14:paraId="0C91754F" w14:textId="590F5A1A" w:rsidR="007F0673" w:rsidRDefault="007820A6" w:rsidP="007F0673">
      <w:pPr>
        <w:rPr>
          <w:lang w:eastAsia="fr-CA"/>
        </w:rPr>
      </w:pPr>
      <w:r>
        <w:rPr>
          <w:lang w:eastAsia="fr-CA"/>
        </w:rPr>
        <w:tab/>
        <w:t xml:space="preserve">L’objectif est de </w:t>
      </w:r>
      <w:r w:rsidR="00EC7F96">
        <w:rPr>
          <w:lang w:eastAsia="fr-CA"/>
        </w:rPr>
        <w:t>comparer chaque option offerte</w:t>
      </w:r>
      <w:r w:rsidR="00D11C2A">
        <w:rPr>
          <w:lang w:eastAsia="fr-CA"/>
        </w:rPr>
        <w:t xml:space="preserve"> à l’entreprise et </w:t>
      </w:r>
      <w:r>
        <w:rPr>
          <w:lang w:eastAsia="fr-CA"/>
        </w:rPr>
        <w:t>trouv</w:t>
      </w:r>
      <w:r w:rsidR="00D94308">
        <w:rPr>
          <w:lang w:eastAsia="fr-CA"/>
        </w:rPr>
        <w:t>er</w:t>
      </w:r>
      <w:r>
        <w:rPr>
          <w:lang w:eastAsia="fr-CA"/>
        </w:rPr>
        <w:t xml:space="preserve"> </w:t>
      </w:r>
      <w:r w:rsidR="00F43EC8">
        <w:rPr>
          <w:lang w:eastAsia="fr-CA"/>
        </w:rPr>
        <w:t xml:space="preserve">la meilleure </w:t>
      </w:r>
      <w:r w:rsidR="00D11C2A">
        <w:rPr>
          <w:lang w:eastAsia="fr-CA"/>
        </w:rPr>
        <w:t>d’entre elles</w:t>
      </w:r>
      <w:r>
        <w:rPr>
          <w:lang w:eastAsia="fr-CA"/>
        </w:rPr>
        <w:t xml:space="preserve"> </w:t>
      </w:r>
      <w:r w:rsidR="00F43EC8">
        <w:rPr>
          <w:lang w:eastAsia="fr-CA"/>
        </w:rPr>
        <w:t>en termes</w:t>
      </w:r>
      <w:r>
        <w:rPr>
          <w:lang w:eastAsia="fr-CA"/>
        </w:rPr>
        <w:t xml:space="preserve"> d’écoresponsabilité sans </w:t>
      </w:r>
      <w:r w:rsidR="00AD7566">
        <w:rPr>
          <w:lang w:eastAsia="fr-CA"/>
        </w:rPr>
        <w:t xml:space="preserve">s’occuper du coût de </w:t>
      </w:r>
      <w:r w:rsidR="00F43EC8">
        <w:rPr>
          <w:lang w:eastAsia="fr-CA"/>
        </w:rPr>
        <w:t>chacun</w:t>
      </w:r>
      <w:r w:rsidR="00AD7566">
        <w:rPr>
          <w:lang w:eastAsia="fr-CA"/>
        </w:rPr>
        <w:t>. Le choix qui sera prouv</w:t>
      </w:r>
      <w:r w:rsidR="00D94308">
        <w:rPr>
          <w:lang w:eastAsia="fr-CA"/>
        </w:rPr>
        <w:t>é</w:t>
      </w:r>
      <w:r w:rsidR="00AD7566">
        <w:rPr>
          <w:lang w:eastAsia="fr-CA"/>
        </w:rPr>
        <w:t xml:space="preserve"> dans </w:t>
      </w:r>
      <w:r w:rsidR="00F43EC8">
        <w:rPr>
          <w:lang w:eastAsia="fr-CA"/>
        </w:rPr>
        <w:t>la page suivante</w:t>
      </w:r>
      <w:r w:rsidR="00AD7566">
        <w:rPr>
          <w:lang w:eastAsia="fr-CA"/>
        </w:rPr>
        <w:t xml:space="preserve"> sera basé uniquement sur le développement durable </w:t>
      </w:r>
      <w:r w:rsidR="00F43EC8">
        <w:rPr>
          <w:lang w:eastAsia="fr-CA"/>
        </w:rPr>
        <w:t xml:space="preserve">et non sur la rentabilité du projet. </w:t>
      </w:r>
      <w:r w:rsidR="006F54D5">
        <w:rPr>
          <w:lang w:eastAsia="fr-CA"/>
        </w:rPr>
        <w:t>Pendant cette étude tous les calculs et développement</w:t>
      </w:r>
      <w:r w:rsidR="0088121B">
        <w:rPr>
          <w:lang w:eastAsia="fr-CA"/>
        </w:rPr>
        <w:t>s</w:t>
      </w:r>
      <w:r w:rsidR="006F54D5">
        <w:rPr>
          <w:lang w:eastAsia="fr-CA"/>
        </w:rPr>
        <w:t xml:space="preserve"> seront </w:t>
      </w:r>
      <w:r w:rsidR="00F9482D">
        <w:rPr>
          <w:lang w:eastAsia="fr-CA"/>
        </w:rPr>
        <w:t>effectu</w:t>
      </w:r>
      <w:r w:rsidR="002335E3">
        <w:rPr>
          <w:lang w:eastAsia="fr-CA"/>
        </w:rPr>
        <w:t>és</w:t>
      </w:r>
      <w:r w:rsidR="00C66504">
        <w:rPr>
          <w:lang w:eastAsia="fr-CA"/>
        </w:rPr>
        <w:t xml:space="preserve"> </w:t>
      </w:r>
      <w:r w:rsidR="006F54D5">
        <w:rPr>
          <w:lang w:eastAsia="fr-CA"/>
        </w:rPr>
        <w:t xml:space="preserve">avec </w:t>
      </w:r>
      <w:r w:rsidR="00C66504">
        <w:rPr>
          <w:lang w:eastAsia="fr-CA"/>
        </w:rPr>
        <w:t xml:space="preserve">la méthode </w:t>
      </w:r>
      <w:r w:rsidR="00F9482D">
        <w:rPr>
          <w:lang w:eastAsia="fr-CA"/>
        </w:rPr>
        <w:t>IMPACT</w:t>
      </w:r>
      <w:r w:rsidR="00C66504">
        <w:rPr>
          <w:lang w:eastAsia="fr-CA"/>
        </w:rPr>
        <w:t xml:space="preserve"> 2002+</w:t>
      </w:r>
      <w:r w:rsidR="00876733">
        <w:rPr>
          <w:lang w:eastAsia="fr-CA"/>
        </w:rPr>
        <w:t xml:space="preserve"> </w:t>
      </w:r>
      <w:r w:rsidR="003A21B8">
        <w:rPr>
          <w:lang w:eastAsia="fr-CA"/>
        </w:rPr>
        <w:t>pour 500 ans</w:t>
      </w:r>
      <w:r w:rsidR="00C66504">
        <w:rPr>
          <w:lang w:eastAsia="fr-CA"/>
        </w:rPr>
        <w:t xml:space="preserve"> </w:t>
      </w:r>
      <w:r w:rsidR="00F9482D">
        <w:rPr>
          <w:lang w:eastAsia="fr-CA"/>
        </w:rPr>
        <w:t>avec respect au</w:t>
      </w:r>
      <w:r w:rsidR="003A21B8">
        <w:rPr>
          <w:lang w:eastAsia="fr-CA"/>
        </w:rPr>
        <w:t>x</w:t>
      </w:r>
      <w:r w:rsidR="00F9482D">
        <w:rPr>
          <w:lang w:eastAsia="fr-CA"/>
        </w:rPr>
        <w:t xml:space="preserve"> normes ISO 14044.</w:t>
      </w:r>
      <w:r w:rsidR="00C63A3E">
        <w:rPr>
          <w:lang w:eastAsia="fr-CA"/>
        </w:rPr>
        <w:t xml:space="preserve"> </w:t>
      </w:r>
    </w:p>
    <w:p w14:paraId="256E3F3E" w14:textId="62A3E985" w:rsidR="007F0673" w:rsidRDefault="008B2838" w:rsidP="007F0673">
      <w:pPr>
        <w:pStyle w:val="Titre1"/>
      </w:pPr>
      <w:bookmarkStart w:id="7" w:name="_Toc127806199"/>
      <w:bookmarkStart w:id="8" w:name="_Toc127874033"/>
      <w:r>
        <w:t>Champ d’étude</w:t>
      </w:r>
      <w:bookmarkEnd w:id="7"/>
      <w:bookmarkEnd w:id="8"/>
    </w:p>
    <w:p w14:paraId="3F8B3386" w14:textId="1C9F3AE6" w:rsidR="00DA4589" w:rsidRPr="006D5238" w:rsidRDefault="00934BDF" w:rsidP="007F03DF">
      <w:pPr>
        <w:ind w:firstLine="567"/>
        <w:rPr>
          <w:rFonts w:ascii="Times New Roman" w:hAnsi="Times New Roman"/>
          <w:color w:val="FF0000"/>
          <w:sz w:val="24"/>
          <w:lang w:eastAsia="fr-CA"/>
        </w:rPr>
      </w:pPr>
      <w:r>
        <w:rPr>
          <w:lang w:eastAsia="fr-CA"/>
        </w:rPr>
        <w:t>La fonction de notre système est fort simple c’est le stockage de données. C’est pourquoi l</w:t>
      </w:r>
      <w:r w:rsidR="00C310F2">
        <w:rPr>
          <w:lang w:eastAsia="fr-CA"/>
        </w:rPr>
        <w:t xml:space="preserve">’unité fonctionnelle </w:t>
      </w:r>
      <w:r>
        <w:rPr>
          <w:lang w:eastAsia="fr-CA"/>
        </w:rPr>
        <w:t>a été calculer pour</w:t>
      </w:r>
      <w:r w:rsidR="00C310F2">
        <w:rPr>
          <w:lang w:eastAsia="fr-CA"/>
        </w:rPr>
        <w:t xml:space="preserve"> : </w:t>
      </w:r>
      <w:r w:rsidR="00B82650">
        <w:rPr>
          <w:lang w:eastAsia="fr-CA"/>
        </w:rPr>
        <w:t xml:space="preserve">Stocker un </w:t>
      </w:r>
      <w:r w:rsidR="00DE2A14">
        <w:rPr>
          <w:lang w:eastAsia="fr-CA"/>
        </w:rPr>
        <w:t>petaoctet par année</w:t>
      </w:r>
      <w:r w:rsidR="00B53EE8">
        <w:rPr>
          <w:lang w:eastAsia="fr-CA"/>
        </w:rPr>
        <w:t xml:space="preserve">. </w:t>
      </w:r>
      <w:r w:rsidR="00807E8A">
        <w:rPr>
          <w:lang w:eastAsia="fr-CA"/>
        </w:rPr>
        <w:t>Il a été décidé comme cela p</w:t>
      </w:r>
      <w:r w:rsidR="00B53EE8">
        <w:rPr>
          <w:lang w:eastAsia="fr-CA"/>
        </w:rPr>
        <w:t>uisque les deux centr</w:t>
      </w:r>
      <w:r w:rsidR="003341BB">
        <w:rPr>
          <w:lang w:eastAsia="fr-CA"/>
        </w:rPr>
        <w:t xml:space="preserve">es de données ont des durées de vie différentes, soit 30 et 40 ans, </w:t>
      </w:r>
      <w:r w:rsidR="008C047D">
        <w:rPr>
          <w:lang w:eastAsia="fr-CA"/>
        </w:rPr>
        <w:t>et des capacité</w:t>
      </w:r>
      <w:r w:rsidR="007E48DD">
        <w:rPr>
          <w:lang w:eastAsia="fr-CA"/>
        </w:rPr>
        <w:t xml:space="preserve">s de stockage différentes, soit 6 </w:t>
      </w:r>
      <w:r w:rsidR="00D0332D">
        <w:rPr>
          <w:lang w:eastAsia="fr-CA"/>
        </w:rPr>
        <w:t>Po et 2 Po</w:t>
      </w:r>
      <w:r w:rsidR="00807E8A">
        <w:rPr>
          <w:lang w:eastAsia="fr-CA"/>
        </w:rPr>
        <w:t>. Pour comparer les deux ils devaient être sous la même</w:t>
      </w:r>
      <w:r w:rsidR="00F23107">
        <w:rPr>
          <w:lang w:eastAsia="fr-CA"/>
        </w:rPr>
        <w:t xml:space="preserve"> unité </w:t>
      </w:r>
      <w:r w:rsidR="00807E8A">
        <w:rPr>
          <w:lang w:eastAsia="fr-CA"/>
        </w:rPr>
        <w:t>et</w:t>
      </w:r>
      <w:r w:rsidR="00F23107">
        <w:rPr>
          <w:lang w:eastAsia="fr-CA"/>
        </w:rPr>
        <w:t xml:space="preserve"> </w:t>
      </w:r>
      <w:r w:rsidR="00807E8A">
        <w:rPr>
          <w:lang w:eastAsia="fr-CA"/>
        </w:rPr>
        <w:t>l’</w:t>
      </w:r>
      <w:r w:rsidR="00F23107">
        <w:rPr>
          <w:lang w:eastAsia="fr-CA"/>
        </w:rPr>
        <w:t>unité commune</w:t>
      </w:r>
      <w:r w:rsidR="00807E8A">
        <w:rPr>
          <w:lang w:eastAsia="fr-CA"/>
        </w:rPr>
        <w:t xml:space="preserve"> choisi est</w:t>
      </w:r>
      <w:r w:rsidR="00F23107">
        <w:rPr>
          <w:lang w:eastAsia="fr-CA"/>
        </w:rPr>
        <w:t xml:space="preserve"> </w:t>
      </w:r>
      <w:r w:rsidR="00807E8A">
        <w:rPr>
          <w:lang w:eastAsia="fr-CA"/>
        </w:rPr>
        <w:t>un</w:t>
      </w:r>
      <w:r w:rsidR="00F23107">
        <w:rPr>
          <w:lang w:eastAsia="fr-CA"/>
        </w:rPr>
        <w:t xml:space="preserve"> petaocte</w:t>
      </w:r>
      <w:r w:rsidR="00636475">
        <w:rPr>
          <w:lang w:eastAsia="fr-CA"/>
        </w:rPr>
        <w:t xml:space="preserve">t </w:t>
      </w:r>
      <w:r w:rsidR="00F23107">
        <w:rPr>
          <w:lang w:eastAsia="fr-CA"/>
        </w:rPr>
        <w:t>par année.</w:t>
      </w:r>
      <w:r w:rsidR="008A72C6">
        <w:rPr>
          <w:lang w:eastAsia="fr-CA"/>
        </w:rPr>
        <w:t xml:space="preserve"> De cette manière </w:t>
      </w:r>
      <w:r w:rsidR="00807E8A">
        <w:rPr>
          <w:lang w:eastAsia="fr-CA"/>
        </w:rPr>
        <w:t>il est possible des</w:t>
      </w:r>
      <w:r w:rsidR="008A72C6">
        <w:rPr>
          <w:lang w:eastAsia="fr-CA"/>
        </w:rPr>
        <w:t xml:space="preserve"> compar</w:t>
      </w:r>
      <w:r w:rsidR="004E6A46">
        <w:rPr>
          <w:lang w:eastAsia="fr-CA"/>
        </w:rPr>
        <w:t>er</w:t>
      </w:r>
      <w:r w:rsidR="009513C9">
        <w:rPr>
          <w:lang w:eastAsia="fr-CA"/>
        </w:rPr>
        <w:t xml:space="preserve"> sur des bases égales et déterminer </w:t>
      </w:r>
      <w:r w:rsidR="00271F84">
        <w:rPr>
          <w:lang w:eastAsia="fr-CA"/>
        </w:rPr>
        <w:t>le</w:t>
      </w:r>
      <w:r w:rsidR="00FC139B">
        <w:rPr>
          <w:lang w:eastAsia="fr-CA"/>
        </w:rPr>
        <w:t>quel</w:t>
      </w:r>
      <w:r w:rsidR="00271F84">
        <w:rPr>
          <w:lang w:eastAsia="fr-CA"/>
        </w:rPr>
        <w:t xml:space="preserve"> des centres et laquelle des sources d’énergie </w:t>
      </w:r>
      <w:r w:rsidR="00AB79CB">
        <w:rPr>
          <w:lang w:eastAsia="fr-CA"/>
        </w:rPr>
        <w:t>a le moins d’impacts environnementaux.</w:t>
      </w:r>
    </w:p>
    <w:p w14:paraId="105475DF" w14:textId="2640D43C" w:rsidR="00DA4589" w:rsidRDefault="00D16135" w:rsidP="006D5238">
      <w:pPr>
        <w:ind w:firstLine="567"/>
        <w:rPr>
          <w:lang w:eastAsia="fr-CA"/>
        </w:rPr>
      </w:pPr>
      <w:r>
        <w:rPr>
          <w:lang w:eastAsia="fr-CA"/>
        </w:rPr>
        <w:lastRenderedPageBreak/>
        <w:t>Pour l</w:t>
      </w:r>
      <w:r w:rsidR="00B66381">
        <w:rPr>
          <w:lang w:eastAsia="fr-CA"/>
        </w:rPr>
        <w:t>es paramètres clés</w:t>
      </w:r>
      <w:r>
        <w:rPr>
          <w:lang w:eastAsia="fr-CA"/>
        </w:rPr>
        <w:t>,</w:t>
      </w:r>
      <w:r w:rsidR="00B66381">
        <w:rPr>
          <w:lang w:eastAsia="fr-CA"/>
        </w:rPr>
        <w:t xml:space="preserve"> </w:t>
      </w:r>
      <w:r>
        <w:rPr>
          <w:lang w:eastAsia="fr-CA"/>
        </w:rPr>
        <w:t xml:space="preserve">nous savons que </w:t>
      </w:r>
      <w:r w:rsidR="00B43E93">
        <w:rPr>
          <w:lang w:eastAsia="fr-CA"/>
        </w:rPr>
        <w:t>l’Alberta</w:t>
      </w:r>
      <w:r>
        <w:rPr>
          <w:lang w:eastAsia="fr-CA"/>
        </w:rPr>
        <w:t xml:space="preserve"> peut stocker</w:t>
      </w:r>
      <w:r w:rsidR="00B66381">
        <w:rPr>
          <w:lang w:eastAsia="fr-CA"/>
        </w:rPr>
        <w:t xml:space="preserve"> </w:t>
      </w:r>
      <w:r w:rsidR="00E278DF">
        <w:rPr>
          <w:lang w:eastAsia="fr-CA"/>
        </w:rPr>
        <w:t xml:space="preserve">6 Po </w:t>
      </w:r>
      <w:r>
        <w:rPr>
          <w:lang w:eastAsia="fr-CA"/>
        </w:rPr>
        <w:t>et a une durée de vie de</w:t>
      </w:r>
      <w:r w:rsidR="00E278DF">
        <w:rPr>
          <w:lang w:eastAsia="fr-CA"/>
        </w:rPr>
        <w:t xml:space="preserve"> 30 ans</w:t>
      </w:r>
      <w:r>
        <w:rPr>
          <w:lang w:eastAsia="fr-CA"/>
        </w:rPr>
        <w:t>. Cependant</w:t>
      </w:r>
      <w:r w:rsidR="00E278DF">
        <w:rPr>
          <w:lang w:eastAsia="fr-CA"/>
        </w:rPr>
        <w:t xml:space="preserve"> pour le Québec</w:t>
      </w:r>
      <w:r>
        <w:rPr>
          <w:lang w:eastAsia="fr-CA"/>
        </w:rPr>
        <w:t xml:space="preserve"> le centre de donnée peut seulement stocker </w:t>
      </w:r>
      <w:r w:rsidR="00E278DF">
        <w:rPr>
          <w:lang w:eastAsia="fr-CA"/>
        </w:rPr>
        <w:t xml:space="preserve">2Po </w:t>
      </w:r>
      <w:r>
        <w:rPr>
          <w:lang w:eastAsia="fr-CA"/>
        </w:rPr>
        <w:t>mais pendant</w:t>
      </w:r>
      <w:r w:rsidR="00E278DF">
        <w:rPr>
          <w:lang w:eastAsia="fr-CA"/>
        </w:rPr>
        <w:t xml:space="preserve"> 4</w:t>
      </w:r>
      <w:r>
        <w:rPr>
          <w:lang w:eastAsia="fr-CA"/>
        </w:rPr>
        <w:t>0</w:t>
      </w:r>
      <w:r w:rsidR="0094030B">
        <w:rPr>
          <w:lang w:eastAsia="fr-CA"/>
        </w:rPr>
        <w:t>.</w:t>
      </w:r>
      <w:r>
        <w:rPr>
          <w:lang w:eastAsia="fr-CA"/>
        </w:rPr>
        <w:t xml:space="preserve"> </w:t>
      </w:r>
    </w:p>
    <w:p w14:paraId="10DC2EA5" w14:textId="77777777" w:rsidR="00C80961" w:rsidRDefault="00C80961" w:rsidP="006D5238">
      <w:pPr>
        <w:ind w:firstLine="567"/>
        <w:rPr>
          <w:lang w:eastAsia="fr-CA"/>
        </w:rPr>
      </w:pPr>
    </w:p>
    <w:p w14:paraId="2458ABC0" w14:textId="58EF4F6A" w:rsidR="00A5363A" w:rsidRPr="003A38C3" w:rsidRDefault="00B43E93" w:rsidP="006D5238">
      <w:pPr>
        <w:ind w:firstLine="708"/>
        <w:rPr>
          <w:lang w:eastAsia="fr-CA"/>
        </w:rPr>
      </w:pPr>
      <w:r>
        <w:rPr>
          <w:lang w:eastAsia="fr-CA"/>
        </w:rPr>
        <w:t xml:space="preserve">Grâce à ces paramètres clés </w:t>
      </w:r>
      <w:r w:rsidR="00D01826">
        <w:rPr>
          <w:lang w:eastAsia="fr-CA"/>
        </w:rPr>
        <w:t xml:space="preserve">nous avons réussi à </w:t>
      </w:r>
      <w:r w:rsidR="00E6015B">
        <w:rPr>
          <w:lang w:eastAsia="fr-CA"/>
        </w:rPr>
        <w:t>trouver</w:t>
      </w:r>
      <w:r w:rsidR="00D01826">
        <w:rPr>
          <w:lang w:eastAsia="fr-CA"/>
        </w:rPr>
        <w:t xml:space="preserve"> des flux de référence de 1/180 pour l’Alberta et 1/80 pour le Québec. Le calcul </w:t>
      </w:r>
      <w:r w:rsidR="0099146A">
        <w:rPr>
          <w:lang w:eastAsia="fr-CA"/>
        </w:rPr>
        <w:t xml:space="preserve">plus bas </w:t>
      </w:r>
      <w:r w:rsidR="00A5363A">
        <w:rPr>
          <w:lang w:eastAsia="fr-CA"/>
        </w:rPr>
        <w:fldChar w:fldCharType="begin"/>
      </w:r>
      <w:r w:rsidR="00A5363A">
        <w:rPr>
          <w:lang w:eastAsia="fr-CA"/>
        </w:rPr>
        <w:instrText xml:space="preserve"> REF _Ref19029604 \h </w:instrText>
      </w:r>
      <w:r w:rsidR="006D5238">
        <w:rPr>
          <w:lang w:eastAsia="fr-CA"/>
        </w:rPr>
        <w:instrText xml:space="preserve"> \* MERGEFORMAT </w:instrText>
      </w:r>
      <w:r w:rsidR="00A5363A">
        <w:rPr>
          <w:lang w:eastAsia="fr-CA"/>
        </w:rPr>
        <w:fldChar w:fldCharType="separate"/>
      </w:r>
      <w:r w:rsidR="00B47C06">
        <w:rPr>
          <w:b/>
          <w:bCs/>
          <w:lang w:val="fr-FR" w:eastAsia="fr-CA"/>
        </w:rPr>
        <w:t>Erreur ! Source du renvoi introuvable.</w:t>
      </w:r>
      <w:r w:rsidR="00A5363A">
        <w:rPr>
          <w:lang w:eastAsia="fr-CA"/>
        </w:rPr>
        <w:fldChar w:fldCharType="end"/>
      </w:r>
      <w:r w:rsidR="00A5363A">
        <w:rPr>
          <w:lang w:eastAsia="fr-CA"/>
        </w:rPr>
        <w:t xml:space="preserve"> </w:t>
      </w:r>
      <w:r w:rsidR="0099146A">
        <w:rPr>
          <w:lang w:eastAsia="fr-CA"/>
        </w:rPr>
        <w:t>présente</w:t>
      </w:r>
      <w:r w:rsidR="00E6015B">
        <w:rPr>
          <w:lang w:eastAsia="fr-CA"/>
        </w:rPr>
        <w:t xml:space="preserve"> calcul pour le </w:t>
      </w:r>
      <w:r w:rsidR="00A5363A">
        <w:rPr>
          <w:lang w:eastAsia="fr-CA"/>
        </w:rPr>
        <w:t>trouver</w:t>
      </w:r>
      <w:r w:rsidR="00DC7E0D">
        <w:rPr>
          <w:lang w:eastAsia="fr-CA"/>
        </w:rPr>
        <w:t xml:space="preserve"> l</w:t>
      </w:r>
      <w:r w:rsidR="00A5363A">
        <w:rPr>
          <w:lang w:eastAsia="fr-CA"/>
        </w:rPr>
        <w:t xml:space="preserve">e flux de référence du Québec.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532"/>
      </w:tblGrid>
      <w:tr w:rsidR="00A5363A" w:rsidRPr="00155E14" w14:paraId="61377964" w14:textId="77777777" w:rsidTr="00230976">
        <w:tc>
          <w:tcPr>
            <w:tcW w:w="8330" w:type="dxa"/>
          </w:tcPr>
          <w:p w14:paraId="1362008C" w14:textId="77777777" w:rsidR="003A3164" w:rsidRPr="003A3164" w:rsidRDefault="00A5363A" w:rsidP="001A35A1">
            <w:pPr>
              <w:jc w:val="center"/>
              <w:rPr>
                <w:rFonts w:cstheme="minorHAnsi"/>
              </w:rPr>
            </w:pPr>
            <w:r w:rsidRPr="00155E14">
              <w:rPr>
                <w:rFonts w:cstheme="minorHAnsi"/>
              </w:rPr>
              <w:tab/>
            </w:r>
            <m:oMath>
              <m:r>
                <w:rPr>
                  <w:rFonts w:ascii="Cambria Math" w:hAnsi="Cambria Math" w:cstheme="minorHAnsi"/>
                </w:rPr>
                <m:t>Flux=</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capcité*</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40</m:t>
                  </m:r>
                </m:den>
              </m:f>
              <m:r>
                <w:rPr>
                  <w:rFonts w:ascii="Cambria Math" w:hAnsi="Cambria Math" w:cstheme="minorHAnsi"/>
                </w:rPr>
                <m:t>durée de vie=</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40</m:t>
                  </m:r>
                </m:den>
              </m:f>
            </m:oMath>
          </w:p>
          <w:p w14:paraId="78C1BB4A" w14:textId="12AF7F08" w:rsidR="00A5363A" w:rsidRPr="00155E14" w:rsidRDefault="001A35A1" w:rsidP="00713E7F">
            <w:pPr>
              <w:jc w:val="center"/>
              <w:rPr>
                <w:rFonts w:cstheme="minorHAnsi"/>
              </w:rPr>
            </w:pPr>
            <m:oMathPara>
              <m:oMath>
                <m:r>
                  <w:rPr>
                    <w:rFonts w:ascii="Cambria Math" w:hAnsi="Cambria Math" w:cstheme="minorHAnsi"/>
                  </w:rPr>
                  <m:t>flux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80</m:t>
                    </m:r>
                  </m:den>
                </m:f>
                <m:r>
                  <w:rPr>
                    <w:rFonts w:ascii="Cambria Math" w:hAnsi="Cambria Math" w:cstheme="minorHAnsi"/>
                  </w:rPr>
                  <m:t>Po*année</m:t>
                </m:r>
              </m:oMath>
            </m:oMathPara>
          </w:p>
        </w:tc>
        <w:tc>
          <w:tcPr>
            <w:tcW w:w="532" w:type="dxa"/>
            <w:vAlign w:val="center"/>
          </w:tcPr>
          <w:p w14:paraId="3B3AFE38" w14:textId="7FA66027" w:rsidR="00A5363A" w:rsidRPr="00155E14" w:rsidRDefault="00A5363A" w:rsidP="00230976">
            <w:pPr>
              <w:jc w:val="center"/>
              <w:rPr>
                <w:rFonts w:cstheme="minorHAnsi"/>
              </w:rPr>
            </w:pPr>
            <w:r w:rsidRPr="00155E14">
              <w:rPr>
                <w:rFonts w:cstheme="minorHAnsi"/>
              </w:rPr>
              <w:t>(</w:t>
            </w:r>
            <w:r w:rsidRPr="00155E14">
              <w:rPr>
                <w:rFonts w:cstheme="minorHAnsi"/>
              </w:rPr>
              <w:fldChar w:fldCharType="begin"/>
            </w:r>
            <w:r w:rsidRPr="00155E14">
              <w:rPr>
                <w:rFonts w:cstheme="minorHAnsi"/>
              </w:rPr>
              <w:instrText xml:space="preserve"> SEQ Équation \* ARABIC </w:instrText>
            </w:r>
            <w:r w:rsidRPr="00155E14">
              <w:rPr>
                <w:rFonts w:cstheme="minorHAnsi"/>
              </w:rPr>
              <w:fldChar w:fldCharType="separate"/>
            </w:r>
            <w:r w:rsidR="00B47C06">
              <w:rPr>
                <w:rFonts w:cstheme="minorHAnsi"/>
                <w:noProof/>
              </w:rPr>
              <w:t>1</w:t>
            </w:r>
            <w:r w:rsidRPr="00155E14">
              <w:rPr>
                <w:rFonts w:cstheme="minorHAnsi"/>
                <w:noProof/>
              </w:rPr>
              <w:fldChar w:fldCharType="end"/>
            </w:r>
            <w:r w:rsidRPr="00155E14">
              <w:rPr>
                <w:rFonts w:cstheme="minorHAnsi"/>
              </w:rPr>
              <w:t>)</w:t>
            </w:r>
          </w:p>
        </w:tc>
      </w:tr>
    </w:tbl>
    <w:p w14:paraId="4258EA55" w14:textId="77777777" w:rsidR="0080139D" w:rsidRDefault="0080139D" w:rsidP="004B7EA6">
      <w:pPr>
        <w:rPr>
          <w:lang w:eastAsia="fr-CA"/>
        </w:rPr>
      </w:pPr>
    </w:p>
    <w:p w14:paraId="083657DF" w14:textId="6B97D4CD" w:rsidR="00687A00" w:rsidRPr="00DB6626" w:rsidRDefault="008B2838" w:rsidP="00DB6626">
      <w:pPr>
        <w:pStyle w:val="Titre1"/>
      </w:pPr>
      <w:bookmarkStart w:id="9" w:name="_Toc127806200"/>
      <w:bookmarkStart w:id="10" w:name="_Toc127874034"/>
      <w:r>
        <w:t>Inventaire</w:t>
      </w:r>
      <w:bookmarkEnd w:id="9"/>
      <w:bookmarkEnd w:id="10"/>
    </w:p>
    <w:p w14:paraId="208DE552" w14:textId="4282C7BA" w:rsidR="00687A00" w:rsidRDefault="004E24AF" w:rsidP="00505383">
      <w:pPr>
        <w:ind w:firstLine="708"/>
        <w:rPr>
          <w:lang w:eastAsia="fr-CA"/>
        </w:rPr>
      </w:pPr>
      <w:r w:rsidRPr="00687A00">
        <w:rPr>
          <w:lang w:eastAsia="fr-CA"/>
        </w:rPr>
        <w:t xml:space="preserve">Afin de bien comparer </w:t>
      </w:r>
      <w:r w:rsidR="00C9137D" w:rsidRPr="00687A00">
        <w:rPr>
          <w:lang w:eastAsia="fr-CA"/>
        </w:rPr>
        <w:t>les impacts</w:t>
      </w:r>
      <w:r w:rsidR="00F71ECD" w:rsidRPr="00687A00">
        <w:rPr>
          <w:lang w:eastAsia="fr-CA"/>
        </w:rPr>
        <w:t xml:space="preserve"> environnementaux</w:t>
      </w:r>
      <w:r w:rsidR="00C9137D" w:rsidRPr="00687A00">
        <w:rPr>
          <w:lang w:eastAsia="fr-CA"/>
        </w:rPr>
        <w:t xml:space="preserve"> de chaque gaz à effet de serre, il faut tous les convertir par leurs équivalents en CO</w:t>
      </w:r>
      <w:r w:rsidR="00C9137D" w:rsidRPr="0093451F">
        <w:rPr>
          <w:vertAlign w:val="subscript"/>
          <w:lang w:eastAsia="fr-CA"/>
        </w:rPr>
        <w:t>2</w:t>
      </w:r>
      <w:r w:rsidR="00C9137D" w:rsidRPr="00687A00">
        <w:rPr>
          <w:lang w:eastAsia="fr-CA"/>
        </w:rPr>
        <w:t xml:space="preserve"> selon</w:t>
      </w:r>
      <w:r w:rsidR="001E5644" w:rsidRPr="00687A00">
        <w:rPr>
          <w:lang w:eastAsia="fr-CA"/>
        </w:rPr>
        <w:t xml:space="preserve"> la méthode IMPACT 2002+ </w:t>
      </w:r>
      <w:r w:rsidR="00951DCE" w:rsidRPr="00687A00">
        <w:rPr>
          <w:lang w:eastAsia="fr-CA"/>
        </w:rPr>
        <w:t xml:space="preserve">qui prends en compte </w:t>
      </w:r>
      <w:r w:rsidR="001E5644" w:rsidRPr="00687A00">
        <w:rPr>
          <w:lang w:eastAsia="fr-CA"/>
        </w:rPr>
        <w:t xml:space="preserve">500 ans. </w:t>
      </w:r>
      <w:r w:rsidR="00951DCE" w:rsidRPr="00687A00">
        <w:rPr>
          <w:lang w:eastAsia="fr-CA"/>
        </w:rPr>
        <w:t>Pour chacun des gaz il y a un équivalent en CO</w:t>
      </w:r>
      <w:r w:rsidR="00951DCE" w:rsidRPr="00687A00">
        <w:rPr>
          <w:vertAlign w:val="subscript"/>
          <w:lang w:eastAsia="fr-CA"/>
        </w:rPr>
        <w:t>2</w:t>
      </w:r>
      <w:r w:rsidR="00951DCE" w:rsidRPr="00687A00">
        <w:rPr>
          <w:lang w:eastAsia="fr-CA"/>
        </w:rPr>
        <w:t xml:space="preserve"> qui permets de </w:t>
      </w:r>
      <w:r w:rsidR="00FC77EB" w:rsidRPr="00687A00">
        <w:rPr>
          <w:lang w:eastAsia="fr-CA"/>
        </w:rPr>
        <w:t>mettre toutes les données ensemble. Ceci peut être trouvé à la page 37 des notes de cours de l’APP4</w:t>
      </w:r>
      <w:sdt>
        <w:sdtPr>
          <w:rPr>
            <w:lang w:eastAsia="fr-CA"/>
          </w:rPr>
          <w:id w:val="2014726146"/>
          <w:citation/>
        </w:sdtPr>
        <w:sdtContent>
          <w:r w:rsidR="00FC77EB" w:rsidRPr="00687A00">
            <w:rPr>
              <w:lang w:eastAsia="fr-CA"/>
            </w:rPr>
            <w:fldChar w:fldCharType="begin"/>
          </w:r>
          <w:r w:rsidR="00FC77EB" w:rsidRPr="00687A00">
            <w:rPr>
              <w:lang w:eastAsia="fr-CA"/>
            </w:rPr>
            <w:instrText xml:space="preserve"> CITATION BRo21 \l 3084 </w:instrText>
          </w:r>
          <w:r w:rsidR="00FC77EB" w:rsidRPr="00687A00">
            <w:rPr>
              <w:lang w:eastAsia="fr-CA"/>
            </w:rPr>
            <w:fldChar w:fldCharType="separate"/>
          </w:r>
          <w:r w:rsidR="006D5238">
            <w:rPr>
              <w:noProof/>
              <w:lang w:eastAsia="fr-CA"/>
            </w:rPr>
            <w:t xml:space="preserve"> [2]</w:t>
          </w:r>
          <w:r w:rsidR="00FC77EB" w:rsidRPr="00687A00">
            <w:rPr>
              <w:lang w:eastAsia="fr-CA"/>
            </w:rPr>
            <w:fldChar w:fldCharType="end"/>
          </w:r>
        </w:sdtContent>
      </w:sdt>
      <w:r w:rsidR="00FC77EB" w:rsidRPr="00687A00">
        <w:rPr>
          <w:lang w:eastAsia="fr-CA"/>
        </w:rPr>
        <w:t>.</w:t>
      </w:r>
    </w:p>
    <w:p w14:paraId="7A07B145" w14:textId="689C6CC7" w:rsidR="00BC2E1B" w:rsidRDefault="00E40D97" w:rsidP="00505383">
      <w:pPr>
        <w:ind w:firstLine="708"/>
        <w:rPr>
          <w:lang w:eastAsia="fr-CA"/>
        </w:rPr>
      </w:pPr>
      <w:r>
        <w:rPr>
          <w:lang w:eastAsia="fr-CA"/>
        </w:rPr>
        <w:t>Au Québec, p</w:t>
      </w:r>
      <w:r w:rsidR="00ED588C">
        <w:rPr>
          <w:lang w:eastAsia="fr-CA"/>
        </w:rPr>
        <w:t>our le CH</w:t>
      </w:r>
      <w:r w:rsidR="00ED588C" w:rsidRPr="002E457C">
        <w:rPr>
          <w:vertAlign w:val="subscript"/>
          <w:lang w:eastAsia="fr-CA"/>
        </w:rPr>
        <w:t>4</w:t>
      </w:r>
      <w:r w:rsidR="00ED588C">
        <w:rPr>
          <w:lang w:eastAsia="fr-CA"/>
        </w:rPr>
        <w:t xml:space="preserve">, </w:t>
      </w:r>
      <w:r w:rsidR="00571AD0">
        <w:rPr>
          <w:lang w:eastAsia="fr-CA"/>
        </w:rPr>
        <w:t>le pire cycle de vie est l’utilisation</w:t>
      </w:r>
      <w:r w:rsidR="00EE5F21">
        <w:rPr>
          <w:lang w:eastAsia="fr-CA"/>
        </w:rPr>
        <w:t>. Pour le CO</w:t>
      </w:r>
      <w:r w:rsidR="00EE5F21" w:rsidRPr="002E457C">
        <w:rPr>
          <w:vertAlign w:val="subscript"/>
          <w:lang w:eastAsia="fr-CA"/>
        </w:rPr>
        <w:t>2</w:t>
      </w:r>
      <w:r w:rsidR="00EE5F21">
        <w:rPr>
          <w:lang w:eastAsia="fr-CA"/>
        </w:rPr>
        <w:t xml:space="preserve">, </w:t>
      </w:r>
      <w:r w:rsidR="000446EF">
        <w:rPr>
          <w:lang w:eastAsia="fr-CA"/>
        </w:rPr>
        <w:t>le pire cycle de vie est l’utilisation</w:t>
      </w:r>
      <w:r w:rsidR="00EC16CD">
        <w:rPr>
          <w:lang w:eastAsia="fr-CA"/>
        </w:rPr>
        <w:t>. Pour le N</w:t>
      </w:r>
      <w:r w:rsidR="00EC16CD" w:rsidRPr="002E457C">
        <w:rPr>
          <w:vertAlign w:val="subscript"/>
          <w:lang w:eastAsia="fr-CA"/>
        </w:rPr>
        <w:t>2</w:t>
      </w:r>
      <w:r w:rsidR="00EC16CD">
        <w:rPr>
          <w:lang w:eastAsia="fr-CA"/>
        </w:rPr>
        <w:t>0, le pire cycle de vie est l</w:t>
      </w:r>
      <w:r w:rsidR="008C1FC8">
        <w:rPr>
          <w:lang w:eastAsia="fr-CA"/>
        </w:rPr>
        <w:t>’utilisation</w:t>
      </w:r>
      <w:r w:rsidR="00C0161B">
        <w:rPr>
          <w:lang w:eastAsia="fr-CA"/>
        </w:rPr>
        <w:t>. Pour le SF</w:t>
      </w:r>
      <w:r w:rsidR="00C0161B" w:rsidRPr="002E457C">
        <w:rPr>
          <w:vertAlign w:val="subscript"/>
          <w:lang w:eastAsia="fr-CA"/>
        </w:rPr>
        <w:t>6</w:t>
      </w:r>
      <w:r w:rsidR="00C0161B">
        <w:rPr>
          <w:lang w:eastAsia="fr-CA"/>
        </w:rPr>
        <w:t>, le pire</w:t>
      </w:r>
      <w:r w:rsidR="00246020">
        <w:rPr>
          <w:lang w:eastAsia="fr-CA"/>
        </w:rPr>
        <w:t xml:space="preserve"> est l’utilisation</w:t>
      </w:r>
      <w:r w:rsidR="00A46D5A">
        <w:rPr>
          <w:lang w:eastAsia="fr-CA"/>
        </w:rPr>
        <w:t>.</w:t>
      </w:r>
      <w:r w:rsidR="00274541">
        <w:rPr>
          <w:lang w:eastAsia="fr-CA"/>
        </w:rPr>
        <w:t xml:space="preserve"> Pour le CO le pire est la production.</w:t>
      </w:r>
      <w:r w:rsidR="00A46D5A">
        <w:rPr>
          <w:lang w:eastAsia="fr-CA"/>
        </w:rPr>
        <w:t xml:space="preserve"> Pour le </w:t>
      </w:r>
      <w:r w:rsidR="00465F35">
        <w:rPr>
          <w:lang w:eastAsia="fr-CA"/>
        </w:rPr>
        <w:t>CFC-14</w:t>
      </w:r>
      <w:r w:rsidR="00C038E7">
        <w:rPr>
          <w:lang w:eastAsia="fr-CA"/>
        </w:rPr>
        <w:t xml:space="preserve"> c’est la production</w:t>
      </w:r>
      <w:r w:rsidR="005D59E6">
        <w:rPr>
          <w:lang w:eastAsia="fr-CA"/>
        </w:rPr>
        <w:t>. Pour le HFC-116</w:t>
      </w:r>
      <w:r w:rsidR="007950B3">
        <w:rPr>
          <w:lang w:eastAsia="fr-CA"/>
        </w:rPr>
        <w:t xml:space="preserve"> c’est la production</w:t>
      </w:r>
      <w:r w:rsidR="00C55D58">
        <w:rPr>
          <w:lang w:eastAsia="fr-CA"/>
        </w:rPr>
        <w:t xml:space="preserve">. </w:t>
      </w:r>
      <w:r w:rsidR="00B73277">
        <w:rPr>
          <w:lang w:eastAsia="fr-CA"/>
        </w:rPr>
        <w:t>C’est la production pour le CFC-12</w:t>
      </w:r>
      <w:r w:rsidR="00A6343C">
        <w:rPr>
          <w:lang w:eastAsia="fr-CA"/>
        </w:rPr>
        <w:t>, pour le CFC-114, c’est</w:t>
      </w:r>
      <w:r w:rsidR="00AC6820">
        <w:rPr>
          <w:lang w:eastAsia="fr-CA"/>
        </w:rPr>
        <w:t xml:space="preserve"> l’utilisation. </w:t>
      </w:r>
      <w:r w:rsidR="007F7F6B">
        <w:rPr>
          <w:lang w:eastAsia="fr-CA"/>
        </w:rPr>
        <w:t xml:space="preserve">Pour le </w:t>
      </w:r>
      <w:r w:rsidR="00724E1F">
        <w:rPr>
          <w:lang w:eastAsia="fr-CA"/>
        </w:rPr>
        <w:t>HFC-22</w:t>
      </w:r>
      <w:r w:rsidR="007F7F6B">
        <w:rPr>
          <w:lang w:eastAsia="fr-CA"/>
        </w:rPr>
        <w:t xml:space="preserve">, le pire </w:t>
      </w:r>
      <w:r w:rsidR="00DE6C07">
        <w:rPr>
          <w:lang w:eastAsia="fr-CA"/>
        </w:rPr>
        <w:t>est la production</w:t>
      </w:r>
      <w:r w:rsidR="00D2716B">
        <w:rPr>
          <w:lang w:eastAsia="fr-CA"/>
        </w:rPr>
        <w:t xml:space="preserve"> et le HFC-23</w:t>
      </w:r>
      <w:r w:rsidR="002B34CB">
        <w:rPr>
          <w:lang w:eastAsia="fr-CA"/>
        </w:rPr>
        <w:t>, c’est la production.</w:t>
      </w:r>
      <w:r w:rsidR="00147548">
        <w:rPr>
          <w:lang w:eastAsia="fr-CA"/>
        </w:rPr>
        <w:t xml:space="preserve"> Pour le CFC-10 c’est la production</w:t>
      </w:r>
      <w:r w:rsidR="00C15B07">
        <w:rPr>
          <w:lang w:eastAsia="fr-CA"/>
        </w:rPr>
        <w:t>, pour le CFC-113</w:t>
      </w:r>
      <w:r w:rsidR="00017183">
        <w:rPr>
          <w:lang w:eastAsia="fr-CA"/>
        </w:rPr>
        <w:t xml:space="preserve"> c’est la production</w:t>
      </w:r>
      <w:r w:rsidR="00527F9B">
        <w:rPr>
          <w:lang w:eastAsia="fr-CA"/>
        </w:rPr>
        <w:t xml:space="preserve">. Pour le </w:t>
      </w:r>
      <w:r w:rsidR="00B94422">
        <w:rPr>
          <w:lang w:eastAsia="fr-CA"/>
        </w:rPr>
        <w:t>h</w:t>
      </w:r>
      <w:r w:rsidR="00527F9B">
        <w:rPr>
          <w:lang w:eastAsia="fr-CA"/>
        </w:rPr>
        <w:t>alon</w:t>
      </w:r>
      <w:r w:rsidR="002F5A6B">
        <w:rPr>
          <w:lang w:eastAsia="fr-CA"/>
        </w:rPr>
        <w:t xml:space="preserve"> 1301, c’est l</w:t>
      </w:r>
      <w:r w:rsidR="00504456">
        <w:rPr>
          <w:lang w:eastAsia="fr-CA"/>
        </w:rPr>
        <w:t>’</w:t>
      </w:r>
      <w:r w:rsidR="001818B1">
        <w:rPr>
          <w:lang w:eastAsia="fr-CA"/>
        </w:rPr>
        <w:t>u</w:t>
      </w:r>
      <w:r w:rsidR="00504456">
        <w:rPr>
          <w:lang w:eastAsia="fr-CA"/>
        </w:rPr>
        <w:t>tilisation</w:t>
      </w:r>
      <w:r w:rsidR="001818B1">
        <w:rPr>
          <w:lang w:eastAsia="fr-CA"/>
        </w:rPr>
        <w:t>. Pour</w:t>
      </w:r>
      <w:r w:rsidR="00D005D8">
        <w:rPr>
          <w:lang w:eastAsia="fr-CA"/>
        </w:rPr>
        <w:t xml:space="preserve"> le HFC-134a</w:t>
      </w:r>
      <w:r w:rsidR="0072446B">
        <w:rPr>
          <w:lang w:eastAsia="fr-CA"/>
        </w:rPr>
        <w:t>, c’est la production</w:t>
      </w:r>
      <w:r w:rsidR="002A27FA">
        <w:rPr>
          <w:lang w:eastAsia="fr-CA"/>
        </w:rPr>
        <w:t>. Pour le HFC-152a</w:t>
      </w:r>
      <w:r w:rsidR="005D0E18">
        <w:rPr>
          <w:lang w:eastAsia="fr-CA"/>
        </w:rPr>
        <w:t>, c’est la production.</w:t>
      </w:r>
      <w:r w:rsidR="009B3361">
        <w:rPr>
          <w:lang w:eastAsia="fr-CA"/>
        </w:rPr>
        <w:t xml:space="preserve"> Pour le </w:t>
      </w:r>
      <w:r w:rsidR="00B94422">
        <w:rPr>
          <w:lang w:eastAsia="fr-CA"/>
        </w:rPr>
        <w:t>h</w:t>
      </w:r>
      <w:r w:rsidR="009B3361">
        <w:rPr>
          <w:lang w:eastAsia="fr-CA"/>
        </w:rPr>
        <w:t>alon 1211, c’est l’utilisation.</w:t>
      </w:r>
      <w:r w:rsidR="00A43395">
        <w:rPr>
          <w:lang w:eastAsia="fr-CA"/>
        </w:rPr>
        <w:t xml:space="preserve"> Pour bien visualiser </w:t>
      </w:r>
      <w:r w:rsidR="0073520E">
        <w:rPr>
          <w:lang w:eastAsia="fr-CA"/>
        </w:rPr>
        <w:t xml:space="preserve">les données un graphique a été fait avec toute les </w:t>
      </w:r>
      <w:r w:rsidR="009E3A71">
        <w:rPr>
          <w:lang w:eastAsia="fr-CA"/>
        </w:rPr>
        <w:t xml:space="preserve">polluant des gaz à effet de serre, le graphique peut être trouvé </w:t>
      </w:r>
      <w:r w:rsidR="00B94422">
        <w:rPr>
          <w:lang w:eastAsia="fr-CA"/>
        </w:rPr>
        <w:t>à l’annexe B</w:t>
      </w:r>
      <w:r w:rsidR="009E3A71">
        <w:rPr>
          <w:lang w:eastAsia="fr-CA"/>
        </w:rPr>
        <w:t xml:space="preserve">. </w:t>
      </w:r>
    </w:p>
    <w:p w14:paraId="44593964" w14:textId="49FF7DEF" w:rsidR="00A42495" w:rsidRPr="00A42495" w:rsidRDefault="00BC2E1B" w:rsidP="00A42495">
      <w:pPr>
        <w:ind w:firstLine="708"/>
        <w:rPr>
          <w:lang w:eastAsia="fr-CA"/>
        </w:rPr>
      </w:pPr>
      <w:r>
        <w:rPr>
          <w:lang w:eastAsia="fr-CA"/>
        </w:rPr>
        <w:t xml:space="preserve">En Alberta, pour le CH4, le pire cycle de vie est l’utilisation. Pour le CO2, le pire cycle de vie est l’utilisation. Pour le N20, le pire cycle de vie est l’utilisation. Pour le SF6, le pire est </w:t>
      </w:r>
      <w:r>
        <w:rPr>
          <w:lang w:eastAsia="fr-CA"/>
        </w:rPr>
        <w:lastRenderedPageBreak/>
        <w:t>l’utilisation.</w:t>
      </w:r>
      <w:r w:rsidR="00274541">
        <w:rPr>
          <w:lang w:eastAsia="fr-CA"/>
        </w:rPr>
        <w:t xml:space="preserve"> Pour le CO le pire est</w:t>
      </w:r>
      <w:r w:rsidR="00223257">
        <w:rPr>
          <w:lang w:eastAsia="fr-CA"/>
        </w:rPr>
        <w:t xml:space="preserve"> </w:t>
      </w:r>
      <w:r w:rsidR="00F627C4">
        <w:rPr>
          <w:lang w:eastAsia="fr-CA"/>
        </w:rPr>
        <w:t>l’utilisation</w:t>
      </w:r>
      <w:r w:rsidR="00274541">
        <w:rPr>
          <w:lang w:eastAsia="fr-CA"/>
        </w:rPr>
        <w:t>.</w:t>
      </w:r>
      <w:r>
        <w:rPr>
          <w:lang w:eastAsia="fr-CA"/>
        </w:rPr>
        <w:t xml:space="preserve"> Pour le CFC-14 c’est l</w:t>
      </w:r>
      <w:r w:rsidR="00223257">
        <w:rPr>
          <w:lang w:eastAsia="fr-CA"/>
        </w:rPr>
        <w:t>’utilisation</w:t>
      </w:r>
      <w:r>
        <w:rPr>
          <w:lang w:eastAsia="fr-CA"/>
        </w:rPr>
        <w:t>. Pour le HFC-116 c’est l</w:t>
      </w:r>
      <w:r w:rsidR="00040B66">
        <w:rPr>
          <w:lang w:eastAsia="fr-CA"/>
        </w:rPr>
        <w:t>’utilisation</w:t>
      </w:r>
      <w:r>
        <w:rPr>
          <w:lang w:eastAsia="fr-CA"/>
        </w:rPr>
        <w:t>. C’est la production pour le CFC-12, pour le CFC-114, c’est l’utilisation. Pour le HFC-22, le pire est l</w:t>
      </w:r>
      <w:r w:rsidR="00AC4B58">
        <w:rPr>
          <w:lang w:eastAsia="fr-CA"/>
        </w:rPr>
        <w:t>’utilisation</w:t>
      </w:r>
      <w:r>
        <w:rPr>
          <w:lang w:eastAsia="fr-CA"/>
        </w:rPr>
        <w:t xml:space="preserve"> et le HFC-23, c’est la production. Pour le CFC-10 c’est la production, pour le CFC-113 c’est la production. Pour le halon 1301, c’est l’utilisation. Pour le HFC-134a, c’est la production. Pour le HFC-152a, c’est la production. Pour le halon 1211, c’est l’utilisation.</w:t>
      </w:r>
      <w:r w:rsidR="00B94422">
        <w:rPr>
          <w:lang w:eastAsia="fr-CA"/>
        </w:rPr>
        <w:t xml:space="preserve"> Pour bien visualiser les données un graphique a été fait avec toute les polluant des gaz à effet de serre, le graphique peut être trouvé à l’annexe B.</w:t>
      </w:r>
    </w:p>
    <w:p w14:paraId="2A001F88" w14:textId="2E4C2AFE" w:rsidR="0066174B" w:rsidRPr="009C3406" w:rsidRDefault="00A1753E" w:rsidP="00B11807">
      <w:pPr>
        <w:ind w:firstLine="708"/>
        <w:rPr>
          <w:lang w:eastAsia="fr-CA"/>
        </w:rPr>
      </w:pPr>
      <w:r w:rsidRPr="009C3406">
        <w:rPr>
          <w:lang w:eastAsia="fr-CA"/>
        </w:rPr>
        <w:t>Pour le Québec</w:t>
      </w:r>
      <w:r w:rsidR="008D73ED" w:rsidRPr="009C3406">
        <w:rPr>
          <w:lang w:eastAsia="fr-CA"/>
        </w:rPr>
        <w:t xml:space="preserve">, </w:t>
      </w:r>
      <w:r w:rsidR="00A60B13" w:rsidRPr="009C3406">
        <w:rPr>
          <w:lang w:eastAsia="fr-CA"/>
        </w:rPr>
        <w:t>le gaz à effet de serre le plus néfaste lors de l’étape de la p</w:t>
      </w:r>
      <w:r w:rsidR="000C648B" w:rsidRPr="009C3406">
        <w:rPr>
          <w:lang w:eastAsia="fr-CA"/>
        </w:rPr>
        <w:t>roduction est le CO</w:t>
      </w:r>
      <w:r w:rsidR="000C648B" w:rsidRPr="0093451F">
        <w:rPr>
          <w:vertAlign w:val="subscript"/>
          <w:lang w:eastAsia="fr-CA"/>
        </w:rPr>
        <w:t>2</w:t>
      </w:r>
      <w:r w:rsidR="000C648B" w:rsidRPr="009C3406">
        <w:rPr>
          <w:lang w:eastAsia="fr-CA"/>
        </w:rPr>
        <w:t>.</w:t>
      </w:r>
      <w:r w:rsidR="007005D8" w:rsidRPr="009C3406">
        <w:rPr>
          <w:lang w:eastAsia="fr-CA"/>
        </w:rPr>
        <w:t xml:space="preserve"> En effet, </w:t>
      </w:r>
      <w:r w:rsidR="00EE17D8" w:rsidRPr="009C3406">
        <w:rPr>
          <w:lang w:eastAsia="fr-CA"/>
        </w:rPr>
        <w:t xml:space="preserve">cela crée </w:t>
      </w:r>
      <w:r w:rsidR="007005D8" w:rsidRPr="009C3406">
        <w:rPr>
          <w:lang w:eastAsia="fr-CA"/>
        </w:rPr>
        <w:t>97</w:t>
      </w:r>
      <w:r w:rsidR="00F529C0" w:rsidRPr="009C3406">
        <w:rPr>
          <w:lang w:eastAsia="fr-CA"/>
        </w:rPr>
        <w:t> </w:t>
      </w:r>
      <w:r w:rsidR="007005D8" w:rsidRPr="009C3406">
        <w:rPr>
          <w:lang w:eastAsia="fr-CA"/>
        </w:rPr>
        <w:t>100</w:t>
      </w:r>
      <w:r w:rsidR="00F529C0" w:rsidRPr="009C3406">
        <w:rPr>
          <w:lang w:eastAsia="fr-CA"/>
        </w:rPr>
        <w:t xml:space="preserve"> kg de CO</w:t>
      </w:r>
      <w:r w:rsidR="00F529C0" w:rsidRPr="0093451F">
        <w:rPr>
          <w:vertAlign w:val="subscript"/>
          <w:lang w:eastAsia="fr-CA"/>
        </w:rPr>
        <w:t>2</w:t>
      </w:r>
      <w:r w:rsidR="00F529C0" w:rsidRPr="009C3406">
        <w:rPr>
          <w:lang w:eastAsia="fr-CA"/>
        </w:rPr>
        <w:t xml:space="preserve"> </w:t>
      </w:r>
      <w:r w:rsidR="00893B66" w:rsidRPr="009C3406">
        <w:rPr>
          <w:lang w:eastAsia="fr-CA"/>
        </w:rPr>
        <w:t>ce qui est beaucoup plus que le deuxième pire gaz, le CH</w:t>
      </w:r>
      <w:r w:rsidR="00893B66" w:rsidRPr="0093451F">
        <w:rPr>
          <w:vertAlign w:val="subscript"/>
          <w:lang w:eastAsia="fr-CA"/>
        </w:rPr>
        <w:t>4</w:t>
      </w:r>
      <w:r w:rsidR="00893B66" w:rsidRPr="009C3406">
        <w:rPr>
          <w:lang w:eastAsia="fr-CA"/>
        </w:rPr>
        <w:t>, qui émet l’équivalent de 3</w:t>
      </w:r>
      <w:r w:rsidR="00F0631B" w:rsidRPr="009C3406">
        <w:rPr>
          <w:lang w:eastAsia="fr-CA"/>
        </w:rPr>
        <w:t> </w:t>
      </w:r>
      <w:r w:rsidR="00893B66" w:rsidRPr="009C3406">
        <w:rPr>
          <w:lang w:eastAsia="fr-CA"/>
        </w:rPr>
        <w:t>710</w:t>
      </w:r>
      <w:r w:rsidR="00F0631B" w:rsidRPr="009C3406">
        <w:rPr>
          <w:lang w:eastAsia="fr-CA"/>
        </w:rPr>
        <w:t xml:space="preserve"> kg de </w:t>
      </w:r>
      <w:r w:rsidR="00406EE1" w:rsidRPr="009C3406">
        <w:rPr>
          <w:lang w:eastAsia="fr-CA"/>
        </w:rPr>
        <w:t>dioxyde de carbone</w:t>
      </w:r>
      <w:r w:rsidR="00F71ECD" w:rsidRPr="009C3406">
        <w:rPr>
          <w:lang w:eastAsia="fr-CA"/>
        </w:rPr>
        <w:t xml:space="preserve">. </w:t>
      </w:r>
      <w:r w:rsidR="00CF7255" w:rsidRPr="009C3406">
        <w:rPr>
          <w:lang w:eastAsia="fr-CA"/>
        </w:rPr>
        <w:t>Lors de l’étape de l’utilisation, le CO</w:t>
      </w:r>
      <w:r w:rsidR="00CF7255" w:rsidRPr="0093451F">
        <w:rPr>
          <w:vertAlign w:val="subscript"/>
          <w:lang w:eastAsia="fr-CA"/>
        </w:rPr>
        <w:t>2</w:t>
      </w:r>
      <w:r w:rsidR="00CF7255" w:rsidRPr="009C3406">
        <w:rPr>
          <w:lang w:eastAsia="fr-CA"/>
        </w:rPr>
        <w:t xml:space="preserve"> est encore le coupable. </w:t>
      </w:r>
      <w:r w:rsidR="00A9724C" w:rsidRPr="009C3406">
        <w:rPr>
          <w:lang w:eastAsia="fr-CA"/>
        </w:rPr>
        <w:t xml:space="preserve">Le centre de données va </w:t>
      </w:r>
      <w:r w:rsidR="00FB7053" w:rsidRPr="009C3406">
        <w:rPr>
          <w:lang w:eastAsia="fr-CA"/>
        </w:rPr>
        <w:t xml:space="preserve">en </w:t>
      </w:r>
      <w:r w:rsidR="00A9724C" w:rsidRPr="009C3406">
        <w:rPr>
          <w:lang w:eastAsia="fr-CA"/>
        </w:rPr>
        <w:t>émettre plus de</w:t>
      </w:r>
      <w:r w:rsidR="006F2551" w:rsidRPr="009C3406">
        <w:rPr>
          <w:lang w:eastAsia="fr-CA"/>
        </w:rPr>
        <w:t xml:space="preserve"> 465 000 kg</w:t>
      </w:r>
      <w:r w:rsidR="00FB7053" w:rsidRPr="009C3406">
        <w:rPr>
          <w:lang w:eastAsia="fr-CA"/>
        </w:rPr>
        <w:t xml:space="preserve">, </w:t>
      </w:r>
      <w:r w:rsidR="003B6228" w:rsidRPr="009C3406">
        <w:rPr>
          <w:lang w:eastAsia="fr-CA"/>
        </w:rPr>
        <w:t xml:space="preserve">ce qui est </w:t>
      </w:r>
      <w:r w:rsidR="00A57E16" w:rsidRPr="009C3406">
        <w:rPr>
          <w:lang w:eastAsia="fr-CA"/>
        </w:rPr>
        <w:t>encore une fois énorme par rapport au deuxième pire, soit le N</w:t>
      </w:r>
      <w:r w:rsidR="00A57E16" w:rsidRPr="0093451F">
        <w:rPr>
          <w:vertAlign w:val="subscript"/>
          <w:lang w:eastAsia="fr-CA"/>
        </w:rPr>
        <w:t>2</w:t>
      </w:r>
      <w:r w:rsidR="00A57E16" w:rsidRPr="009C3406">
        <w:rPr>
          <w:lang w:eastAsia="fr-CA"/>
        </w:rPr>
        <w:t>0, ave</w:t>
      </w:r>
      <w:r w:rsidR="00B20467" w:rsidRPr="009C3406">
        <w:rPr>
          <w:lang w:eastAsia="fr-CA"/>
        </w:rPr>
        <w:t>c ses 26 900 kg</w:t>
      </w:r>
      <w:r w:rsidR="008D0361" w:rsidRPr="009C3406">
        <w:rPr>
          <w:lang w:eastAsia="fr-CA"/>
        </w:rPr>
        <w:t xml:space="preserve"> équivalents</w:t>
      </w:r>
      <w:r w:rsidR="00B20467" w:rsidRPr="009C3406">
        <w:rPr>
          <w:lang w:eastAsia="fr-CA"/>
        </w:rPr>
        <w:t>.</w:t>
      </w:r>
      <w:r w:rsidR="001D10B6" w:rsidRPr="009C3406">
        <w:rPr>
          <w:lang w:eastAsia="fr-CA"/>
        </w:rPr>
        <w:t xml:space="preserve"> Pour ce qui est de la fin de vie, c’est toujours le CO</w:t>
      </w:r>
      <w:r w:rsidR="001D10B6" w:rsidRPr="0093451F">
        <w:rPr>
          <w:vertAlign w:val="subscript"/>
          <w:lang w:eastAsia="fr-CA"/>
        </w:rPr>
        <w:t>2</w:t>
      </w:r>
      <w:r w:rsidR="001D10B6" w:rsidRPr="009C3406">
        <w:rPr>
          <w:lang w:eastAsia="fr-CA"/>
        </w:rPr>
        <w:t xml:space="preserve"> </w:t>
      </w:r>
      <w:r w:rsidR="00FB7053" w:rsidRPr="009C3406">
        <w:rPr>
          <w:lang w:eastAsia="fr-CA"/>
        </w:rPr>
        <w:t xml:space="preserve">qui affiche </w:t>
      </w:r>
      <w:r w:rsidR="00EE3C5A" w:rsidRPr="009C3406">
        <w:rPr>
          <w:lang w:eastAsia="fr-CA"/>
        </w:rPr>
        <w:t>les pires chiffres</w:t>
      </w:r>
      <w:r w:rsidR="00FB7053" w:rsidRPr="009C3406">
        <w:rPr>
          <w:lang w:eastAsia="fr-CA"/>
        </w:rPr>
        <w:t xml:space="preserve"> </w:t>
      </w:r>
      <w:r w:rsidR="00CD75E7" w:rsidRPr="009C3406">
        <w:rPr>
          <w:lang w:eastAsia="fr-CA"/>
        </w:rPr>
        <w:t xml:space="preserve">avec 378 kg émis, </w:t>
      </w:r>
      <w:r w:rsidR="00C439A1" w:rsidRPr="009C3406">
        <w:rPr>
          <w:lang w:eastAsia="fr-CA"/>
        </w:rPr>
        <w:t>comparativement au</w:t>
      </w:r>
      <w:r w:rsidR="00BC2E43" w:rsidRPr="009C3406">
        <w:rPr>
          <w:lang w:eastAsia="fr-CA"/>
        </w:rPr>
        <w:t>x 6,35kg de</w:t>
      </w:r>
      <w:r w:rsidR="00C439A1" w:rsidRPr="009C3406">
        <w:rPr>
          <w:lang w:eastAsia="fr-CA"/>
        </w:rPr>
        <w:t xml:space="preserve"> CH</w:t>
      </w:r>
      <w:r w:rsidR="00C439A1" w:rsidRPr="0093451F">
        <w:rPr>
          <w:vertAlign w:val="subscript"/>
          <w:lang w:eastAsia="fr-CA"/>
        </w:rPr>
        <w:t>4</w:t>
      </w:r>
      <w:r w:rsidR="00BC2E43" w:rsidRPr="009C3406">
        <w:rPr>
          <w:lang w:eastAsia="fr-CA"/>
        </w:rPr>
        <w:t>.</w:t>
      </w:r>
      <w:r w:rsidR="00373DC2" w:rsidRPr="009C3406">
        <w:rPr>
          <w:lang w:eastAsia="fr-CA"/>
        </w:rPr>
        <w:t xml:space="preserve"> </w:t>
      </w:r>
      <w:r w:rsidR="00865A7A" w:rsidRPr="009C3406">
        <w:rPr>
          <w:lang w:eastAsia="fr-CA"/>
        </w:rPr>
        <w:t>Il est évident que le dioxyde carbone est le plus néfaste pour l’environnement tout au long d</w:t>
      </w:r>
      <w:r w:rsidR="0066174B" w:rsidRPr="009C3406">
        <w:rPr>
          <w:lang w:eastAsia="fr-CA"/>
        </w:rPr>
        <w:t>u cycle de vie du centre de données québécois, et ce, par une bonne longueur d’avance.</w:t>
      </w:r>
      <w:r w:rsidR="00F638A6" w:rsidRPr="009C3406">
        <w:rPr>
          <w:lang w:eastAsia="fr-CA"/>
        </w:rPr>
        <w:t xml:space="preserve"> </w:t>
      </w:r>
    </w:p>
    <w:p w14:paraId="145985EB" w14:textId="7C401E08" w:rsidR="0066174B" w:rsidRPr="009C3406" w:rsidRDefault="009D5491" w:rsidP="00CE0FAC">
      <w:pPr>
        <w:ind w:firstLine="708"/>
        <w:rPr>
          <w:lang w:eastAsia="fr-CA"/>
        </w:rPr>
      </w:pPr>
      <w:r w:rsidRPr="009C3406">
        <w:rPr>
          <w:lang w:eastAsia="fr-CA"/>
        </w:rPr>
        <w:t>En Alberta</w:t>
      </w:r>
      <w:r w:rsidR="009303E7" w:rsidRPr="009C3406">
        <w:rPr>
          <w:lang w:eastAsia="fr-CA"/>
        </w:rPr>
        <w:t xml:space="preserve">, </w:t>
      </w:r>
      <w:r w:rsidR="00827313" w:rsidRPr="009C3406">
        <w:rPr>
          <w:lang w:eastAsia="fr-CA"/>
        </w:rPr>
        <w:t xml:space="preserve">lors de l’étape de la production, </w:t>
      </w:r>
      <w:r w:rsidR="004B6ECD" w:rsidRPr="009C3406">
        <w:rPr>
          <w:lang w:eastAsia="fr-CA"/>
        </w:rPr>
        <w:t>c’est le CH</w:t>
      </w:r>
      <w:r w:rsidR="004B6ECD" w:rsidRPr="0093451F">
        <w:rPr>
          <w:vertAlign w:val="subscript"/>
          <w:lang w:eastAsia="fr-CA"/>
        </w:rPr>
        <w:t>4</w:t>
      </w:r>
      <w:r w:rsidR="004B6ECD" w:rsidRPr="009C3406">
        <w:rPr>
          <w:lang w:eastAsia="fr-CA"/>
        </w:rPr>
        <w:t xml:space="preserve"> qui prend la relève du gaz le plus </w:t>
      </w:r>
      <w:r w:rsidR="00EB1BBD" w:rsidRPr="009C3406">
        <w:rPr>
          <w:lang w:eastAsia="fr-CA"/>
        </w:rPr>
        <w:t>néfaste</w:t>
      </w:r>
      <w:r w:rsidR="00143CC7" w:rsidRPr="009C3406">
        <w:rPr>
          <w:lang w:eastAsia="fr-CA"/>
        </w:rPr>
        <w:t>. Nous retrouvons des émissions de 7 080</w:t>
      </w:r>
      <w:r w:rsidR="0020650C" w:rsidRPr="009C3406">
        <w:rPr>
          <w:lang w:eastAsia="fr-CA"/>
        </w:rPr>
        <w:t> </w:t>
      </w:r>
      <w:r w:rsidR="00143CC7" w:rsidRPr="009C3406">
        <w:rPr>
          <w:lang w:eastAsia="fr-CA"/>
        </w:rPr>
        <w:t>000</w:t>
      </w:r>
      <w:r w:rsidR="0020650C" w:rsidRPr="009C3406">
        <w:rPr>
          <w:lang w:eastAsia="fr-CA"/>
        </w:rPr>
        <w:t xml:space="preserve"> </w:t>
      </w:r>
      <w:r w:rsidR="00143CC7" w:rsidRPr="009C3406">
        <w:rPr>
          <w:lang w:eastAsia="fr-CA"/>
        </w:rPr>
        <w:t>kg</w:t>
      </w:r>
      <w:r w:rsidR="00365FD5" w:rsidRPr="009C3406">
        <w:rPr>
          <w:lang w:eastAsia="fr-CA"/>
        </w:rPr>
        <w:t>, alors qu</w:t>
      </w:r>
      <w:r w:rsidR="009673A6" w:rsidRPr="009C3406">
        <w:rPr>
          <w:lang w:eastAsia="fr-CA"/>
        </w:rPr>
        <w:t>’il y a 185</w:t>
      </w:r>
      <w:r w:rsidR="00FE407B" w:rsidRPr="009C3406">
        <w:rPr>
          <w:lang w:eastAsia="fr-CA"/>
        </w:rPr>
        <w:t> </w:t>
      </w:r>
      <w:r w:rsidR="009673A6" w:rsidRPr="009C3406">
        <w:rPr>
          <w:lang w:eastAsia="fr-CA"/>
        </w:rPr>
        <w:t>000</w:t>
      </w:r>
      <w:r w:rsidR="00FE407B" w:rsidRPr="009C3406">
        <w:rPr>
          <w:lang w:eastAsia="fr-CA"/>
        </w:rPr>
        <w:t xml:space="preserve"> kg de CO</w:t>
      </w:r>
      <w:r w:rsidR="00FE407B" w:rsidRPr="0093451F">
        <w:rPr>
          <w:vertAlign w:val="subscript"/>
          <w:lang w:eastAsia="fr-CA"/>
        </w:rPr>
        <w:t>2</w:t>
      </w:r>
      <w:r w:rsidR="00CE45F8" w:rsidRPr="009C3406">
        <w:rPr>
          <w:lang w:eastAsia="fr-CA"/>
        </w:rPr>
        <w:t xml:space="preserve">. </w:t>
      </w:r>
      <w:r w:rsidR="00AE69C7" w:rsidRPr="009C3406">
        <w:rPr>
          <w:lang w:eastAsia="fr-CA"/>
        </w:rPr>
        <w:t xml:space="preserve">La tendance se maintient rendu à l’étape de l’utilisation. En effet, </w:t>
      </w:r>
      <w:r w:rsidR="00AA73E6" w:rsidRPr="009C3406">
        <w:rPr>
          <w:lang w:eastAsia="fr-CA"/>
        </w:rPr>
        <w:t>le data center va créer 2</w:t>
      </w:r>
      <w:r w:rsidR="00CC2082" w:rsidRPr="009C3406">
        <w:rPr>
          <w:lang w:eastAsia="fr-CA"/>
        </w:rPr>
        <w:t xml:space="preserve">85 000 000 kg </w:t>
      </w:r>
      <w:r w:rsidR="00DC36CF" w:rsidRPr="009C3406">
        <w:rPr>
          <w:lang w:eastAsia="fr-CA"/>
        </w:rPr>
        <w:t>de CH</w:t>
      </w:r>
      <w:r w:rsidR="00DC36CF" w:rsidRPr="0093451F">
        <w:rPr>
          <w:vertAlign w:val="subscript"/>
          <w:lang w:eastAsia="fr-CA"/>
        </w:rPr>
        <w:t>4</w:t>
      </w:r>
      <w:r w:rsidR="00DC36CF" w:rsidRPr="009C3406">
        <w:rPr>
          <w:lang w:eastAsia="fr-CA"/>
        </w:rPr>
        <w:t xml:space="preserve"> </w:t>
      </w:r>
      <w:r w:rsidR="007D4228" w:rsidRPr="009C3406">
        <w:rPr>
          <w:lang w:eastAsia="fr-CA"/>
        </w:rPr>
        <w:t xml:space="preserve">alors qu’il y aura </w:t>
      </w:r>
      <w:r w:rsidR="00FE5CF6" w:rsidRPr="009C3406">
        <w:rPr>
          <w:lang w:eastAsia="fr-CA"/>
        </w:rPr>
        <w:t>50 500 000 kg de CO</w:t>
      </w:r>
      <w:r w:rsidR="00FE5CF6" w:rsidRPr="0093451F">
        <w:rPr>
          <w:vertAlign w:val="subscript"/>
          <w:lang w:eastAsia="fr-CA"/>
        </w:rPr>
        <w:t>2</w:t>
      </w:r>
      <w:r w:rsidR="00F52A0F" w:rsidRPr="009C3406">
        <w:rPr>
          <w:lang w:eastAsia="fr-CA"/>
        </w:rPr>
        <w:t>. E</w:t>
      </w:r>
      <w:r w:rsidR="00A33D47" w:rsidRPr="009C3406">
        <w:rPr>
          <w:lang w:eastAsia="fr-CA"/>
        </w:rPr>
        <w:t>n</w:t>
      </w:r>
      <w:r w:rsidR="00F52A0F" w:rsidRPr="009C3406">
        <w:rPr>
          <w:lang w:eastAsia="fr-CA"/>
        </w:rPr>
        <w:t xml:space="preserve"> fin de vie</w:t>
      </w:r>
      <w:r w:rsidR="00A33D47" w:rsidRPr="009C3406">
        <w:rPr>
          <w:lang w:eastAsia="fr-CA"/>
        </w:rPr>
        <w:t xml:space="preserve">, les émissions du centre de données seront de </w:t>
      </w:r>
      <w:r w:rsidR="007D36C7" w:rsidRPr="009C3406">
        <w:rPr>
          <w:lang w:eastAsia="fr-CA"/>
        </w:rPr>
        <w:t>14 300 kg de CH</w:t>
      </w:r>
      <w:r w:rsidR="007D36C7" w:rsidRPr="0093451F">
        <w:rPr>
          <w:vertAlign w:val="subscript"/>
          <w:lang w:eastAsia="fr-CA"/>
        </w:rPr>
        <w:t>4</w:t>
      </w:r>
      <w:r w:rsidR="007D36C7" w:rsidRPr="009C3406">
        <w:rPr>
          <w:lang w:eastAsia="fr-CA"/>
        </w:rPr>
        <w:t xml:space="preserve"> et 851 kg de CO</w:t>
      </w:r>
      <w:r w:rsidR="007D36C7" w:rsidRPr="0093451F">
        <w:rPr>
          <w:vertAlign w:val="subscript"/>
          <w:lang w:eastAsia="fr-CA"/>
        </w:rPr>
        <w:t>2</w:t>
      </w:r>
      <w:r w:rsidR="00F17E5C" w:rsidRPr="009C3406">
        <w:rPr>
          <w:lang w:eastAsia="fr-CA"/>
        </w:rPr>
        <w:t xml:space="preserve">. </w:t>
      </w:r>
      <w:r w:rsidR="00A0672A" w:rsidRPr="009C3406">
        <w:rPr>
          <w:lang w:eastAsia="fr-CA"/>
        </w:rPr>
        <w:t>Pendant l’entièreté du cycle de vie, des quantités énormes</w:t>
      </w:r>
      <w:r w:rsidR="000304F5" w:rsidRPr="009C3406">
        <w:rPr>
          <w:lang w:eastAsia="fr-CA"/>
        </w:rPr>
        <w:t>,</w:t>
      </w:r>
      <w:r w:rsidR="00A0672A" w:rsidRPr="009C3406">
        <w:rPr>
          <w:lang w:eastAsia="fr-CA"/>
        </w:rPr>
        <w:t xml:space="preserve"> </w:t>
      </w:r>
      <w:r w:rsidR="00635E61" w:rsidRPr="009C3406">
        <w:rPr>
          <w:lang w:eastAsia="fr-CA"/>
        </w:rPr>
        <w:t xml:space="preserve">principalement </w:t>
      </w:r>
      <w:r w:rsidR="00A0672A" w:rsidRPr="009C3406">
        <w:rPr>
          <w:lang w:eastAsia="fr-CA"/>
        </w:rPr>
        <w:t>de méthane</w:t>
      </w:r>
      <w:r w:rsidR="00635E61" w:rsidRPr="009C3406">
        <w:rPr>
          <w:lang w:eastAsia="fr-CA"/>
        </w:rPr>
        <w:t>, mais aussi de dioxyde de carbone</w:t>
      </w:r>
      <w:r w:rsidR="00DC20E7" w:rsidRPr="009C3406">
        <w:rPr>
          <w:lang w:eastAsia="fr-CA"/>
        </w:rPr>
        <w:t>,</w:t>
      </w:r>
      <w:r w:rsidR="00635E61" w:rsidRPr="009C3406">
        <w:rPr>
          <w:lang w:eastAsia="fr-CA"/>
        </w:rPr>
        <w:t xml:space="preserve"> sont émises dans l’atmosphère.</w:t>
      </w:r>
      <w:r w:rsidR="0093451F" w:rsidRPr="009C3406">
        <w:rPr>
          <w:lang w:eastAsia="fr-CA"/>
        </w:rPr>
        <w:t xml:space="preserve"> </w:t>
      </w:r>
    </w:p>
    <w:p w14:paraId="234AA8DA" w14:textId="77777777" w:rsidR="00635E61" w:rsidRPr="009C3406" w:rsidRDefault="00635E61" w:rsidP="00635E61">
      <w:pPr>
        <w:spacing w:after="0" w:line="240" w:lineRule="auto"/>
        <w:rPr>
          <w:rFonts w:cstheme="minorHAnsi"/>
          <w:szCs w:val="22"/>
          <w:lang w:eastAsia="fr-CA"/>
        </w:rPr>
      </w:pPr>
    </w:p>
    <w:p w14:paraId="7CD33A22" w14:textId="3F25125B" w:rsidR="005F6B76" w:rsidRPr="00280296" w:rsidRDefault="005F6B76" w:rsidP="00635E61">
      <w:pPr>
        <w:spacing w:after="0" w:line="240" w:lineRule="auto"/>
        <w:rPr>
          <w:rFonts w:cstheme="minorHAnsi"/>
          <w:szCs w:val="22"/>
          <w:lang w:eastAsia="fr-CA"/>
        </w:rPr>
      </w:pPr>
      <w:r w:rsidRPr="009C3406">
        <w:rPr>
          <w:rFonts w:cstheme="minorHAnsi"/>
          <w:i/>
          <w:iCs/>
          <w:szCs w:val="22"/>
          <w:lang w:eastAsia="fr-CA"/>
        </w:rPr>
        <w:t>*Les données en kg sont exprimées en kg équivalent de CO</w:t>
      </w:r>
      <w:r w:rsidRPr="00FD2BFD">
        <w:rPr>
          <w:rFonts w:cstheme="minorHAnsi"/>
          <w:i/>
          <w:szCs w:val="22"/>
          <w:vertAlign w:val="subscript"/>
          <w:lang w:eastAsia="fr-CA"/>
        </w:rPr>
        <w:t>2</w:t>
      </w:r>
    </w:p>
    <w:p w14:paraId="4078B079" w14:textId="77777777" w:rsidR="008B2838" w:rsidRDefault="008B2838" w:rsidP="008B2838">
      <w:pPr>
        <w:rPr>
          <w:lang w:eastAsia="fr-CA"/>
        </w:rPr>
      </w:pPr>
    </w:p>
    <w:p w14:paraId="1635D03C" w14:textId="1EAC76EB" w:rsidR="008B2838" w:rsidRDefault="008B2838" w:rsidP="008B2838">
      <w:pPr>
        <w:pStyle w:val="Titre1"/>
      </w:pPr>
      <w:bookmarkStart w:id="11" w:name="_Toc127806201"/>
      <w:bookmarkStart w:id="12" w:name="_Toc127874035"/>
      <w:r>
        <w:t xml:space="preserve">Évaluation </w:t>
      </w:r>
      <w:r w:rsidR="00CC3623">
        <w:t xml:space="preserve">des </w:t>
      </w:r>
      <w:r w:rsidR="007B22D7">
        <w:t>impacts sur le cycle de vie (EICV)</w:t>
      </w:r>
      <w:bookmarkEnd w:id="11"/>
      <w:bookmarkEnd w:id="12"/>
    </w:p>
    <w:p w14:paraId="1AD9C5E5" w14:textId="5AEA64E9" w:rsidR="0043090B" w:rsidRDefault="0043090B" w:rsidP="003F5AE7">
      <w:pPr>
        <w:ind w:firstLine="567"/>
        <w:rPr>
          <w:lang w:eastAsia="fr-CA"/>
        </w:rPr>
      </w:pPr>
      <w:r>
        <w:rPr>
          <w:lang w:eastAsia="fr-CA"/>
        </w:rPr>
        <w:t>Comme expliqué plus haut, une unité a d</w:t>
      </w:r>
      <w:r w:rsidR="003F5AE7">
        <w:rPr>
          <w:lang w:eastAsia="fr-CA"/>
        </w:rPr>
        <w:t>û</w:t>
      </w:r>
      <w:r>
        <w:rPr>
          <w:lang w:eastAsia="fr-CA"/>
        </w:rPr>
        <w:t xml:space="preserve"> être trouvé pour pouvoir comparer </w:t>
      </w:r>
      <w:r w:rsidR="003F5AE7">
        <w:rPr>
          <w:lang w:eastAsia="fr-CA"/>
        </w:rPr>
        <w:t xml:space="preserve">les deux centres de données ensemble. </w:t>
      </w:r>
      <w:r w:rsidR="003207DF">
        <w:rPr>
          <w:lang w:eastAsia="fr-CA"/>
        </w:rPr>
        <w:t>Les tableaux donnés</w:t>
      </w:r>
      <w:r w:rsidR="00FD3297">
        <w:rPr>
          <w:lang w:eastAsia="fr-CA"/>
        </w:rPr>
        <w:t xml:space="preserve"> sont </w:t>
      </w:r>
      <w:r w:rsidR="003207DF">
        <w:rPr>
          <w:lang w:eastAsia="fr-CA"/>
        </w:rPr>
        <w:t>des tableaux</w:t>
      </w:r>
      <w:r w:rsidR="00FD3297">
        <w:rPr>
          <w:lang w:eastAsia="fr-CA"/>
        </w:rPr>
        <w:t xml:space="preserve"> de tous les problèmes que </w:t>
      </w:r>
      <w:r w:rsidR="00FD3297">
        <w:rPr>
          <w:lang w:eastAsia="fr-CA"/>
        </w:rPr>
        <w:lastRenderedPageBreak/>
        <w:t xml:space="preserve">causent chaque </w:t>
      </w:r>
      <w:r w:rsidR="003207DF">
        <w:rPr>
          <w:lang w:eastAsia="fr-CA"/>
        </w:rPr>
        <w:t xml:space="preserve">centre de données. Pour être capable de </w:t>
      </w:r>
      <w:r w:rsidR="00AB66E9">
        <w:rPr>
          <w:lang w:eastAsia="fr-CA"/>
        </w:rPr>
        <w:t>trouver</w:t>
      </w:r>
      <w:r w:rsidR="003207DF">
        <w:rPr>
          <w:lang w:eastAsia="fr-CA"/>
        </w:rPr>
        <w:t xml:space="preserve"> une </w:t>
      </w:r>
      <w:r w:rsidR="00AB66E9">
        <w:rPr>
          <w:lang w:eastAsia="fr-CA"/>
        </w:rPr>
        <w:t>unité qui est équivalente entre les deux centres, les valeurs doivent être transféré en dommage. Pour s’y faire</w:t>
      </w:r>
      <w:r w:rsidR="00334196">
        <w:rPr>
          <w:lang w:eastAsia="fr-CA"/>
        </w:rPr>
        <w:t xml:space="preserve"> </w:t>
      </w:r>
      <w:r w:rsidR="00F125EE">
        <w:rPr>
          <w:lang w:eastAsia="fr-CA"/>
        </w:rPr>
        <w:t xml:space="preserve">des </w:t>
      </w:r>
      <w:r w:rsidR="00AB66E9">
        <w:rPr>
          <w:lang w:eastAsia="fr-CA"/>
        </w:rPr>
        <w:t>valeurs de conversion</w:t>
      </w:r>
      <w:r w:rsidR="00334196">
        <w:rPr>
          <w:lang w:eastAsia="fr-CA"/>
        </w:rPr>
        <w:t xml:space="preserve"> peuvent être trouvé à la page </w:t>
      </w:r>
      <w:r w:rsidR="00F125EE">
        <w:rPr>
          <w:lang w:eastAsia="fr-CA"/>
        </w:rPr>
        <w:t>39 des notes de cours de l’APP4</w:t>
      </w:r>
      <w:sdt>
        <w:sdtPr>
          <w:rPr>
            <w:lang w:eastAsia="fr-CA"/>
          </w:rPr>
          <w:id w:val="275829327"/>
          <w:citation/>
        </w:sdtPr>
        <w:sdtContent>
          <w:r w:rsidR="00F125EE">
            <w:rPr>
              <w:lang w:eastAsia="fr-CA"/>
            </w:rPr>
            <w:fldChar w:fldCharType="begin"/>
          </w:r>
          <w:r w:rsidR="00F125EE">
            <w:rPr>
              <w:lang w:eastAsia="fr-CA"/>
            </w:rPr>
            <w:instrText xml:space="preserve"> CITATION BRo21 \l 3084 </w:instrText>
          </w:r>
          <w:r w:rsidR="00F125EE">
            <w:rPr>
              <w:lang w:eastAsia="fr-CA"/>
            </w:rPr>
            <w:fldChar w:fldCharType="separate"/>
          </w:r>
          <w:r w:rsidR="00F125EE">
            <w:rPr>
              <w:noProof/>
              <w:lang w:eastAsia="fr-CA"/>
            </w:rPr>
            <w:t xml:space="preserve"> [2]</w:t>
          </w:r>
          <w:r w:rsidR="00F125EE">
            <w:rPr>
              <w:lang w:eastAsia="fr-CA"/>
            </w:rPr>
            <w:fldChar w:fldCharType="end"/>
          </w:r>
        </w:sdtContent>
      </w:sdt>
      <w:r w:rsidR="00F125EE">
        <w:rPr>
          <w:lang w:eastAsia="fr-CA"/>
        </w:rPr>
        <w:t xml:space="preserve">. </w:t>
      </w:r>
      <w:r w:rsidR="00834855">
        <w:rPr>
          <w:lang w:eastAsia="fr-CA"/>
        </w:rPr>
        <w:t>Ces</w:t>
      </w:r>
      <w:r w:rsidR="00011E3D">
        <w:rPr>
          <w:lang w:eastAsia="fr-CA"/>
        </w:rPr>
        <w:t xml:space="preserve"> valeurs permettent de</w:t>
      </w:r>
      <w:r w:rsidR="001D61B0">
        <w:rPr>
          <w:lang w:eastAsia="fr-CA"/>
        </w:rPr>
        <w:t xml:space="preserve"> mettre les données dans des unités identique. Cependant, il n’est pas possible de mettre </w:t>
      </w:r>
      <w:r w:rsidR="00834855">
        <w:rPr>
          <w:lang w:eastAsia="fr-CA"/>
        </w:rPr>
        <w:t>toutes les valeurs</w:t>
      </w:r>
      <w:r w:rsidR="001D61B0">
        <w:rPr>
          <w:lang w:eastAsia="fr-CA"/>
        </w:rPr>
        <w:t xml:space="preserve"> dans des données équivalente. C’est pourquoi il </w:t>
      </w:r>
      <w:r w:rsidR="00AB66E9">
        <w:rPr>
          <w:lang w:eastAsia="fr-CA"/>
        </w:rPr>
        <w:t>y a</w:t>
      </w:r>
      <w:r w:rsidR="001D61B0">
        <w:rPr>
          <w:lang w:eastAsia="fr-CA"/>
        </w:rPr>
        <w:t xml:space="preserve"> quatre </w:t>
      </w:r>
      <w:r w:rsidR="006D5238">
        <w:rPr>
          <w:lang w:eastAsia="fr-CA"/>
        </w:rPr>
        <w:t xml:space="preserve">différentes </w:t>
      </w:r>
      <w:r w:rsidR="001D61B0">
        <w:rPr>
          <w:lang w:eastAsia="fr-CA"/>
        </w:rPr>
        <w:t xml:space="preserve">sections </w:t>
      </w:r>
      <w:r w:rsidR="00AB66E9">
        <w:rPr>
          <w:lang w:eastAsia="fr-CA"/>
        </w:rPr>
        <w:t>de dommages</w:t>
      </w:r>
      <w:r w:rsidR="001D61B0">
        <w:rPr>
          <w:lang w:eastAsia="fr-CA"/>
        </w:rPr>
        <w:t>. Santé humaine, qualité des écosystèmes, changement climatique</w:t>
      </w:r>
      <w:r w:rsidR="00F51BAC">
        <w:rPr>
          <w:lang w:eastAsia="fr-CA"/>
        </w:rPr>
        <w:t xml:space="preserve"> et </w:t>
      </w:r>
      <w:r w:rsidR="00834855">
        <w:rPr>
          <w:lang w:eastAsia="fr-CA"/>
        </w:rPr>
        <w:t>ressources</w:t>
      </w:r>
      <w:r w:rsidR="00F51BAC">
        <w:rPr>
          <w:lang w:eastAsia="fr-CA"/>
        </w:rPr>
        <w:t xml:space="preserve"> sont les nouvelles sections qu</w:t>
      </w:r>
      <w:r w:rsidR="0048455B">
        <w:rPr>
          <w:lang w:eastAsia="fr-CA"/>
        </w:rPr>
        <w:t>i apparaissent. Les unité</w:t>
      </w:r>
      <w:r w:rsidR="00F605D2">
        <w:rPr>
          <w:lang w:eastAsia="fr-CA"/>
        </w:rPr>
        <w:t>s</w:t>
      </w:r>
      <w:r w:rsidR="0048455B">
        <w:rPr>
          <w:lang w:eastAsia="fr-CA"/>
        </w:rPr>
        <w:t xml:space="preserve"> de ses nouvelles sections </w:t>
      </w:r>
      <w:r w:rsidR="007525E5">
        <w:rPr>
          <w:lang w:eastAsia="fr-CA"/>
        </w:rPr>
        <w:t>sont DALY</w:t>
      </w:r>
      <w:r w:rsidR="00F56427">
        <w:rPr>
          <w:lang w:eastAsia="fr-CA"/>
        </w:rPr>
        <w:t>, PDF.m</w:t>
      </w:r>
      <w:r w:rsidR="00F56427">
        <w:rPr>
          <w:vertAlign w:val="superscript"/>
          <w:lang w:eastAsia="fr-CA"/>
        </w:rPr>
        <w:t>2</w:t>
      </w:r>
      <w:r w:rsidR="00F56427">
        <w:rPr>
          <w:lang w:eastAsia="fr-CA"/>
        </w:rPr>
        <w:t>.</w:t>
      </w:r>
      <w:r w:rsidR="0050588D">
        <w:rPr>
          <w:lang w:eastAsia="fr-CA"/>
        </w:rPr>
        <w:t xml:space="preserve">an, kg </w:t>
      </w:r>
      <w:r w:rsidR="00F605D2">
        <w:rPr>
          <w:lang w:eastAsia="fr-CA"/>
        </w:rPr>
        <w:t>C</w:t>
      </w:r>
      <w:r w:rsidR="0050588D">
        <w:rPr>
          <w:lang w:eastAsia="fr-CA"/>
        </w:rPr>
        <w:t>O</w:t>
      </w:r>
      <w:r w:rsidR="0050588D">
        <w:rPr>
          <w:vertAlign w:val="subscript"/>
          <w:lang w:eastAsia="fr-CA"/>
        </w:rPr>
        <w:t>2</w:t>
      </w:r>
      <w:r w:rsidR="0050588D">
        <w:rPr>
          <w:lang w:eastAsia="fr-CA"/>
        </w:rPr>
        <w:t xml:space="preserve">, </w:t>
      </w:r>
      <w:r w:rsidR="00F605D2">
        <w:rPr>
          <w:lang w:eastAsia="fr-CA"/>
        </w:rPr>
        <w:t xml:space="preserve">MJ respectivement. </w:t>
      </w:r>
    </w:p>
    <w:p w14:paraId="0B0760E7" w14:textId="77777777" w:rsidR="00C80961" w:rsidRPr="00F56427" w:rsidRDefault="00C80961" w:rsidP="003F5AE7">
      <w:pPr>
        <w:ind w:firstLine="567"/>
        <w:rPr>
          <w:lang w:eastAsia="fr-CA"/>
        </w:rPr>
      </w:pPr>
    </w:p>
    <w:p w14:paraId="2DB755C3" w14:textId="0CD3E878" w:rsidR="00C87524" w:rsidRDefault="00C87524" w:rsidP="003F5AE7">
      <w:pPr>
        <w:ind w:firstLine="567"/>
        <w:rPr>
          <w:lang w:eastAsia="fr-CA"/>
        </w:rPr>
      </w:pPr>
      <w:r>
        <w:rPr>
          <w:lang w:eastAsia="fr-CA"/>
        </w:rPr>
        <w:t>Une fois ces sec</w:t>
      </w:r>
      <w:r w:rsidR="001F01C7">
        <w:rPr>
          <w:lang w:eastAsia="fr-CA"/>
        </w:rPr>
        <w:t xml:space="preserve">tions </w:t>
      </w:r>
      <w:r w:rsidR="00CF45B9">
        <w:rPr>
          <w:lang w:eastAsia="fr-CA"/>
        </w:rPr>
        <w:t>trouvées</w:t>
      </w:r>
      <w:r w:rsidR="00CC5604">
        <w:rPr>
          <w:lang w:eastAsia="fr-CA"/>
        </w:rPr>
        <w:t xml:space="preserve"> il est possible de</w:t>
      </w:r>
      <w:r w:rsidR="00BC1B06">
        <w:rPr>
          <w:lang w:eastAsia="fr-CA"/>
        </w:rPr>
        <w:t xml:space="preserve">s regrouper </w:t>
      </w:r>
      <w:r w:rsidR="00EB2BE3">
        <w:rPr>
          <w:lang w:eastAsia="fr-CA"/>
        </w:rPr>
        <w:t xml:space="preserve">ensemble </w:t>
      </w:r>
      <w:r w:rsidR="00F802AD">
        <w:rPr>
          <w:lang w:eastAsia="fr-CA"/>
        </w:rPr>
        <w:t xml:space="preserve">et de comparer les données pour chacun des </w:t>
      </w:r>
      <w:r w:rsidR="004735DB">
        <w:rPr>
          <w:lang w:eastAsia="fr-CA"/>
        </w:rPr>
        <w:t>centres</w:t>
      </w:r>
      <w:r w:rsidR="00F802AD">
        <w:rPr>
          <w:lang w:eastAsia="fr-CA"/>
        </w:rPr>
        <w:t xml:space="preserve"> par rapport à leur sections respectives. </w:t>
      </w:r>
      <w:r w:rsidR="001F0064">
        <w:rPr>
          <w:lang w:eastAsia="fr-CA"/>
        </w:rPr>
        <w:t>Pour s’y faire puisque l’unité fonctionnelle a été choisi</w:t>
      </w:r>
      <w:r w:rsidR="00F802AD">
        <w:rPr>
          <w:lang w:eastAsia="fr-CA"/>
        </w:rPr>
        <w:t xml:space="preserve"> </w:t>
      </w:r>
      <w:r w:rsidR="00D96566">
        <w:rPr>
          <w:lang w:eastAsia="fr-CA"/>
        </w:rPr>
        <w:t xml:space="preserve">il est possible de créer un graphique avec toutes les données à l’intérieur.  </w:t>
      </w:r>
      <w:r w:rsidR="009B6364">
        <w:rPr>
          <w:lang w:eastAsia="fr-CA"/>
        </w:rPr>
        <w:t xml:space="preserve">Pour être </w:t>
      </w:r>
      <w:r w:rsidR="00331E01">
        <w:rPr>
          <w:lang w:eastAsia="fr-CA"/>
        </w:rPr>
        <w:t>sûr</w:t>
      </w:r>
      <w:r w:rsidR="009B6364">
        <w:rPr>
          <w:lang w:eastAsia="fr-CA"/>
        </w:rPr>
        <w:t xml:space="preserve"> de bien comparer, il est préférable de mettre le graphique en </w:t>
      </w:r>
      <w:r w:rsidR="008F1CBE">
        <w:rPr>
          <w:lang w:eastAsia="fr-CA"/>
        </w:rPr>
        <w:t>pourcentage puisque ceci</w:t>
      </w:r>
      <w:r w:rsidR="00331E01">
        <w:rPr>
          <w:lang w:eastAsia="fr-CA"/>
        </w:rPr>
        <w:t xml:space="preserve"> </w:t>
      </w:r>
      <w:r w:rsidR="00DF747F">
        <w:rPr>
          <w:lang w:eastAsia="fr-CA"/>
        </w:rPr>
        <w:t>permet</w:t>
      </w:r>
      <w:r w:rsidR="008F1CBE">
        <w:rPr>
          <w:lang w:eastAsia="fr-CA"/>
        </w:rPr>
        <w:t xml:space="preserve"> de mettre </w:t>
      </w:r>
      <w:r w:rsidR="00DF747F">
        <w:rPr>
          <w:lang w:eastAsia="fr-CA"/>
        </w:rPr>
        <w:t>toutes les sections</w:t>
      </w:r>
      <w:r w:rsidR="008F1CBE">
        <w:rPr>
          <w:lang w:eastAsia="fr-CA"/>
        </w:rPr>
        <w:t xml:space="preserve"> dans le même graphique malgré leur différence de </w:t>
      </w:r>
      <w:r w:rsidR="00331E01">
        <w:rPr>
          <w:lang w:eastAsia="fr-CA"/>
        </w:rPr>
        <w:t xml:space="preserve">valeurs. </w:t>
      </w:r>
      <w:r w:rsidR="00751E36">
        <w:rPr>
          <w:lang w:eastAsia="fr-CA"/>
        </w:rPr>
        <w:t xml:space="preserve">La méthode du maximum est </w:t>
      </w:r>
      <w:r w:rsidR="00A96F8B">
        <w:rPr>
          <w:lang w:eastAsia="fr-CA"/>
        </w:rPr>
        <w:t xml:space="preserve">utilisée, cette méthode consiste à faire égaler le scénario avec </w:t>
      </w:r>
      <w:r w:rsidR="00013F02">
        <w:rPr>
          <w:lang w:eastAsia="fr-CA"/>
        </w:rPr>
        <w:t>le plus gros impact</w:t>
      </w:r>
      <w:r w:rsidR="00A96F8B">
        <w:rPr>
          <w:lang w:eastAsia="fr-CA"/>
        </w:rPr>
        <w:t xml:space="preserve"> à </w:t>
      </w:r>
      <w:r w:rsidR="00235243">
        <w:rPr>
          <w:lang w:eastAsia="fr-CA"/>
        </w:rPr>
        <w:t xml:space="preserve">100% et faire égaler l’autre </w:t>
      </w:r>
      <w:r w:rsidR="00013F02">
        <w:rPr>
          <w:lang w:eastAsia="fr-CA"/>
        </w:rPr>
        <w:t>scénario</w:t>
      </w:r>
      <w:r w:rsidR="00235243">
        <w:rPr>
          <w:lang w:eastAsia="fr-CA"/>
        </w:rPr>
        <w:t xml:space="preserve"> au </w:t>
      </w:r>
      <w:r w:rsidR="00013F02">
        <w:rPr>
          <w:lang w:eastAsia="fr-CA"/>
        </w:rPr>
        <w:t xml:space="preserve">% de différence avec le maximum. </w:t>
      </w:r>
    </w:p>
    <w:p w14:paraId="3D419E40" w14:textId="77777777" w:rsidR="00C80961" w:rsidRPr="0050588D" w:rsidRDefault="00C80961" w:rsidP="003F5AE7">
      <w:pPr>
        <w:ind w:firstLine="567"/>
        <w:rPr>
          <w:lang w:eastAsia="fr-CA"/>
        </w:rPr>
      </w:pPr>
    </w:p>
    <w:p w14:paraId="1E73CF40" w14:textId="0FA02B29" w:rsidR="00013F02" w:rsidRDefault="000A1EEF" w:rsidP="003F5AE7">
      <w:pPr>
        <w:ind w:firstLine="567"/>
        <w:rPr>
          <w:lang w:eastAsia="fr-CA"/>
        </w:rPr>
      </w:pPr>
      <w:r>
        <w:rPr>
          <w:lang w:eastAsia="fr-CA"/>
        </w:rPr>
        <w:t>Par</w:t>
      </w:r>
      <w:r w:rsidR="00CF7740">
        <w:rPr>
          <w:lang w:eastAsia="fr-CA"/>
        </w:rPr>
        <w:t xml:space="preserve"> exemple, dans le tableau 1 il est possible de voir les 4 sections pour le </w:t>
      </w:r>
      <w:r w:rsidR="00642998">
        <w:rPr>
          <w:lang w:eastAsia="fr-CA"/>
        </w:rPr>
        <w:t xml:space="preserve">l’organisation des données. Par la suite, il est aussi possible de voir les deux scénarios soit le Québec ou l’Alberta. </w:t>
      </w:r>
    </w:p>
    <w:p w14:paraId="50192A9C" w14:textId="4C4B7324" w:rsidR="00FD3297" w:rsidRDefault="00FD3297" w:rsidP="00FD3297">
      <w:pPr>
        <w:pStyle w:val="Lgende"/>
      </w:pPr>
      <w:bookmarkStart w:id="13" w:name="_Toc127806213"/>
      <w:bookmarkStart w:id="14" w:name="_Toc127874047"/>
      <w:r>
        <w:t xml:space="preserve">Tableau </w:t>
      </w:r>
      <w:r>
        <w:fldChar w:fldCharType="begin"/>
      </w:r>
      <w:r>
        <w:instrText>SEQ Tableau \* ARABIC</w:instrText>
      </w:r>
      <w:r>
        <w:fldChar w:fldCharType="separate"/>
      </w:r>
      <w:r w:rsidR="00B47C06">
        <w:rPr>
          <w:noProof/>
        </w:rPr>
        <w:t>1</w:t>
      </w:r>
      <w:r>
        <w:fldChar w:fldCharType="end"/>
      </w:r>
      <w:r>
        <w:t xml:space="preserve"> : Tableau des dommages pour les deux </w:t>
      </w:r>
      <w:r w:rsidR="00D04CC4">
        <w:t>scénarios</w:t>
      </w:r>
      <w:bookmarkEnd w:id="13"/>
      <w:bookmarkEnd w:id="14"/>
    </w:p>
    <w:p w14:paraId="0F1EE98C" w14:textId="04CE282A" w:rsidR="0030429B" w:rsidRDefault="00FD3297" w:rsidP="00FD3297">
      <w:pPr>
        <w:rPr>
          <w:lang w:eastAsia="fr-CA"/>
        </w:rPr>
      </w:pPr>
      <w:r w:rsidRPr="00FD3297">
        <w:rPr>
          <w:noProof/>
          <w:lang w:eastAsia="fr-CA"/>
        </w:rPr>
        <w:drawing>
          <wp:inline distT="0" distB="0" distL="0" distR="0" wp14:anchorId="73E7781F" wp14:editId="1ED14F45">
            <wp:extent cx="5490210" cy="5886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210" cy="588645"/>
                    </a:xfrm>
                    <a:prstGeom prst="rect">
                      <a:avLst/>
                    </a:prstGeom>
                  </pic:spPr>
                </pic:pic>
              </a:graphicData>
            </a:graphic>
          </wp:inline>
        </w:drawing>
      </w:r>
    </w:p>
    <w:p w14:paraId="09BEBC4D" w14:textId="723BA6CF" w:rsidR="006A464B" w:rsidRDefault="00F835F2" w:rsidP="00FD3297">
      <w:pPr>
        <w:rPr>
          <w:lang w:eastAsia="fr-CA"/>
        </w:rPr>
      </w:pPr>
      <w:r>
        <w:rPr>
          <w:lang w:eastAsia="fr-CA"/>
        </w:rPr>
        <w:tab/>
      </w:r>
      <w:r w:rsidR="006A464B">
        <w:rPr>
          <w:lang w:eastAsia="fr-CA"/>
        </w:rPr>
        <w:t xml:space="preserve">Il est possible de trouver les maximums des pollueurs relativement facilement dans le tableau 1. Cependant une fois qu’ils sont mis en pourcentage (voir tableau 2), cela est beaucoup plus simple à déterminer les éléments les plus pollueurs. </w:t>
      </w:r>
    </w:p>
    <w:p w14:paraId="1E314145" w14:textId="31BDB7E6" w:rsidR="00F835F2" w:rsidRDefault="00F835F2" w:rsidP="00F835F2">
      <w:pPr>
        <w:pStyle w:val="Lgende"/>
      </w:pPr>
      <w:bookmarkStart w:id="15" w:name="_Toc127806214"/>
      <w:bookmarkStart w:id="16" w:name="_Toc127874048"/>
      <w:r>
        <w:lastRenderedPageBreak/>
        <w:t xml:space="preserve">Tableau </w:t>
      </w:r>
      <w:r>
        <w:fldChar w:fldCharType="begin"/>
      </w:r>
      <w:r>
        <w:instrText>SEQ Tableau \* ARABIC</w:instrText>
      </w:r>
      <w:r>
        <w:fldChar w:fldCharType="separate"/>
      </w:r>
      <w:r w:rsidR="00B47C06">
        <w:rPr>
          <w:noProof/>
        </w:rPr>
        <w:t>2</w:t>
      </w:r>
      <w:r>
        <w:fldChar w:fldCharType="end"/>
      </w:r>
      <w:r>
        <w:t xml:space="preserve"> : Tableau des dommages pour les deux scénarios en %</w:t>
      </w:r>
      <w:bookmarkEnd w:id="15"/>
      <w:bookmarkEnd w:id="16"/>
    </w:p>
    <w:p w14:paraId="7A43DA70" w14:textId="0E970AD2" w:rsidR="00FD3297" w:rsidRDefault="0063652F" w:rsidP="00FD3297">
      <w:pPr>
        <w:rPr>
          <w:lang w:eastAsia="fr-CA"/>
        </w:rPr>
      </w:pPr>
      <w:r w:rsidRPr="0063652F">
        <w:rPr>
          <w:noProof/>
          <w:lang w:eastAsia="fr-CA"/>
        </w:rPr>
        <w:drawing>
          <wp:inline distT="0" distB="0" distL="0" distR="0" wp14:anchorId="5386E1EB" wp14:editId="084D8098">
            <wp:extent cx="5488695" cy="59626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a:extLst>
                        <a:ext uri="{28A0092B-C50C-407E-A947-70E740481C1C}">
                          <a14:useLocalDpi xmlns:a14="http://schemas.microsoft.com/office/drawing/2010/main" val="0"/>
                        </a:ext>
                      </a:extLst>
                    </a:blip>
                    <a:stretch>
                      <a:fillRect/>
                    </a:stretch>
                  </pic:blipFill>
                  <pic:spPr>
                    <a:xfrm>
                      <a:off x="0" y="0"/>
                      <a:ext cx="5488695" cy="596265"/>
                    </a:xfrm>
                    <a:prstGeom prst="rect">
                      <a:avLst/>
                    </a:prstGeom>
                  </pic:spPr>
                </pic:pic>
              </a:graphicData>
            </a:graphic>
          </wp:inline>
        </w:drawing>
      </w:r>
    </w:p>
    <w:p w14:paraId="371CE61F" w14:textId="02E195B6" w:rsidR="00F95096" w:rsidRDefault="00FD3297" w:rsidP="00F95096">
      <w:pPr>
        <w:rPr>
          <w:lang w:eastAsia="fr-CA"/>
        </w:rPr>
      </w:pPr>
      <w:r>
        <w:rPr>
          <w:lang w:eastAsia="fr-CA"/>
        </w:rPr>
        <w:tab/>
      </w:r>
      <w:r w:rsidR="006A464B">
        <w:rPr>
          <w:lang w:eastAsia="fr-CA"/>
        </w:rPr>
        <w:t>Si on analyse le tableau 2, il est possi</w:t>
      </w:r>
      <w:r w:rsidR="00534DE5">
        <w:rPr>
          <w:lang w:eastAsia="fr-CA"/>
        </w:rPr>
        <w:t>ble de voir que l’Alberta est beaucoup plus polluante surtout sur tous ce qui est consommation d’énergie (utilisation). Cela peut être dû à l’utilisation de pétrole comme source d’énergie pour le système électrique de l’Alberta à comparer du système hydroélectrique du Québec. Une autre façon d’interpréter les données du tableau 2 est de crée un graphique avec les données</w:t>
      </w:r>
      <w:r w:rsidR="006D5238">
        <w:rPr>
          <w:lang w:eastAsia="fr-CA"/>
        </w:rPr>
        <w:t xml:space="preserve">, le graphique du tableau 2 peut être retrouver à l’annexe A. </w:t>
      </w:r>
    </w:p>
    <w:p w14:paraId="603CB0B6" w14:textId="77777777" w:rsidR="006D5238" w:rsidRDefault="006D5238" w:rsidP="00F95096">
      <w:pPr>
        <w:rPr>
          <w:lang w:eastAsia="fr-CA"/>
        </w:rPr>
      </w:pPr>
    </w:p>
    <w:p w14:paraId="3EECAE4F" w14:textId="0C8A164A" w:rsidR="00F95096" w:rsidRDefault="00F95096" w:rsidP="00F95096">
      <w:pPr>
        <w:pStyle w:val="Titre1"/>
      </w:pPr>
      <w:bookmarkStart w:id="17" w:name="_Toc127806202"/>
      <w:bookmarkStart w:id="18" w:name="_Toc127874036"/>
      <w:r>
        <w:t>Interprétation</w:t>
      </w:r>
      <w:bookmarkEnd w:id="17"/>
      <w:bookmarkEnd w:id="18"/>
    </w:p>
    <w:p w14:paraId="636F125C" w14:textId="272000D5" w:rsidR="00C80961" w:rsidRPr="00A81304" w:rsidRDefault="00175CD0" w:rsidP="00C80961">
      <w:pPr>
        <w:ind w:firstLine="567"/>
        <w:rPr>
          <w:lang w:eastAsia="fr-CA"/>
        </w:rPr>
      </w:pPr>
      <w:r w:rsidRPr="00A81304">
        <w:rPr>
          <w:lang w:eastAsia="fr-CA"/>
        </w:rPr>
        <w:t>Pour le Québec</w:t>
      </w:r>
      <w:r w:rsidR="00BA23F9" w:rsidRPr="00A81304">
        <w:rPr>
          <w:lang w:eastAsia="fr-CA"/>
        </w:rPr>
        <w:t>, l</w:t>
      </w:r>
      <w:r w:rsidR="004C502F" w:rsidRPr="00A81304">
        <w:rPr>
          <w:lang w:eastAsia="fr-CA"/>
        </w:rPr>
        <w:t>a pire étape du cycle de vie pour la santé humaine est</w:t>
      </w:r>
      <w:r w:rsidR="004D5004" w:rsidRPr="00A81304">
        <w:rPr>
          <w:lang w:eastAsia="fr-CA"/>
        </w:rPr>
        <w:t xml:space="preserve"> </w:t>
      </w:r>
      <w:r w:rsidR="002E27CB" w:rsidRPr="00A81304">
        <w:rPr>
          <w:lang w:eastAsia="fr-CA"/>
        </w:rPr>
        <w:t>l</w:t>
      </w:r>
      <w:r w:rsidR="001D19F7" w:rsidRPr="00A81304">
        <w:rPr>
          <w:lang w:eastAsia="fr-CA"/>
        </w:rPr>
        <w:t>’utilisation</w:t>
      </w:r>
      <w:r w:rsidR="00B41A86" w:rsidRPr="00A81304">
        <w:rPr>
          <w:lang w:eastAsia="fr-CA"/>
        </w:rPr>
        <w:t xml:space="preserve">. </w:t>
      </w:r>
      <w:r w:rsidR="00B74F5C" w:rsidRPr="00A81304">
        <w:rPr>
          <w:lang w:eastAsia="fr-CA"/>
        </w:rPr>
        <w:t>Lors de l</w:t>
      </w:r>
      <w:r w:rsidR="001D19F7" w:rsidRPr="00A81304">
        <w:rPr>
          <w:lang w:eastAsia="fr-CA"/>
        </w:rPr>
        <w:t xml:space="preserve">’utilisation du </w:t>
      </w:r>
      <w:r w:rsidR="00B163C2" w:rsidRPr="00A81304">
        <w:rPr>
          <w:lang w:eastAsia="fr-CA"/>
        </w:rPr>
        <w:t xml:space="preserve">réseau électrique québécois, </w:t>
      </w:r>
      <w:r w:rsidR="00FB2C33" w:rsidRPr="00A81304">
        <w:rPr>
          <w:lang w:eastAsia="fr-CA"/>
        </w:rPr>
        <w:t>0</w:t>
      </w:r>
      <w:r w:rsidR="00DA1301">
        <w:rPr>
          <w:lang w:eastAsia="fr-CA"/>
        </w:rPr>
        <w:t>.</w:t>
      </w:r>
      <w:r w:rsidR="00FB2C33" w:rsidRPr="00A81304">
        <w:rPr>
          <w:lang w:eastAsia="fr-CA"/>
        </w:rPr>
        <w:t xml:space="preserve">00447 kg de gaz néfastes </w:t>
      </w:r>
      <w:r w:rsidR="00E174E3">
        <w:rPr>
          <w:lang w:eastAsia="fr-CA"/>
        </w:rPr>
        <w:t xml:space="preserve">à la santé humaine </w:t>
      </w:r>
      <w:r w:rsidR="00FB2C33" w:rsidRPr="00A81304">
        <w:rPr>
          <w:lang w:eastAsia="fr-CA"/>
        </w:rPr>
        <w:t xml:space="preserve">sont émis dans </w:t>
      </w:r>
      <w:r w:rsidR="00FB28BD" w:rsidRPr="00A81304">
        <w:rPr>
          <w:lang w:eastAsia="fr-CA"/>
        </w:rPr>
        <w:t>l’environnement.</w:t>
      </w:r>
      <w:r w:rsidR="00852D34" w:rsidRPr="00A81304">
        <w:rPr>
          <w:lang w:eastAsia="fr-CA"/>
        </w:rPr>
        <w:t xml:space="preserve"> Pour ce qui est de la qualité des écosystèmes, </w:t>
      </w:r>
      <w:r w:rsidR="00C028F8" w:rsidRPr="00A81304">
        <w:rPr>
          <w:lang w:eastAsia="fr-CA"/>
        </w:rPr>
        <w:t>la pire étape est encore l</w:t>
      </w:r>
      <w:r w:rsidR="00FD17E8">
        <w:rPr>
          <w:lang w:eastAsia="fr-CA"/>
        </w:rPr>
        <w:t>’utilisation</w:t>
      </w:r>
      <w:r w:rsidR="00161A57" w:rsidRPr="00A81304">
        <w:rPr>
          <w:lang w:eastAsia="fr-CA"/>
        </w:rPr>
        <w:t>.</w:t>
      </w:r>
      <w:r w:rsidR="00725F95">
        <w:rPr>
          <w:lang w:eastAsia="fr-CA"/>
        </w:rPr>
        <w:t xml:space="preserve"> En effet, </w:t>
      </w:r>
      <w:r w:rsidR="001F01AA">
        <w:rPr>
          <w:lang w:eastAsia="fr-CA"/>
        </w:rPr>
        <w:t>5 060 kg de gaz</w:t>
      </w:r>
      <w:r w:rsidR="00AA3B6A">
        <w:rPr>
          <w:lang w:eastAsia="fr-CA"/>
        </w:rPr>
        <w:t xml:space="preserve"> seront relâchés dans la nature</w:t>
      </w:r>
      <w:r w:rsidR="00831EF0">
        <w:rPr>
          <w:lang w:eastAsia="fr-CA"/>
        </w:rPr>
        <w:t>, alors que le deuxième pire, la production, en relâchera</w:t>
      </w:r>
      <w:r w:rsidR="0012467F">
        <w:rPr>
          <w:lang w:eastAsia="fr-CA"/>
        </w:rPr>
        <w:t xml:space="preserve"> 2050 kg</w:t>
      </w:r>
      <w:r w:rsidR="001D722F">
        <w:rPr>
          <w:lang w:eastAsia="fr-CA"/>
        </w:rPr>
        <w:t>.</w:t>
      </w:r>
      <w:r w:rsidR="003B060F" w:rsidRPr="00A81304">
        <w:rPr>
          <w:lang w:eastAsia="fr-CA"/>
        </w:rPr>
        <w:t xml:space="preserve"> </w:t>
      </w:r>
      <w:r w:rsidR="007F3E26">
        <w:rPr>
          <w:lang w:eastAsia="fr-CA"/>
        </w:rPr>
        <w:t>Pour la catégorie des changements climatiques</w:t>
      </w:r>
      <w:r w:rsidR="003D2749">
        <w:rPr>
          <w:lang w:eastAsia="fr-CA"/>
        </w:rPr>
        <w:t xml:space="preserve">, nous </w:t>
      </w:r>
      <w:r w:rsidR="0019387D">
        <w:rPr>
          <w:lang w:eastAsia="fr-CA"/>
        </w:rPr>
        <w:t>avons</w:t>
      </w:r>
      <w:r w:rsidR="00872129">
        <w:rPr>
          <w:lang w:eastAsia="fr-CA"/>
        </w:rPr>
        <w:t xml:space="preserve"> 6</w:t>
      </w:r>
      <w:r w:rsidR="00E716A5">
        <w:rPr>
          <w:lang w:eastAsia="fr-CA"/>
        </w:rPr>
        <w:t> </w:t>
      </w:r>
      <w:r w:rsidR="00872129">
        <w:rPr>
          <w:lang w:eastAsia="fr-CA"/>
        </w:rPr>
        <w:t>930</w:t>
      </w:r>
      <w:r w:rsidR="00E716A5">
        <w:rPr>
          <w:lang w:eastAsia="fr-CA"/>
        </w:rPr>
        <w:t xml:space="preserve"> kg lors de l’utilisation et nous avons </w:t>
      </w:r>
      <w:r w:rsidR="00F755B7">
        <w:rPr>
          <w:lang w:eastAsia="fr-CA"/>
        </w:rPr>
        <w:t>1 360 kg lors de la production.</w:t>
      </w:r>
      <w:r w:rsidR="003313BB">
        <w:rPr>
          <w:lang w:eastAsia="fr-CA"/>
        </w:rPr>
        <w:t xml:space="preserve"> Pour ce qui est des ressources, nous avons </w:t>
      </w:r>
      <w:r w:rsidR="00CC4A61">
        <w:rPr>
          <w:lang w:eastAsia="fr-CA"/>
        </w:rPr>
        <w:t>69</w:t>
      </w:r>
      <w:r w:rsidR="00703A5E">
        <w:rPr>
          <w:lang w:eastAsia="fr-CA"/>
        </w:rPr>
        <w:t> </w:t>
      </w:r>
      <w:r w:rsidR="00CC4A61">
        <w:rPr>
          <w:lang w:eastAsia="fr-CA"/>
        </w:rPr>
        <w:t>90</w:t>
      </w:r>
      <w:r w:rsidR="00703A5E">
        <w:rPr>
          <w:lang w:eastAsia="fr-CA"/>
        </w:rPr>
        <w:t xml:space="preserve">0 kg </w:t>
      </w:r>
      <w:r w:rsidR="00B05CB1">
        <w:rPr>
          <w:lang w:eastAsia="fr-CA"/>
        </w:rPr>
        <w:t>pendant l’utilisation</w:t>
      </w:r>
      <w:r w:rsidR="00AE6437">
        <w:rPr>
          <w:lang w:eastAsia="fr-CA"/>
        </w:rPr>
        <w:t xml:space="preserve"> et </w:t>
      </w:r>
      <w:r w:rsidR="000D683F">
        <w:rPr>
          <w:lang w:eastAsia="fr-CA"/>
        </w:rPr>
        <w:t>19 500 kg pendant la production</w:t>
      </w:r>
      <w:r w:rsidR="001D722F">
        <w:rPr>
          <w:lang w:eastAsia="fr-CA"/>
        </w:rPr>
        <w:t>.</w:t>
      </w:r>
      <w:r w:rsidR="001D722F" w:rsidRPr="00A81304">
        <w:rPr>
          <w:lang w:eastAsia="fr-CA"/>
        </w:rPr>
        <w:t xml:space="preserve"> En observant les chiffres, on peut s’apercevoir que c’est toujours la même histoire.</w:t>
      </w:r>
      <w:r w:rsidR="001D722F">
        <w:rPr>
          <w:lang w:eastAsia="fr-CA"/>
        </w:rPr>
        <w:t xml:space="preserve"> La pire étape est toujours celle de l’utilisation et la deuxième pire est celle de la production.</w:t>
      </w:r>
    </w:p>
    <w:p w14:paraId="11EFB29A" w14:textId="2C310CF8" w:rsidR="00B77544" w:rsidRDefault="00B20E65" w:rsidP="00137C1F">
      <w:pPr>
        <w:rPr>
          <w:lang w:eastAsia="fr-CA"/>
        </w:rPr>
      </w:pPr>
      <w:r w:rsidRPr="00A81304">
        <w:rPr>
          <w:lang w:eastAsia="fr-CA"/>
        </w:rPr>
        <w:tab/>
        <w:t>En Alberta</w:t>
      </w:r>
      <w:r w:rsidR="00CA30AD" w:rsidRPr="00A81304">
        <w:rPr>
          <w:lang w:eastAsia="fr-CA"/>
        </w:rPr>
        <w:t>, nous retrouvons la même corrélation entre les données qu</w:t>
      </w:r>
      <w:r w:rsidR="00F3074A" w:rsidRPr="00A81304">
        <w:rPr>
          <w:lang w:eastAsia="fr-CA"/>
        </w:rPr>
        <w:t xml:space="preserve">e </w:t>
      </w:r>
      <w:r w:rsidR="00193C9F" w:rsidRPr="00A81304">
        <w:rPr>
          <w:lang w:eastAsia="fr-CA"/>
        </w:rPr>
        <w:t>dans le c</w:t>
      </w:r>
      <w:r w:rsidR="0034559F" w:rsidRPr="00A81304">
        <w:rPr>
          <w:lang w:eastAsia="fr-CA"/>
        </w:rPr>
        <w:t>entre québécois.</w:t>
      </w:r>
      <w:r w:rsidR="00705AC8" w:rsidRPr="00A81304">
        <w:rPr>
          <w:lang w:eastAsia="fr-CA"/>
        </w:rPr>
        <w:t xml:space="preserve"> Par exemple,</w:t>
      </w:r>
      <w:r w:rsidR="00B00F68" w:rsidRPr="00A81304">
        <w:rPr>
          <w:lang w:eastAsia="fr-CA"/>
        </w:rPr>
        <w:t xml:space="preserve"> en observant les chiffres du changement climatique,</w:t>
      </w:r>
      <w:r w:rsidR="005C714E" w:rsidRPr="00A81304">
        <w:rPr>
          <w:lang w:eastAsia="fr-CA"/>
        </w:rPr>
        <w:t xml:space="preserve"> l</w:t>
      </w:r>
      <w:r w:rsidR="003E155B">
        <w:rPr>
          <w:lang w:eastAsia="fr-CA"/>
        </w:rPr>
        <w:t>a</w:t>
      </w:r>
      <w:r w:rsidR="00413EF4">
        <w:rPr>
          <w:lang w:eastAsia="fr-CA"/>
        </w:rPr>
        <w:t xml:space="preserve"> pire étape est définitivement celle de l’utilisation avec </w:t>
      </w:r>
      <w:r w:rsidR="00214D58">
        <w:rPr>
          <w:lang w:eastAsia="fr-CA"/>
        </w:rPr>
        <w:t>1 870 000 kg de gaz néfastes ém</w:t>
      </w:r>
      <w:r w:rsidR="006E3F3A">
        <w:rPr>
          <w:lang w:eastAsia="fr-CA"/>
        </w:rPr>
        <w:t xml:space="preserve">is et </w:t>
      </w:r>
      <w:r w:rsidR="003903A7">
        <w:rPr>
          <w:lang w:eastAsia="fr-CA"/>
        </w:rPr>
        <w:t>40</w:t>
      </w:r>
      <w:r w:rsidR="00592F6E">
        <w:rPr>
          <w:lang w:eastAsia="fr-CA"/>
        </w:rPr>
        <w:t> </w:t>
      </w:r>
      <w:r w:rsidR="003903A7">
        <w:rPr>
          <w:lang w:eastAsia="fr-CA"/>
        </w:rPr>
        <w:t>400</w:t>
      </w:r>
      <w:r w:rsidR="00592F6E">
        <w:rPr>
          <w:lang w:eastAsia="fr-CA"/>
        </w:rPr>
        <w:t xml:space="preserve"> kg pour la production.</w:t>
      </w:r>
    </w:p>
    <w:p w14:paraId="684AF02F" w14:textId="7D4DF614" w:rsidR="00B77544" w:rsidRDefault="00B77544" w:rsidP="00C80961">
      <w:pPr>
        <w:ind w:firstLine="567"/>
        <w:rPr>
          <w:lang w:eastAsia="fr-CA"/>
        </w:rPr>
      </w:pPr>
      <w:r>
        <w:rPr>
          <w:lang w:eastAsia="fr-CA"/>
        </w:rPr>
        <w:t>En comparant</w:t>
      </w:r>
      <w:r w:rsidR="001D0C3F">
        <w:rPr>
          <w:lang w:eastAsia="fr-CA"/>
        </w:rPr>
        <w:t xml:space="preserve"> les deux centres</w:t>
      </w:r>
      <w:r w:rsidR="00CF5163">
        <w:rPr>
          <w:lang w:eastAsia="fr-CA"/>
        </w:rPr>
        <w:t xml:space="preserve"> de données</w:t>
      </w:r>
      <w:r w:rsidR="00EE4E74">
        <w:rPr>
          <w:lang w:eastAsia="fr-CA"/>
        </w:rPr>
        <w:t xml:space="preserve"> nous pouvons observer que celui de l’Alberta est pire en général</w:t>
      </w:r>
      <w:r w:rsidR="00DF6561">
        <w:rPr>
          <w:lang w:eastAsia="fr-CA"/>
        </w:rPr>
        <w:t xml:space="preserve">. En effet, </w:t>
      </w:r>
      <w:r w:rsidR="00703244">
        <w:rPr>
          <w:lang w:eastAsia="fr-CA"/>
        </w:rPr>
        <w:t>en prenant</w:t>
      </w:r>
      <w:r w:rsidR="00C23135">
        <w:rPr>
          <w:lang w:eastAsia="fr-CA"/>
        </w:rPr>
        <w:t xml:space="preserve"> la catégorie de la santé humaine</w:t>
      </w:r>
      <w:r w:rsidR="00950B68">
        <w:rPr>
          <w:lang w:eastAsia="fr-CA"/>
        </w:rPr>
        <w:t xml:space="preserve"> l’Alberta a un total de</w:t>
      </w:r>
      <w:r w:rsidR="0004149E">
        <w:rPr>
          <w:lang w:eastAsia="fr-CA"/>
        </w:rPr>
        <w:t xml:space="preserve"> </w:t>
      </w:r>
      <w:r w:rsidR="00950B68">
        <w:rPr>
          <w:lang w:eastAsia="fr-CA"/>
        </w:rPr>
        <w:t>0,127 kg de gaz émis tout au long de son cycle de vie, alors que le Québec en</w:t>
      </w:r>
      <w:r w:rsidR="004E6CEA">
        <w:rPr>
          <w:lang w:eastAsia="fr-CA"/>
        </w:rPr>
        <w:t xml:space="preserve"> a 0,00</w:t>
      </w:r>
      <w:r w:rsidR="004B6A62">
        <w:rPr>
          <w:lang w:eastAsia="fr-CA"/>
        </w:rPr>
        <w:t>859</w:t>
      </w:r>
      <w:r w:rsidR="00CD3615">
        <w:rPr>
          <w:lang w:eastAsia="fr-CA"/>
        </w:rPr>
        <w:t xml:space="preserve"> kg</w:t>
      </w:r>
      <w:r w:rsidR="00F27FF4">
        <w:rPr>
          <w:lang w:eastAsia="fr-CA"/>
        </w:rPr>
        <w:t xml:space="preserve">. Pour </w:t>
      </w:r>
      <w:r w:rsidR="00DD68D9">
        <w:rPr>
          <w:lang w:eastAsia="fr-CA"/>
        </w:rPr>
        <w:lastRenderedPageBreak/>
        <w:t xml:space="preserve">la qualité des écosystèmes, le centre de données albertain </w:t>
      </w:r>
      <w:r w:rsidR="001C51D8">
        <w:rPr>
          <w:lang w:eastAsia="fr-CA"/>
        </w:rPr>
        <w:t>va émettre</w:t>
      </w:r>
      <w:r w:rsidR="00816C03">
        <w:rPr>
          <w:lang w:eastAsia="fr-CA"/>
        </w:rPr>
        <w:t xml:space="preserve"> 23</w:t>
      </w:r>
      <w:r w:rsidR="003E0876">
        <w:rPr>
          <w:lang w:eastAsia="fr-CA"/>
        </w:rPr>
        <w:t> </w:t>
      </w:r>
      <w:r w:rsidR="00816C03">
        <w:rPr>
          <w:lang w:eastAsia="fr-CA"/>
        </w:rPr>
        <w:t>400</w:t>
      </w:r>
      <w:r w:rsidR="003E0876">
        <w:rPr>
          <w:lang w:eastAsia="fr-CA"/>
        </w:rPr>
        <w:t xml:space="preserve"> kg de gaz néfastes et le </w:t>
      </w:r>
      <w:r w:rsidR="004A02F2">
        <w:rPr>
          <w:lang w:eastAsia="fr-CA"/>
        </w:rPr>
        <w:t>québécois</w:t>
      </w:r>
      <w:r w:rsidR="00EC6E92">
        <w:rPr>
          <w:lang w:eastAsia="fr-CA"/>
        </w:rPr>
        <w:t xml:space="preserve"> 7 120 kg.</w:t>
      </w:r>
      <w:r w:rsidR="001B5651">
        <w:rPr>
          <w:lang w:eastAsia="fr-CA"/>
        </w:rPr>
        <w:t xml:space="preserve"> </w:t>
      </w:r>
      <w:r w:rsidR="00512DB7">
        <w:rPr>
          <w:lang w:eastAsia="fr-CA"/>
        </w:rPr>
        <w:t xml:space="preserve">Pour la catégorie des changements climatiques, on a </w:t>
      </w:r>
      <w:r w:rsidR="0065692E">
        <w:rPr>
          <w:lang w:eastAsia="fr-CA"/>
        </w:rPr>
        <w:t xml:space="preserve">1 910 000 kg de gaz néfastes </w:t>
      </w:r>
      <w:r w:rsidR="00744576">
        <w:rPr>
          <w:lang w:eastAsia="fr-CA"/>
        </w:rPr>
        <w:t xml:space="preserve">pour l’Alberta </w:t>
      </w:r>
      <w:r w:rsidR="0065692E">
        <w:rPr>
          <w:lang w:eastAsia="fr-CA"/>
        </w:rPr>
        <w:t>et seulement</w:t>
      </w:r>
      <w:r w:rsidR="008A5056">
        <w:rPr>
          <w:lang w:eastAsia="fr-CA"/>
        </w:rPr>
        <w:t xml:space="preserve"> 7 760 kg </w:t>
      </w:r>
      <w:r w:rsidR="00744576">
        <w:rPr>
          <w:lang w:eastAsia="fr-CA"/>
        </w:rPr>
        <w:t>pour le Québec</w:t>
      </w:r>
      <w:r w:rsidR="00CF753F">
        <w:rPr>
          <w:lang w:eastAsia="fr-CA"/>
        </w:rPr>
        <w:t>. Au niveau des ressources, l’Alberta affiche un total de</w:t>
      </w:r>
      <w:r w:rsidR="0059364F">
        <w:rPr>
          <w:lang w:eastAsia="fr-CA"/>
        </w:rPr>
        <w:t xml:space="preserve"> </w:t>
      </w:r>
      <w:r w:rsidR="00116237">
        <w:rPr>
          <w:lang w:eastAsia="fr-CA"/>
        </w:rPr>
        <w:t>3</w:t>
      </w:r>
      <w:r w:rsidR="00BC5E90">
        <w:rPr>
          <w:lang w:eastAsia="fr-CA"/>
        </w:rPr>
        <w:t xml:space="preserve"> 910 000 kg </w:t>
      </w:r>
      <w:r w:rsidR="001D722F">
        <w:rPr>
          <w:lang w:eastAsia="fr-CA"/>
        </w:rPr>
        <w:t xml:space="preserve">et le Québec 89 500 kg. </w:t>
      </w:r>
    </w:p>
    <w:p w14:paraId="600226A2" w14:textId="586FABDF" w:rsidR="007A0BC2" w:rsidRDefault="007A0BC2" w:rsidP="007A0BC2">
      <w:pPr>
        <w:pStyle w:val="Titre1"/>
      </w:pPr>
      <w:bookmarkStart w:id="19" w:name="_Toc398020579"/>
      <w:bookmarkStart w:id="20" w:name="_Toc127806203"/>
      <w:bookmarkStart w:id="21" w:name="_Toc127874037"/>
      <w:r>
        <w:t>Options de sources énerg</w:t>
      </w:r>
      <w:r w:rsidR="00A56CAD">
        <w:t>étiques</w:t>
      </w:r>
      <w:bookmarkEnd w:id="20"/>
      <w:bookmarkEnd w:id="21"/>
      <w:r w:rsidR="00A56CAD">
        <w:t> </w:t>
      </w:r>
    </w:p>
    <w:p w14:paraId="46FB82C4" w14:textId="63B54995" w:rsidR="00C80961" w:rsidRDefault="003A1AEF" w:rsidP="00C80961">
      <w:pPr>
        <w:ind w:firstLine="567"/>
        <w:rPr>
          <w:rFonts w:eastAsiaTheme="majorEastAsia"/>
          <w:lang w:eastAsia="fr-CA"/>
        </w:rPr>
      </w:pPr>
      <w:r>
        <w:rPr>
          <w:rFonts w:eastAsiaTheme="majorEastAsia"/>
          <w:lang w:eastAsia="fr-CA"/>
        </w:rPr>
        <w:t>Dans le cadre de la problématique</w:t>
      </w:r>
      <w:r w:rsidR="000F6D33">
        <w:rPr>
          <w:rFonts w:eastAsiaTheme="majorEastAsia"/>
          <w:lang w:eastAsia="fr-CA"/>
        </w:rPr>
        <w:t xml:space="preserve"> les centre de </w:t>
      </w:r>
      <w:r w:rsidR="00F9104E">
        <w:rPr>
          <w:rFonts w:eastAsiaTheme="majorEastAsia"/>
          <w:lang w:eastAsia="fr-CA"/>
        </w:rPr>
        <w:t xml:space="preserve">de données peuvent être </w:t>
      </w:r>
      <w:r w:rsidR="00417D29">
        <w:rPr>
          <w:rFonts w:eastAsiaTheme="majorEastAsia"/>
          <w:lang w:eastAsia="fr-CA"/>
        </w:rPr>
        <w:t xml:space="preserve">fourni par soit des panneaux </w:t>
      </w:r>
      <w:r w:rsidR="002E5AF1">
        <w:rPr>
          <w:rFonts w:eastAsiaTheme="majorEastAsia"/>
          <w:lang w:eastAsia="fr-CA"/>
        </w:rPr>
        <w:t>solaires</w:t>
      </w:r>
      <w:r w:rsidR="00417D29">
        <w:rPr>
          <w:rFonts w:eastAsiaTheme="majorEastAsia"/>
          <w:lang w:eastAsia="fr-CA"/>
        </w:rPr>
        <w:t xml:space="preserve">, </w:t>
      </w:r>
      <w:r w:rsidR="00BE0D05">
        <w:rPr>
          <w:rFonts w:eastAsiaTheme="majorEastAsia"/>
          <w:lang w:eastAsia="fr-CA"/>
        </w:rPr>
        <w:t xml:space="preserve">des éolienne ou le </w:t>
      </w:r>
      <w:r w:rsidR="002E5AF1">
        <w:rPr>
          <w:rFonts w:eastAsiaTheme="majorEastAsia"/>
          <w:lang w:eastAsia="fr-CA"/>
        </w:rPr>
        <w:t xml:space="preserve">réseau électrique de la province. </w:t>
      </w:r>
      <w:r w:rsidR="0069268E">
        <w:rPr>
          <w:rFonts w:eastAsiaTheme="majorEastAsia"/>
          <w:lang w:eastAsia="fr-CA"/>
        </w:rPr>
        <w:t>Chacune de ces options ont leur pollution propre à eux</w:t>
      </w:r>
      <w:r w:rsidR="000835FF">
        <w:rPr>
          <w:rFonts w:eastAsiaTheme="majorEastAsia"/>
          <w:lang w:eastAsia="fr-CA"/>
        </w:rPr>
        <w:t xml:space="preserve">, </w:t>
      </w:r>
      <w:r w:rsidR="007653D8">
        <w:rPr>
          <w:rFonts w:eastAsiaTheme="majorEastAsia"/>
          <w:lang w:eastAsia="fr-CA"/>
        </w:rPr>
        <w:t xml:space="preserve">grâce aux données dans les </w:t>
      </w:r>
      <w:r w:rsidR="00297EF3">
        <w:rPr>
          <w:rFonts w:eastAsiaTheme="majorEastAsia"/>
          <w:lang w:eastAsia="fr-CA"/>
        </w:rPr>
        <w:t>fichiers</w:t>
      </w:r>
      <w:r w:rsidR="007653D8">
        <w:rPr>
          <w:rFonts w:eastAsiaTheme="majorEastAsia"/>
          <w:lang w:eastAsia="fr-CA"/>
        </w:rPr>
        <w:t xml:space="preserve"> de centre de données et ceux des sources d’énergie</w:t>
      </w:r>
      <w:r w:rsidR="00003B62">
        <w:rPr>
          <w:rFonts w:eastAsiaTheme="majorEastAsia"/>
          <w:lang w:eastAsia="fr-CA"/>
        </w:rPr>
        <w:t xml:space="preserve">, les calculs peuvent être fait </w:t>
      </w:r>
      <w:r w:rsidR="003A08C0">
        <w:rPr>
          <w:rFonts w:eastAsiaTheme="majorEastAsia"/>
          <w:lang w:eastAsia="fr-CA"/>
        </w:rPr>
        <w:t xml:space="preserve">pour déterminer </w:t>
      </w:r>
      <w:r w:rsidR="00E070BE">
        <w:rPr>
          <w:rFonts w:eastAsiaTheme="majorEastAsia"/>
          <w:lang w:eastAsia="fr-CA"/>
        </w:rPr>
        <w:t>quelle</w:t>
      </w:r>
      <w:r w:rsidR="003A08C0">
        <w:rPr>
          <w:rFonts w:eastAsiaTheme="majorEastAsia"/>
          <w:lang w:eastAsia="fr-CA"/>
        </w:rPr>
        <w:t xml:space="preserve"> source d’énergie est le plus </w:t>
      </w:r>
      <w:r w:rsidR="00B622CB">
        <w:rPr>
          <w:rFonts w:eastAsiaTheme="majorEastAsia"/>
          <w:lang w:eastAsia="fr-CA"/>
        </w:rPr>
        <w:t xml:space="preserve">écologique avec </w:t>
      </w:r>
      <w:r w:rsidR="00C44F37">
        <w:rPr>
          <w:rFonts w:eastAsiaTheme="majorEastAsia"/>
          <w:lang w:eastAsia="fr-CA"/>
        </w:rPr>
        <w:t xml:space="preserve">chaque </w:t>
      </w:r>
      <w:r w:rsidR="00DA36AB">
        <w:rPr>
          <w:rFonts w:eastAsiaTheme="majorEastAsia"/>
          <w:lang w:eastAsia="fr-CA"/>
        </w:rPr>
        <w:t>centre de donnée</w:t>
      </w:r>
      <w:r w:rsidR="00B622CB">
        <w:rPr>
          <w:rFonts w:eastAsiaTheme="majorEastAsia"/>
          <w:lang w:eastAsia="fr-CA"/>
        </w:rPr>
        <w:t>.</w:t>
      </w:r>
    </w:p>
    <w:p w14:paraId="3871F0F4" w14:textId="24D5DBA7" w:rsidR="00C80961" w:rsidRDefault="00DA36AB" w:rsidP="00C80961">
      <w:pPr>
        <w:ind w:firstLine="567"/>
        <w:rPr>
          <w:rFonts w:eastAsiaTheme="majorEastAsia"/>
          <w:lang w:eastAsia="fr-CA"/>
        </w:rPr>
      </w:pPr>
      <w:r>
        <w:rPr>
          <w:rFonts w:eastAsiaTheme="majorEastAsia"/>
          <w:lang w:eastAsia="fr-CA"/>
        </w:rPr>
        <w:t xml:space="preserve">Les choix </w:t>
      </w:r>
      <w:r w:rsidR="00297EF3">
        <w:rPr>
          <w:rFonts w:eastAsiaTheme="majorEastAsia"/>
          <w:lang w:eastAsia="fr-CA"/>
        </w:rPr>
        <w:t>possibles</w:t>
      </w:r>
      <w:r>
        <w:rPr>
          <w:rFonts w:eastAsiaTheme="majorEastAsia"/>
          <w:lang w:eastAsia="fr-CA"/>
        </w:rPr>
        <w:t xml:space="preserve"> sont</w:t>
      </w:r>
      <w:r w:rsidR="00B622CB">
        <w:rPr>
          <w:rFonts w:eastAsiaTheme="majorEastAsia"/>
          <w:lang w:eastAsia="fr-CA"/>
        </w:rPr>
        <w:t xml:space="preserve"> </w:t>
      </w:r>
      <w:r>
        <w:rPr>
          <w:rFonts w:eastAsiaTheme="majorEastAsia"/>
          <w:lang w:eastAsia="fr-CA"/>
        </w:rPr>
        <w:t>une</w:t>
      </w:r>
      <w:r>
        <w:rPr>
          <w:lang w:eastAsia="fr-CA"/>
        </w:rPr>
        <w:t xml:space="preserve"> éolienne de 2MW ou des panneaux solaire polycristallin. Dans les informations sur les </w:t>
      </w:r>
      <w:r w:rsidR="00297EF3">
        <w:rPr>
          <w:lang w:eastAsia="fr-CA"/>
        </w:rPr>
        <w:t>centres</w:t>
      </w:r>
      <w:r>
        <w:rPr>
          <w:lang w:eastAsia="fr-CA"/>
        </w:rPr>
        <w:t xml:space="preserve"> de données l’énergie consommé par année a été indiqué soit 1 G</w:t>
      </w:r>
      <w:r w:rsidR="00A17E67">
        <w:rPr>
          <w:lang w:eastAsia="fr-CA"/>
        </w:rPr>
        <w:t>W</w:t>
      </w:r>
      <w:r>
        <w:rPr>
          <w:lang w:eastAsia="fr-CA"/>
        </w:rPr>
        <w:t>h/an pour le</w:t>
      </w:r>
      <w:r w:rsidR="00B622CB">
        <w:rPr>
          <w:rFonts w:eastAsiaTheme="majorEastAsia"/>
          <w:lang w:eastAsia="fr-CA"/>
        </w:rPr>
        <w:t xml:space="preserve"> </w:t>
      </w:r>
      <w:r w:rsidR="00914549">
        <w:rPr>
          <w:rFonts w:eastAsiaTheme="majorEastAsia"/>
          <w:lang w:eastAsia="fr-CA"/>
        </w:rPr>
        <w:t>centre de donnée du Québec et 2,4 G</w:t>
      </w:r>
      <w:r w:rsidR="00A17E67">
        <w:rPr>
          <w:rFonts w:eastAsiaTheme="majorEastAsia"/>
          <w:lang w:eastAsia="fr-CA"/>
        </w:rPr>
        <w:t>W</w:t>
      </w:r>
      <w:r w:rsidR="00914549">
        <w:rPr>
          <w:rFonts w:eastAsiaTheme="majorEastAsia"/>
          <w:lang w:eastAsia="fr-CA"/>
        </w:rPr>
        <w:t>h/an pour le centre de donnée de l’Alberta. Il est aussi possible de savoir l</w:t>
      </w:r>
      <w:r w:rsidR="00A17E67">
        <w:rPr>
          <w:rFonts w:eastAsiaTheme="majorEastAsia"/>
          <w:lang w:eastAsia="fr-CA"/>
        </w:rPr>
        <w:t>a production</w:t>
      </w:r>
      <w:r w:rsidR="00914549">
        <w:rPr>
          <w:rFonts w:eastAsiaTheme="majorEastAsia"/>
          <w:lang w:eastAsia="fr-CA"/>
        </w:rPr>
        <w:t xml:space="preserve"> énergétique de chaque type soit </w:t>
      </w:r>
      <w:r w:rsidR="00A17E67">
        <w:rPr>
          <w:rFonts w:eastAsiaTheme="majorEastAsia"/>
          <w:lang w:eastAsia="fr-CA"/>
        </w:rPr>
        <w:t xml:space="preserve">4 GWh/an pour </w:t>
      </w:r>
      <w:r w:rsidR="00297EF3">
        <w:rPr>
          <w:rFonts w:eastAsiaTheme="majorEastAsia"/>
          <w:lang w:eastAsia="fr-CA"/>
        </w:rPr>
        <w:t>l’éolienne et</w:t>
      </w:r>
      <w:r w:rsidR="00FE23E3">
        <w:rPr>
          <w:rFonts w:eastAsiaTheme="majorEastAsia"/>
          <w:lang w:eastAsia="fr-CA"/>
        </w:rPr>
        <w:t xml:space="preserve"> </w:t>
      </w:r>
      <w:r w:rsidR="008A79F1">
        <w:rPr>
          <w:rFonts w:eastAsiaTheme="majorEastAsia"/>
          <w:lang w:eastAsia="fr-CA"/>
        </w:rPr>
        <w:t>0,00</w:t>
      </w:r>
      <w:r w:rsidR="00B275A6">
        <w:rPr>
          <w:rFonts w:eastAsiaTheme="majorEastAsia"/>
          <w:lang w:eastAsia="fr-CA"/>
        </w:rPr>
        <w:t xml:space="preserve">0175 GWh/an pour </w:t>
      </w:r>
      <w:r w:rsidR="00726A73">
        <w:rPr>
          <w:rFonts w:eastAsiaTheme="majorEastAsia"/>
          <w:lang w:eastAsia="fr-CA"/>
        </w:rPr>
        <w:t>les panneaux solaires</w:t>
      </w:r>
      <w:r w:rsidR="00B275A6">
        <w:rPr>
          <w:rFonts w:eastAsiaTheme="majorEastAsia"/>
          <w:lang w:eastAsia="fr-CA"/>
        </w:rPr>
        <w:t>. Puisque l’unité fonction</w:t>
      </w:r>
      <w:r w:rsidR="00457AB4">
        <w:rPr>
          <w:rFonts w:eastAsiaTheme="majorEastAsia"/>
          <w:lang w:eastAsia="fr-CA"/>
        </w:rPr>
        <w:t>nelle est de 1 Po par an il est possible de savoir combien de panneau ou d’éolienne sont nécessaire pour faire fonc</w:t>
      </w:r>
      <w:r w:rsidR="00D219A0">
        <w:rPr>
          <w:rFonts w:eastAsiaTheme="majorEastAsia"/>
          <w:lang w:eastAsia="fr-CA"/>
        </w:rPr>
        <w:t xml:space="preserve">tionner le système. Et oui, puisque nous savons que pour le Québec </w:t>
      </w:r>
      <w:r w:rsidR="00E612AE">
        <w:rPr>
          <w:rFonts w:eastAsiaTheme="majorEastAsia"/>
          <w:lang w:eastAsia="fr-CA"/>
        </w:rPr>
        <w:t xml:space="preserve">1 GWh </w:t>
      </w:r>
      <w:r w:rsidR="00B41874">
        <w:rPr>
          <w:rFonts w:eastAsiaTheme="majorEastAsia"/>
          <w:lang w:eastAsia="fr-CA"/>
        </w:rPr>
        <w:t xml:space="preserve">fait fonctionner 2 po, il est possible de déterminer qu’avec 0,5 GWh il sera possible de faire fonctionne la moitié donc 1 Po. Pour </w:t>
      </w:r>
      <w:r w:rsidR="00297EF3">
        <w:rPr>
          <w:rFonts w:eastAsiaTheme="majorEastAsia"/>
          <w:lang w:eastAsia="fr-CA"/>
        </w:rPr>
        <w:t>l’Alberta</w:t>
      </w:r>
      <w:r w:rsidR="00B41874">
        <w:rPr>
          <w:rFonts w:eastAsiaTheme="majorEastAsia"/>
          <w:lang w:eastAsia="fr-CA"/>
        </w:rPr>
        <w:t xml:space="preserve"> celui-ci consomme 2,4 GWh pour 6 Po, il est donc possible de déterminer qu’avec 0,6 GWh</w:t>
      </w:r>
      <w:r w:rsidR="00636E14">
        <w:rPr>
          <w:rFonts w:eastAsiaTheme="majorEastAsia"/>
          <w:lang w:eastAsia="fr-CA"/>
        </w:rPr>
        <w:t>,</w:t>
      </w:r>
      <w:r w:rsidR="00B41874">
        <w:rPr>
          <w:rFonts w:eastAsiaTheme="majorEastAsia"/>
          <w:lang w:eastAsia="fr-CA"/>
        </w:rPr>
        <w:t xml:space="preserve"> </w:t>
      </w:r>
      <w:r w:rsidR="00636E14">
        <w:rPr>
          <w:rFonts w:eastAsiaTheme="majorEastAsia"/>
          <w:lang w:eastAsia="fr-CA"/>
        </w:rPr>
        <w:t xml:space="preserve">l’utilisation de 1 Po sera fait. </w:t>
      </w:r>
    </w:p>
    <w:p w14:paraId="33D87C6B" w14:textId="59051939" w:rsidR="00C80961" w:rsidRDefault="00636E14" w:rsidP="00C80961">
      <w:pPr>
        <w:ind w:firstLine="567"/>
        <w:rPr>
          <w:rFonts w:eastAsiaTheme="majorEastAsia"/>
          <w:lang w:eastAsia="fr-CA"/>
        </w:rPr>
      </w:pPr>
      <w:r>
        <w:rPr>
          <w:rFonts w:eastAsiaTheme="majorEastAsia"/>
          <w:lang w:eastAsia="fr-CA"/>
        </w:rPr>
        <w:t xml:space="preserve">Grâce à </w:t>
      </w:r>
      <w:r w:rsidR="00297EF3">
        <w:rPr>
          <w:rFonts w:eastAsiaTheme="majorEastAsia"/>
          <w:lang w:eastAsia="fr-CA"/>
        </w:rPr>
        <w:t>ces unités</w:t>
      </w:r>
      <w:r>
        <w:rPr>
          <w:rFonts w:eastAsiaTheme="majorEastAsia"/>
          <w:lang w:eastAsia="fr-CA"/>
        </w:rPr>
        <w:t xml:space="preserve"> il est pos</w:t>
      </w:r>
      <w:r w:rsidR="009B00DB">
        <w:rPr>
          <w:rFonts w:eastAsiaTheme="majorEastAsia"/>
          <w:lang w:eastAsia="fr-CA"/>
        </w:rPr>
        <w:t>sible de voir que les données de production pour le</w:t>
      </w:r>
      <w:r w:rsidR="00C763D0">
        <w:rPr>
          <w:rFonts w:eastAsiaTheme="majorEastAsia"/>
          <w:lang w:eastAsia="fr-CA"/>
        </w:rPr>
        <w:t>s panneau et l’éolienne devront être mise sur une base commune soit 1 GWh/an. Une fois mit sur cette</w:t>
      </w:r>
      <w:r w:rsidR="00F87161">
        <w:rPr>
          <w:rFonts w:eastAsiaTheme="majorEastAsia"/>
          <w:lang w:eastAsia="fr-CA"/>
        </w:rPr>
        <w:t xml:space="preserve"> base </w:t>
      </w:r>
      <w:r w:rsidR="002B40E0">
        <w:rPr>
          <w:rFonts w:eastAsiaTheme="majorEastAsia"/>
          <w:lang w:eastAsia="fr-CA"/>
        </w:rPr>
        <w:t xml:space="preserve">1 GWh/an est l’équivalent de </w:t>
      </w:r>
      <w:r w:rsidR="00804B9B">
        <w:rPr>
          <w:rFonts w:eastAsiaTheme="majorEastAsia"/>
          <w:lang w:eastAsia="fr-CA"/>
        </w:rPr>
        <w:t xml:space="preserve">0,25 éolienne </w:t>
      </w:r>
      <w:r w:rsidR="00297EF3">
        <w:rPr>
          <w:rFonts w:eastAsiaTheme="majorEastAsia"/>
          <w:lang w:eastAsia="fr-CA"/>
        </w:rPr>
        <w:t>ou 5714</w:t>
      </w:r>
      <w:r w:rsidR="00E322BE">
        <w:rPr>
          <w:rFonts w:eastAsiaTheme="majorEastAsia"/>
          <w:lang w:eastAsia="fr-CA"/>
        </w:rPr>
        <w:t xml:space="preserve"> panneaux solaires.</w:t>
      </w:r>
      <w:r w:rsidR="00D32EC0">
        <w:rPr>
          <w:rFonts w:eastAsiaTheme="majorEastAsia"/>
          <w:lang w:eastAsia="fr-CA"/>
        </w:rPr>
        <w:t xml:space="preserve"> Ces données constituent notre flux de référence.</w:t>
      </w:r>
      <w:r w:rsidR="00E322BE">
        <w:rPr>
          <w:rFonts w:eastAsiaTheme="majorEastAsia"/>
          <w:lang w:eastAsia="fr-CA"/>
        </w:rPr>
        <w:t xml:space="preserve"> </w:t>
      </w:r>
      <w:r w:rsidR="005A6473">
        <w:rPr>
          <w:rFonts w:eastAsiaTheme="majorEastAsia"/>
          <w:lang w:eastAsia="fr-CA"/>
        </w:rPr>
        <w:t xml:space="preserve">Comme dit plus haut il y aura seulement 0,6 GWh et 0,5 GWh d’utiliser pour faire fonctionner </w:t>
      </w:r>
      <w:r w:rsidR="00E070BE">
        <w:rPr>
          <w:rFonts w:eastAsiaTheme="majorEastAsia"/>
          <w:lang w:eastAsia="fr-CA"/>
        </w:rPr>
        <w:t>les centres</w:t>
      </w:r>
      <w:r w:rsidR="00502C48">
        <w:rPr>
          <w:rFonts w:eastAsiaTheme="majorEastAsia"/>
          <w:lang w:eastAsia="fr-CA"/>
        </w:rPr>
        <w:t xml:space="preserve"> sous l’unité </w:t>
      </w:r>
      <w:r w:rsidR="00E070BE">
        <w:rPr>
          <w:rFonts w:eastAsiaTheme="majorEastAsia"/>
          <w:lang w:eastAsia="fr-CA"/>
        </w:rPr>
        <w:t>fonctionnelle</w:t>
      </w:r>
      <w:r w:rsidR="00502C48">
        <w:rPr>
          <w:rFonts w:eastAsiaTheme="majorEastAsia"/>
          <w:lang w:eastAsia="fr-CA"/>
        </w:rPr>
        <w:t xml:space="preserve"> de 1 Po par an. </w:t>
      </w:r>
    </w:p>
    <w:p w14:paraId="66B1E73C" w14:textId="7B5E8CC9" w:rsidR="0069268E" w:rsidRPr="00A56CAD" w:rsidRDefault="00502C48" w:rsidP="00417D29">
      <w:pPr>
        <w:ind w:firstLine="567"/>
        <w:rPr>
          <w:rFonts w:eastAsiaTheme="majorEastAsia"/>
          <w:lang w:eastAsia="fr-CA"/>
        </w:rPr>
      </w:pPr>
      <w:r>
        <w:rPr>
          <w:rFonts w:eastAsiaTheme="majorEastAsia"/>
          <w:lang w:eastAsia="fr-CA"/>
        </w:rPr>
        <w:t xml:space="preserve">Finalement lors du calcul il est important de mettre toute la pollution totale de la production de l’électricité dans la </w:t>
      </w:r>
      <w:r w:rsidR="00F57694">
        <w:rPr>
          <w:rFonts w:eastAsiaTheme="majorEastAsia"/>
          <w:lang w:eastAsia="fr-CA"/>
        </w:rPr>
        <w:t>section utilisation</w:t>
      </w:r>
      <w:r w:rsidR="00A01754">
        <w:rPr>
          <w:rFonts w:eastAsiaTheme="majorEastAsia"/>
          <w:lang w:eastAsia="fr-CA"/>
        </w:rPr>
        <w:t xml:space="preserve"> du centre de données. </w:t>
      </w:r>
      <w:r w:rsidR="00E070BE">
        <w:rPr>
          <w:rFonts w:eastAsiaTheme="majorEastAsia"/>
          <w:lang w:eastAsia="fr-CA"/>
        </w:rPr>
        <w:t xml:space="preserve">Le calcul comme explique plus haut dans la section 5 </w:t>
      </w:r>
      <w:r w:rsidR="00E070BE" w:rsidRPr="00EB0D1B">
        <w:rPr>
          <w:rFonts w:eastAsiaTheme="majorEastAsia"/>
          <w:lang w:eastAsia="fr-CA"/>
        </w:rPr>
        <w:t>évaluation des impacts sur le cycle</w:t>
      </w:r>
      <w:r w:rsidR="00E070BE">
        <w:rPr>
          <w:rFonts w:eastAsiaTheme="majorEastAsia"/>
          <w:lang w:eastAsia="fr-CA"/>
        </w:rPr>
        <w:t xml:space="preserve"> de vie, la totalité des données </w:t>
      </w:r>
      <w:r w:rsidR="00605C0D">
        <w:rPr>
          <w:rFonts w:eastAsiaTheme="majorEastAsia"/>
          <w:lang w:eastAsia="fr-CA"/>
        </w:rPr>
        <w:t xml:space="preserve">doivent être mise sur une base de 100 pour être bien analyser. Ce graphique se trouve </w:t>
      </w:r>
      <w:r w:rsidR="00605C0D">
        <w:rPr>
          <w:rFonts w:eastAsiaTheme="majorEastAsia"/>
          <w:lang w:eastAsia="fr-CA"/>
        </w:rPr>
        <w:lastRenderedPageBreak/>
        <w:t xml:space="preserve">à l’annexe C et </w:t>
      </w:r>
      <w:r w:rsidR="00614039">
        <w:rPr>
          <w:rFonts w:eastAsiaTheme="majorEastAsia"/>
          <w:lang w:eastAsia="fr-CA"/>
        </w:rPr>
        <w:t>inclue</w:t>
      </w:r>
      <w:r w:rsidR="00605C0D">
        <w:rPr>
          <w:rFonts w:eastAsiaTheme="majorEastAsia"/>
          <w:lang w:eastAsia="fr-CA"/>
        </w:rPr>
        <w:t xml:space="preserve"> </w:t>
      </w:r>
      <w:r w:rsidR="00B11807">
        <w:rPr>
          <w:rFonts w:eastAsiaTheme="majorEastAsia"/>
          <w:lang w:eastAsia="fr-CA"/>
        </w:rPr>
        <w:t>toutes les possibilités</w:t>
      </w:r>
      <w:r w:rsidR="00605C0D">
        <w:rPr>
          <w:rFonts w:eastAsiaTheme="majorEastAsia"/>
          <w:lang w:eastAsia="fr-CA"/>
        </w:rPr>
        <w:t xml:space="preserve"> de sources pour </w:t>
      </w:r>
      <w:r w:rsidR="00315005">
        <w:rPr>
          <w:rFonts w:eastAsiaTheme="majorEastAsia"/>
          <w:lang w:eastAsia="fr-CA"/>
        </w:rPr>
        <w:t>les centres</w:t>
      </w:r>
      <w:r w:rsidR="00605C0D">
        <w:rPr>
          <w:rFonts w:eastAsiaTheme="majorEastAsia"/>
          <w:lang w:eastAsia="fr-CA"/>
        </w:rPr>
        <w:t xml:space="preserve"> de données ainsi que la pollution pour </w:t>
      </w:r>
      <w:r w:rsidR="00B11807">
        <w:rPr>
          <w:rFonts w:eastAsiaTheme="majorEastAsia"/>
          <w:lang w:eastAsia="fr-CA"/>
        </w:rPr>
        <w:t xml:space="preserve">les </w:t>
      </w:r>
      <w:r w:rsidR="2A482131" w:rsidRPr="005DAC46">
        <w:rPr>
          <w:rFonts w:eastAsiaTheme="majorEastAsia"/>
          <w:lang w:eastAsia="fr-CA"/>
        </w:rPr>
        <w:t>centres</w:t>
      </w:r>
      <w:r w:rsidR="00B11807">
        <w:rPr>
          <w:rFonts w:eastAsiaTheme="majorEastAsia"/>
          <w:lang w:eastAsia="fr-CA"/>
        </w:rPr>
        <w:t xml:space="preserve"> de données. </w:t>
      </w:r>
    </w:p>
    <w:p w14:paraId="12CC8121" w14:textId="2D0CC5CA" w:rsidR="00923BDE" w:rsidRDefault="00D2001C" w:rsidP="0021560C">
      <w:pPr>
        <w:pStyle w:val="Titre1"/>
      </w:pPr>
      <w:bookmarkStart w:id="22" w:name="_Toc398020583"/>
      <w:bookmarkStart w:id="23" w:name="_Toc127806204"/>
      <w:bookmarkStart w:id="24" w:name="_Toc127874038"/>
      <w:bookmarkEnd w:id="19"/>
      <w:r w:rsidRPr="00D2001C">
        <w:t>Conclusion</w:t>
      </w:r>
      <w:bookmarkEnd w:id="22"/>
      <w:bookmarkEnd w:id="23"/>
      <w:bookmarkEnd w:id="24"/>
    </w:p>
    <w:p w14:paraId="3411416F" w14:textId="67396B6D" w:rsidR="001D722F" w:rsidRDefault="001D722F" w:rsidP="002E2CBD">
      <w:pPr>
        <w:spacing w:after="0"/>
        <w:ind w:firstLine="567"/>
        <w:rPr>
          <w:bCs/>
          <w:szCs w:val="22"/>
        </w:rPr>
      </w:pPr>
      <w:r>
        <w:rPr>
          <w:bCs/>
          <w:szCs w:val="22"/>
        </w:rPr>
        <w:t xml:space="preserve">Le principal problème que nous avons observé avec la méthodologie dans un contexte de développement durable, est que nous ne prenons pas en compte le fait que nous aurons à remplacer les sources d’énergie à la fin de leur cycle de vie. Par exemple, le centre de données québécois sera en marche pendant 40 ans alors que la durée de vie d’une éolienne, par exemple, est de 20 ans. Cela veut dire que nous aurons à remplacer ces éoliennes et donc, doubler leurs émissions de gaz néfastes pour l’environnement pour leurs étapes de production et de fin de vie. En revanche, en observant nos données, on peut s’apercevoir que la majorité de la pollution est causée durant l’étape de l’utilisation, donc même si nous omettons le remplacement des sources énergétiques, ce n’est qu’une petite partie du problème. Il faudrait plutôt se concentrer à </w:t>
      </w:r>
      <w:r w:rsidR="002E2CBD">
        <w:rPr>
          <w:bCs/>
          <w:szCs w:val="22"/>
        </w:rPr>
        <w:t>réduire les émissions durant l’utilisation.</w:t>
      </w:r>
      <w:r w:rsidR="00C80961">
        <w:rPr>
          <w:bCs/>
          <w:szCs w:val="22"/>
        </w:rPr>
        <w:t xml:space="preserve"> Comme il est démontré dans le graphique de l’annexe C, l’option la plus optimale pour stocker un pétaoctet en créant le moins de pollution possible est d’utiliser le centre de données en Alberta et de choisir les éoliennes comme source énergétique.</w:t>
      </w:r>
    </w:p>
    <w:p w14:paraId="16600091" w14:textId="7C026F0C" w:rsidR="00C80961" w:rsidRDefault="00C80961" w:rsidP="002E2CBD">
      <w:pPr>
        <w:spacing w:after="0"/>
        <w:ind w:firstLine="567"/>
        <w:rPr>
          <w:bCs/>
          <w:szCs w:val="22"/>
        </w:rPr>
      </w:pPr>
    </w:p>
    <w:p w14:paraId="046B1E4B" w14:textId="1C75CB56" w:rsidR="00C80961" w:rsidRDefault="00C80961" w:rsidP="002E2CBD">
      <w:pPr>
        <w:spacing w:after="0"/>
        <w:ind w:firstLine="567"/>
        <w:rPr>
          <w:bCs/>
          <w:szCs w:val="22"/>
        </w:rPr>
      </w:pPr>
    </w:p>
    <w:p w14:paraId="6E065C89" w14:textId="0518D9C0" w:rsidR="00C80961" w:rsidRDefault="00C80961" w:rsidP="002E2CBD">
      <w:pPr>
        <w:spacing w:after="0"/>
        <w:ind w:firstLine="567"/>
        <w:rPr>
          <w:bCs/>
          <w:szCs w:val="22"/>
        </w:rPr>
      </w:pPr>
    </w:p>
    <w:p w14:paraId="25665678" w14:textId="62100A84" w:rsidR="00C80961" w:rsidRDefault="00C80961" w:rsidP="002E2CBD">
      <w:pPr>
        <w:spacing w:after="0"/>
        <w:ind w:firstLine="567"/>
        <w:rPr>
          <w:bCs/>
          <w:szCs w:val="22"/>
        </w:rPr>
      </w:pPr>
    </w:p>
    <w:p w14:paraId="1C704A63" w14:textId="1AE2890A" w:rsidR="00C80961" w:rsidRDefault="00C80961" w:rsidP="002E2CBD">
      <w:pPr>
        <w:spacing w:after="0"/>
        <w:ind w:firstLine="567"/>
        <w:rPr>
          <w:bCs/>
          <w:szCs w:val="22"/>
        </w:rPr>
      </w:pPr>
    </w:p>
    <w:p w14:paraId="7FB00CA3" w14:textId="1FE1B869" w:rsidR="00C80961" w:rsidRDefault="00C80961" w:rsidP="002E2CBD">
      <w:pPr>
        <w:spacing w:after="0"/>
        <w:ind w:firstLine="567"/>
        <w:rPr>
          <w:bCs/>
          <w:szCs w:val="22"/>
        </w:rPr>
      </w:pPr>
    </w:p>
    <w:p w14:paraId="316C5CE7" w14:textId="77777777" w:rsidR="00C80961" w:rsidRPr="001D722F" w:rsidRDefault="00C80961" w:rsidP="002E2CBD">
      <w:pPr>
        <w:spacing w:after="0"/>
        <w:ind w:firstLine="567"/>
        <w:rPr>
          <w:bCs/>
          <w:szCs w:val="22"/>
        </w:rPr>
      </w:pPr>
    </w:p>
    <w:p w14:paraId="643A309D" w14:textId="7840CD54" w:rsidR="001F1650" w:rsidRPr="001D722F" w:rsidRDefault="00B11807">
      <w:pPr>
        <w:spacing w:after="0" w:line="240" w:lineRule="auto"/>
        <w:jc w:val="left"/>
        <w:rPr>
          <w:sz w:val="24"/>
        </w:rPr>
      </w:pPr>
      <w:r>
        <w:rPr>
          <w:bCs/>
          <w:sz w:val="24"/>
        </w:rPr>
        <w:br w:type="page"/>
      </w:r>
    </w:p>
    <w:p w14:paraId="69120D8B" w14:textId="77777777" w:rsidR="001F1650" w:rsidRPr="009F1DDC" w:rsidRDefault="001F1650" w:rsidP="009F1DDC">
      <w:pPr>
        <w:spacing w:after="0" w:line="240" w:lineRule="auto"/>
        <w:jc w:val="left"/>
        <w:rPr>
          <w:bCs/>
          <w:sz w:val="24"/>
        </w:rPr>
      </w:pPr>
    </w:p>
    <w:bookmarkStart w:id="25" w:name="_Toc127874039" w:displacedByCustomXml="next"/>
    <w:bookmarkStart w:id="26" w:name="_Toc127806205" w:displacedByCustomXml="next"/>
    <w:sdt>
      <w:sdtPr>
        <w:rPr>
          <w:rFonts w:asciiTheme="minorHAnsi" w:eastAsia="Times New Roman" w:hAnsiTheme="minorHAnsi"/>
          <w:b w:val="0"/>
          <w:bCs/>
          <w:smallCaps w:val="0"/>
          <w:snapToGrid/>
          <w:color w:val="auto"/>
          <w:w w:val="100"/>
          <w:sz w:val="24"/>
          <w:szCs w:val="24"/>
          <w:lang w:eastAsia="en-US"/>
        </w:rPr>
        <w:id w:val="1484587046"/>
        <w:docPartObj>
          <w:docPartGallery w:val="Bibliographies"/>
          <w:docPartUnique/>
        </w:docPartObj>
      </w:sdtPr>
      <w:sdtEndPr>
        <w:rPr>
          <w:bCs w:val="0"/>
          <w:vanish/>
          <w:sz w:val="22"/>
        </w:rPr>
      </w:sdtEndPr>
      <w:sdtContent>
        <w:p w14:paraId="31C87ACA" w14:textId="509AF873" w:rsidR="00AC0575" w:rsidRPr="0025036D" w:rsidRDefault="00AC0575" w:rsidP="0021560C">
          <w:pPr>
            <w:pStyle w:val="Titre1"/>
          </w:pPr>
          <w:r w:rsidRPr="00D2001C">
            <w:t>Référence</w:t>
          </w:r>
          <w:r w:rsidR="00590183" w:rsidRPr="00D2001C">
            <w:t>s</w:t>
          </w:r>
          <w:bookmarkEnd w:id="26"/>
          <w:bookmarkEnd w:id="25"/>
          <w:r w:rsidRPr="0025036D">
            <w:t xml:space="preserve"> </w:t>
          </w:r>
        </w:p>
        <w:sdt>
          <w:sdtPr>
            <w:id w:val="111145805"/>
            <w:bibliography/>
          </w:sdtPr>
          <w:sdtContent>
            <w:p w14:paraId="42D44EFF" w14:textId="77777777" w:rsidR="006D5238" w:rsidRDefault="00AC0575" w:rsidP="00981D49">
              <w:pPr>
                <w:rPr>
                  <w:rFonts w:ascii="Times New Roman" w:hAnsi="Times New Roman"/>
                  <w:noProof/>
                  <w:sz w:val="20"/>
                  <w:szCs w:val="20"/>
                  <w:lang w:eastAsia="fr-CA"/>
                </w:rPr>
              </w:pPr>
              <w:r w:rsidRPr="0025036D">
                <w:fldChar w:fldCharType="begin"/>
              </w:r>
              <w:r w:rsidRPr="00562F67">
                <w:instrText xml:space="preserve"> BIBLIOGRAPHY </w:instrText>
              </w:r>
              <w:r w:rsidRPr="0025036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414"/>
              </w:tblGrid>
              <w:tr w:rsidR="006D5238" w14:paraId="4C6A7889" w14:textId="77777777">
                <w:trPr>
                  <w:divId w:val="2126343116"/>
                  <w:tblCellSpacing w:w="15" w:type="dxa"/>
                </w:trPr>
                <w:tc>
                  <w:tcPr>
                    <w:tcW w:w="50" w:type="pct"/>
                    <w:hideMark/>
                  </w:tcPr>
                  <w:p w14:paraId="1C62A843" w14:textId="18F67ADE" w:rsidR="006D5238" w:rsidRDefault="006D5238">
                    <w:pPr>
                      <w:pStyle w:val="Bibliographie"/>
                      <w:rPr>
                        <w:noProof/>
                        <w:sz w:val="24"/>
                      </w:rPr>
                    </w:pPr>
                    <w:r>
                      <w:rPr>
                        <w:noProof/>
                      </w:rPr>
                      <w:t xml:space="preserve">[1] </w:t>
                    </w:r>
                  </w:p>
                </w:tc>
                <w:tc>
                  <w:tcPr>
                    <w:tcW w:w="0" w:type="auto"/>
                    <w:hideMark/>
                  </w:tcPr>
                  <w:p w14:paraId="0FDDD614" w14:textId="77777777" w:rsidR="006D5238" w:rsidRDefault="006D5238">
                    <w:pPr>
                      <w:pStyle w:val="Bibliographie"/>
                      <w:rPr>
                        <w:noProof/>
                      </w:rPr>
                    </w:pPr>
                    <w:r w:rsidRPr="006D5238">
                      <w:rPr>
                        <w:noProof/>
                        <w:lang w:val="en-US"/>
                      </w:rPr>
                      <w:t xml:space="preserve">Alberta Electric System Operator, «AESO,» [En ligne]. </w:t>
                    </w:r>
                    <w:r>
                      <w:rPr>
                        <w:noProof/>
                      </w:rPr>
                      <w:t>Available: https://www.aeso.ca/. [Accès le 13 février 2023].</w:t>
                    </w:r>
                  </w:p>
                </w:tc>
              </w:tr>
              <w:tr w:rsidR="006D5238" w14:paraId="27F07467" w14:textId="77777777">
                <w:trPr>
                  <w:divId w:val="2126343116"/>
                  <w:tblCellSpacing w:w="15" w:type="dxa"/>
                </w:trPr>
                <w:tc>
                  <w:tcPr>
                    <w:tcW w:w="50" w:type="pct"/>
                    <w:hideMark/>
                  </w:tcPr>
                  <w:p w14:paraId="2B9EED3F" w14:textId="77777777" w:rsidR="006D5238" w:rsidRDefault="006D5238">
                    <w:pPr>
                      <w:pStyle w:val="Bibliographie"/>
                      <w:rPr>
                        <w:noProof/>
                      </w:rPr>
                    </w:pPr>
                    <w:r>
                      <w:rPr>
                        <w:noProof/>
                      </w:rPr>
                      <w:t xml:space="preserve">[2] </w:t>
                    </w:r>
                  </w:p>
                </w:tc>
                <w:tc>
                  <w:tcPr>
                    <w:tcW w:w="0" w:type="auto"/>
                    <w:hideMark/>
                  </w:tcPr>
                  <w:p w14:paraId="0B005CB0" w14:textId="77777777" w:rsidR="006D5238" w:rsidRDefault="006D5238">
                    <w:pPr>
                      <w:pStyle w:val="Bibliographie"/>
                      <w:rPr>
                        <w:noProof/>
                      </w:rPr>
                    </w:pPr>
                    <w:r>
                      <w:rPr>
                        <w:noProof/>
                      </w:rPr>
                      <w:t>B. R. e. B. Amor, «INGENIERIE DURABLE ET EVALUATION DES IMPACTS ENVIRONNEMENTAUX,» Université de Sherbrooke, Sherbrooke, 2021.</w:t>
                    </w:r>
                  </w:p>
                </w:tc>
              </w:tr>
            </w:tbl>
            <w:p w14:paraId="4EAE4A31" w14:textId="77777777" w:rsidR="006D5238" w:rsidRDefault="006D5238">
              <w:pPr>
                <w:divId w:val="2126343116"/>
                <w:rPr>
                  <w:noProof/>
                </w:rPr>
              </w:pPr>
            </w:p>
            <w:p w14:paraId="3BAFF4E4" w14:textId="273BB8AF" w:rsidR="00C86B69" w:rsidRPr="00562F67" w:rsidRDefault="00AC0575" w:rsidP="00981D49">
              <w:r w:rsidRPr="0025036D">
                <w:rPr>
                  <w:b/>
                  <w:bCs/>
                  <w:noProof/>
                </w:rPr>
                <w:fldChar w:fldCharType="end"/>
              </w:r>
            </w:p>
          </w:sdtContent>
        </w:sdt>
      </w:sdtContent>
    </w:sdt>
    <w:p w14:paraId="6852A598" w14:textId="77777777" w:rsidR="00D92B89" w:rsidRPr="00562F67" w:rsidRDefault="00D92B89" w:rsidP="00C86B69">
      <w:pPr>
        <w:sectPr w:rsidR="00D92B89" w:rsidRPr="00562F67" w:rsidSect="005B361E">
          <w:endnotePr>
            <w:numFmt w:val="decimal"/>
          </w:endnotePr>
          <w:pgSz w:w="12240" w:h="15840" w:code="1"/>
          <w:pgMar w:top="1440" w:right="1797" w:bottom="1440" w:left="1797" w:header="709" w:footer="709" w:gutter="0"/>
          <w:pgNumType w:start="1"/>
          <w:cols w:space="708"/>
          <w:docGrid w:linePitch="360"/>
        </w:sectPr>
      </w:pPr>
    </w:p>
    <w:p w14:paraId="55128F8E" w14:textId="06B5AC39" w:rsidR="001F1650" w:rsidRPr="00562F67" w:rsidRDefault="001F1650">
      <w:pPr>
        <w:spacing w:after="0" w:line="240" w:lineRule="auto"/>
        <w:jc w:val="left"/>
        <w:rPr>
          <w:rFonts w:asciiTheme="majorHAnsi" w:eastAsiaTheme="majorEastAsia" w:hAnsiTheme="majorHAnsi"/>
          <w:b/>
          <w:smallCaps/>
          <w:snapToGrid w:val="0"/>
          <w:color w:val="000000"/>
          <w:w w:val="0"/>
          <w:sz w:val="40"/>
          <w:szCs w:val="40"/>
          <w:u w:color="000000"/>
          <w:lang w:eastAsia="fr-CA"/>
        </w:rPr>
      </w:pPr>
    </w:p>
    <w:p w14:paraId="4FA2A5A3" w14:textId="77777777" w:rsidR="006D5238" w:rsidRDefault="006D5238" w:rsidP="0021560C">
      <w:pPr>
        <w:pStyle w:val="Annexe"/>
        <w:sectPr w:rsidR="006D5238" w:rsidSect="00994547">
          <w:headerReference w:type="default" r:id="rId13"/>
          <w:endnotePr>
            <w:numFmt w:val="decimal"/>
          </w:endnotePr>
          <w:type w:val="continuous"/>
          <w:pgSz w:w="12240" w:h="15840" w:code="1"/>
          <w:pgMar w:top="1440" w:right="1797" w:bottom="1440" w:left="1797" w:header="708" w:footer="708" w:gutter="0"/>
          <w:cols w:space="708"/>
          <w:docGrid w:linePitch="360"/>
        </w:sectPr>
      </w:pPr>
    </w:p>
    <w:p w14:paraId="119910EC" w14:textId="029CACED" w:rsidR="008A0D64" w:rsidRDefault="008A0D64" w:rsidP="0021560C">
      <w:pPr>
        <w:pStyle w:val="Annexe"/>
      </w:pPr>
      <w:r w:rsidRPr="00562F67">
        <w:lastRenderedPageBreak/>
        <w:t> </w:t>
      </w:r>
      <w:bookmarkStart w:id="27" w:name="_Toc127806206"/>
      <w:bookmarkStart w:id="28" w:name="_Toc127874040"/>
      <w:r w:rsidR="006D5238">
        <w:t>Graphique de comparaison des deux centre de données avec l’électricité provinciale</w:t>
      </w:r>
      <w:bookmarkEnd w:id="27"/>
      <w:bookmarkEnd w:id="28"/>
    </w:p>
    <w:p w14:paraId="37E193A8" w14:textId="77777777" w:rsidR="0092388A" w:rsidRPr="0092388A" w:rsidRDefault="0092388A" w:rsidP="0092388A">
      <w:pPr>
        <w:rPr>
          <w:lang w:eastAsia="fr-CA"/>
        </w:rPr>
      </w:pPr>
    </w:p>
    <w:p w14:paraId="0713A4E3" w14:textId="77777777" w:rsidR="00F9180C" w:rsidRDefault="006D5238" w:rsidP="00F9180C">
      <w:pPr>
        <w:keepNext/>
        <w:jc w:val="center"/>
      </w:pPr>
      <w:r>
        <w:rPr>
          <w:noProof/>
        </w:rPr>
        <w:drawing>
          <wp:inline distT="0" distB="0" distL="0" distR="0" wp14:anchorId="2A8F578C" wp14:editId="63523855">
            <wp:extent cx="7294880" cy="4420898"/>
            <wp:effectExtent l="0" t="0" r="7620" b="11430"/>
            <wp:docPr id="11" name="Graphique 11">
              <a:extLst xmlns:a="http://schemas.openxmlformats.org/drawingml/2006/main">
                <a:ext uri="{FF2B5EF4-FFF2-40B4-BE49-F238E27FC236}">
                  <a16:creationId xmlns:a16="http://schemas.microsoft.com/office/drawing/2014/main" id="{4CCE58E2-F465-AF40-99FE-4420A759A4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670538" w14:textId="66D6D9CE" w:rsidR="002D18DE" w:rsidRPr="002D18DE" w:rsidRDefault="00F9180C" w:rsidP="00F9180C">
      <w:pPr>
        <w:pStyle w:val="Lgende"/>
        <w:rPr>
          <w:lang w:eastAsia="fr-CA"/>
        </w:rPr>
      </w:pPr>
      <w:bookmarkStart w:id="29" w:name="_Toc127806209"/>
      <w:bookmarkStart w:id="30" w:name="_Toc127874043"/>
      <w:r>
        <w:t xml:space="preserve">Figure </w:t>
      </w:r>
      <w:fldSimple w:instr=" SEQ Figure \* ARABIC ">
        <w:r w:rsidR="00B47C06">
          <w:rPr>
            <w:noProof/>
          </w:rPr>
          <w:t>1</w:t>
        </w:r>
      </w:fldSimple>
      <w:r>
        <w:t xml:space="preserve"> : Graphique de comparaison des centre de données sur électricité provinciale</w:t>
      </w:r>
      <w:bookmarkEnd w:id="29"/>
      <w:bookmarkEnd w:id="30"/>
    </w:p>
    <w:p w14:paraId="72A2CEAE" w14:textId="77777777" w:rsidR="004C04E6" w:rsidRDefault="004C04E6" w:rsidP="002203BF">
      <w:pPr>
        <w:jc w:val="center"/>
        <w:rPr>
          <w:lang w:eastAsia="fr-CA"/>
        </w:rPr>
      </w:pPr>
    </w:p>
    <w:p w14:paraId="7C8D6AA5" w14:textId="76DDFC43" w:rsidR="002203BF" w:rsidRPr="002D18DE" w:rsidRDefault="007675D9" w:rsidP="004C04E6">
      <w:pPr>
        <w:pStyle w:val="Annexe"/>
      </w:pPr>
      <w:bookmarkStart w:id="31" w:name="_Toc127806207"/>
      <w:bookmarkStart w:id="32" w:name="_Toc127874041"/>
      <w:r>
        <w:lastRenderedPageBreak/>
        <w:t xml:space="preserve">Graphique des </w:t>
      </w:r>
      <w:r w:rsidR="00D24E90">
        <w:t xml:space="preserve">pollutions </w:t>
      </w:r>
      <w:r w:rsidR="002A626B">
        <w:t xml:space="preserve">des gaz </w:t>
      </w:r>
      <w:r w:rsidR="002E3AE4">
        <w:t>à effets de serre</w:t>
      </w:r>
      <w:bookmarkEnd w:id="31"/>
      <w:bookmarkEnd w:id="32"/>
    </w:p>
    <w:p w14:paraId="68AAEC91" w14:textId="77777777" w:rsidR="00F9180C" w:rsidRDefault="00F44AB9" w:rsidP="00F9180C">
      <w:pPr>
        <w:keepNext/>
        <w:spacing w:after="0" w:line="240" w:lineRule="auto"/>
        <w:jc w:val="center"/>
      </w:pPr>
      <w:r>
        <w:rPr>
          <w:noProof/>
        </w:rPr>
        <w:drawing>
          <wp:inline distT="0" distB="0" distL="0" distR="0" wp14:anchorId="49DF0683" wp14:editId="24C4CCC2">
            <wp:extent cx="7720330" cy="2432851"/>
            <wp:effectExtent l="0" t="0" r="13970" b="18415"/>
            <wp:docPr id="13" name="Graphique 13">
              <a:extLst xmlns:a="http://schemas.openxmlformats.org/drawingml/2006/main">
                <a:ext uri="{FF2B5EF4-FFF2-40B4-BE49-F238E27FC236}">
                  <a16:creationId xmlns:a16="http://schemas.microsoft.com/office/drawing/2014/main" id="{56011193-0EEC-9A44-A6B6-617624B47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A91B84E" w14:textId="2B03FE09" w:rsidR="004C252F" w:rsidRDefault="00F9180C" w:rsidP="00F9180C">
      <w:pPr>
        <w:pStyle w:val="Lgende"/>
      </w:pPr>
      <w:bookmarkStart w:id="33" w:name="_Toc127806210"/>
      <w:bookmarkStart w:id="34" w:name="_Toc127874044"/>
      <w:r>
        <w:t xml:space="preserve">Figure </w:t>
      </w:r>
      <w:fldSimple w:instr=" SEQ Figure \* ARABIC ">
        <w:r w:rsidR="00B47C06">
          <w:rPr>
            <w:noProof/>
          </w:rPr>
          <w:t>2</w:t>
        </w:r>
      </w:fldSimple>
      <w:r>
        <w:t xml:space="preserve"> : Graphique de pollution GES pour le Québec</w:t>
      </w:r>
      <w:bookmarkEnd w:id="33"/>
      <w:bookmarkEnd w:id="34"/>
    </w:p>
    <w:p w14:paraId="7535CDA0" w14:textId="77777777" w:rsidR="004C252F" w:rsidRDefault="004C252F" w:rsidP="002203BF">
      <w:pPr>
        <w:spacing w:after="0" w:line="240" w:lineRule="auto"/>
        <w:jc w:val="center"/>
      </w:pPr>
    </w:p>
    <w:p w14:paraId="079E248F" w14:textId="77777777" w:rsidR="00F9180C" w:rsidRDefault="004C252F" w:rsidP="00F9180C">
      <w:pPr>
        <w:keepNext/>
        <w:spacing w:after="0" w:line="240" w:lineRule="auto"/>
        <w:jc w:val="center"/>
      </w:pPr>
      <w:r>
        <w:rPr>
          <w:noProof/>
        </w:rPr>
        <w:drawing>
          <wp:inline distT="0" distB="0" distL="0" distR="0" wp14:anchorId="73270310" wp14:editId="12D9D48B">
            <wp:extent cx="7792278" cy="2448753"/>
            <wp:effectExtent l="0" t="0" r="18415" b="15240"/>
            <wp:docPr id="14" name="Graphique 14">
              <a:extLst xmlns:a="http://schemas.openxmlformats.org/drawingml/2006/main">
                <a:ext uri="{FF2B5EF4-FFF2-40B4-BE49-F238E27FC236}">
                  <a16:creationId xmlns:a16="http://schemas.microsoft.com/office/drawing/2014/main" id="{8B105A01-E91C-9E4D-9BA8-23EB6FF2CA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ED4828" w14:textId="6859F5D4" w:rsidR="00F9180C" w:rsidRDefault="00F9180C" w:rsidP="00F9180C">
      <w:pPr>
        <w:pStyle w:val="Lgende"/>
      </w:pPr>
      <w:bookmarkStart w:id="35" w:name="_Toc127806211"/>
      <w:bookmarkStart w:id="36" w:name="_Toc127874045"/>
      <w:r>
        <w:t xml:space="preserve">Figure </w:t>
      </w:r>
      <w:fldSimple w:instr=" SEQ Figure \* ARABIC ">
        <w:r w:rsidR="00B47C06">
          <w:rPr>
            <w:noProof/>
          </w:rPr>
          <w:t>3</w:t>
        </w:r>
      </w:fldSimple>
      <w:r>
        <w:t xml:space="preserve"> : Graphique de pollution GES pour l'Alberta</w:t>
      </w:r>
      <w:bookmarkEnd w:id="35"/>
      <w:bookmarkEnd w:id="36"/>
    </w:p>
    <w:p w14:paraId="380FC573" w14:textId="24345B45" w:rsidR="001F1650" w:rsidRDefault="001F1650" w:rsidP="002203BF">
      <w:pPr>
        <w:spacing w:after="0" w:line="240" w:lineRule="auto"/>
        <w:jc w:val="center"/>
        <w:rPr>
          <w:rFonts w:asciiTheme="majorHAnsi" w:eastAsiaTheme="majorEastAsia" w:hAnsiTheme="majorHAnsi"/>
          <w:b/>
          <w:smallCaps/>
          <w:snapToGrid w:val="0"/>
          <w:color w:val="000000"/>
          <w:w w:val="0"/>
          <w:sz w:val="40"/>
          <w:szCs w:val="40"/>
          <w:u w:color="000000"/>
          <w:lang w:eastAsia="fr-CA"/>
        </w:rPr>
      </w:pPr>
      <w:r>
        <w:br w:type="page"/>
      </w:r>
    </w:p>
    <w:p w14:paraId="382AE3C2" w14:textId="23667345" w:rsidR="008A0D64" w:rsidRPr="0025036D" w:rsidRDefault="008A0D64" w:rsidP="0021560C">
      <w:pPr>
        <w:pStyle w:val="Annexe"/>
      </w:pPr>
      <w:r w:rsidRPr="0025036D">
        <w:lastRenderedPageBreak/>
        <w:t> </w:t>
      </w:r>
      <w:bookmarkStart w:id="37" w:name="_Toc127806208"/>
      <w:bookmarkStart w:id="38" w:name="_Toc127874042"/>
      <w:r w:rsidR="00B11807">
        <w:t xml:space="preserve">Graphique incluant tous les possibilités </w:t>
      </w:r>
      <w:r w:rsidR="009316C6">
        <w:t>de source d’énergie pour chaque centre de donnée</w:t>
      </w:r>
      <w:bookmarkEnd w:id="37"/>
      <w:bookmarkEnd w:id="38"/>
    </w:p>
    <w:p w14:paraId="103270E2" w14:textId="2FD5636E" w:rsidR="00F9180C" w:rsidRDefault="00B714BC" w:rsidP="00F9180C">
      <w:pPr>
        <w:keepNext/>
        <w:spacing w:after="0" w:line="240" w:lineRule="auto"/>
      </w:pPr>
      <w:r>
        <w:rPr>
          <w:noProof/>
        </w:rPr>
        <w:drawing>
          <wp:inline distT="0" distB="0" distL="0" distR="0" wp14:anchorId="28544A41" wp14:editId="0EF56D42">
            <wp:extent cx="9271000" cy="5295568"/>
            <wp:effectExtent l="0" t="0" r="12700" b="13335"/>
            <wp:docPr id="16" name="Graphique 16">
              <a:extLst xmlns:a="http://schemas.openxmlformats.org/drawingml/2006/main">
                <a:ext uri="{FF2B5EF4-FFF2-40B4-BE49-F238E27FC236}">
                  <a16:creationId xmlns:a16="http://schemas.microsoft.com/office/drawing/2014/main" id="{39E2DCBF-F481-F549-98A3-0218FF9ABB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81D61D" w14:textId="6E560C32" w:rsidR="00806B29" w:rsidRPr="0025036D" w:rsidRDefault="00F9180C" w:rsidP="00F9180C">
      <w:pPr>
        <w:pStyle w:val="Lgende"/>
      </w:pPr>
      <w:bookmarkStart w:id="39" w:name="_Toc127806212"/>
      <w:bookmarkStart w:id="40" w:name="_Toc127874046"/>
      <w:r>
        <w:t xml:space="preserve">Figure </w:t>
      </w:r>
      <w:fldSimple w:instr=" SEQ Figure \* ARABIC ">
        <w:r w:rsidR="00B47C06">
          <w:rPr>
            <w:noProof/>
          </w:rPr>
          <w:t>4</w:t>
        </w:r>
      </w:fldSimple>
      <w:r>
        <w:t xml:space="preserve"> : Graphique de comparaison finale</w:t>
      </w:r>
      <w:bookmarkEnd w:id="39"/>
      <w:bookmarkEnd w:id="40"/>
    </w:p>
    <w:sectPr w:rsidR="00806B29" w:rsidRPr="0025036D" w:rsidSect="006D5238">
      <w:endnotePr>
        <w:numFmt w:val="decimal"/>
      </w:endnotePr>
      <w:pgSz w:w="15840" w:h="12240" w:orient="landscape"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38A9A" w14:textId="77777777" w:rsidR="003D52D2" w:rsidRDefault="003D52D2">
      <w:pPr>
        <w:spacing w:after="0" w:line="240" w:lineRule="auto"/>
      </w:pPr>
      <w:r>
        <w:separator/>
      </w:r>
    </w:p>
  </w:endnote>
  <w:endnote w:type="continuationSeparator" w:id="0">
    <w:p w14:paraId="49327FA0" w14:textId="77777777" w:rsidR="003D52D2" w:rsidRDefault="003D52D2">
      <w:pPr>
        <w:spacing w:after="0" w:line="240" w:lineRule="auto"/>
      </w:pPr>
      <w:r>
        <w:continuationSeparator/>
      </w:r>
    </w:p>
  </w:endnote>
  <w:endnote w:type="continuationNotice" w:id="1">
    <w:p w14:paraId="716CA678" w14:textId="77777777" w:rsidR="003D52D2" w:rsidRDefault="003D52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935197"/>
      <w:docPartObj>
        <w:docPartGallery w:val="Page Numbers (Bottom of Page)"/>
        <w:docPartUnique/>
      </w:docPartObj>
    </w:sdtPr>
    <w:sdtContent>
      <w:p w14:paraId="49108597" w14:textId="1BE23EAF" w:rsidR="00D727D3" w:rsidRPr="001C1202" w:rsidRDefault="00D727D3" w:rsidP="00923BDE">
        <w:pPr>
          <w:pStyle w:val="Pieddepage"/>
          <w:tabs>
            <w:tab w:val="clear" w:pos="4320"/>
            <w:tab w:val="clear" w:pos="8640"/>
            <w:tab w:val="left" w:pos="4605"/>
            <w:tab w:val="center" w:pos="4678"/>
            <w:tab w:val="right" w:pos="9356"/>
          </w:tabs>
        </w:pPr>
        <w:r>
          <w:tab/>
        </w:r>
        <w:r w:rsidR="00923BDE">
          <w:tab/>
        </w:r>
        <w:r>
          <w:fldChar w:fldCharType="begin"/>
        </w:r>
        <w:r>
          <w:instrText xml:space="preserve"> PAGE   \* MERGEFORMAT </w:instrText>
        </w:r>
        <w:r>
          <w:fldChar w:fldCharType="separate"/>
        </w:r>
        <w:r w:rsidR="00BA661F">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92C7B" w14:textId="77777777" w:rsidR="003D52D2" w:rsidRDefault="003D52D2">
      <w:pPr>
        <w:spacing w:after="0" w:line="240" w:lineRule="auto"/>
      </w:pPr>
      <w:r>
        <w:separator/>
      </w:r>
    </w:p>
  </w:footnote>
  <w:footnote w:type="continuationSeparator" w:id="0">
    <w:p w14:paraId="61B3DACC" w14:textId="77777777" w:rsidR="003D52D2" w:rsidRDefault="003D52D2">
      <w:pPr>
        <w:spacing w:after="0" w:line="240" w:lineRule="auto"/>
      </w:pPr>
      <w:r>
        <w:continuationSeparator/>
      </w:r>
    </w:p>
  </w:footnote>
  <w:footnote w:type="continuationNotice" w:id="1">
    <w:p w14:paraId="11D8AFBE" w14:textId="77777777" w:rsidR="003D52D2" w:rsidRDefault="003D52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ABF2" w14:textId="77777777" w:rsidR="00D727D3" w:rsidRDefault="00D727D3" w:rsidP="00BA6DBC">
    <w:pPr>
      <w:pStyle w:val="En-tte"/>
      <w:tabs>
        <w:tab w:val="clear" w:pos="4320"/>
        <w:tab w:val="clear" w:pos="8640"/>
        <w:tab w:val="left" w:pos="54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E231" w14:textId="3F083C07" w:rsidR="00D20118" w:rsidRPr="00830C3A" w:rsidRDefault="00D20118" w:rsidP="00830C3A">
    <w:pPr>
      <w:pStyle w:val="En-tte"/>
    </w:pPr>
    <w:r>
      <w:rPr>
        <w:sz w:val="20"/>
      </w:rPr>
      <w:tab/>
    </w:r>
    <w:r>
      <w:rPr>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2543" w14:textId="77777777" w:rsidR="00D20118" w:rsidRPr="00830C3A" w:rsidRDefault="00D20118" w:rsidP="00830C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26E03A0"/>
    <w:multiLevelType w:val="hybridMultilevel"/>
    <w:tmpl w:val="40E025B6"/>
    <w:lvl w:ilvl="0" w:tplc="76D69562">
      <w:start w:val="7"/>
      <w:numFmt w:val="bullet"/>
      <w:lvlText w:val="-"/>
      <w:lvlJc w:val="left"/>
      <w:pPr>
        <w:ind w:left="720" w:hanging="360"/>
      </w:pPr>
      <w:rPr>
        <w:rFonts w:ascii="Calibri" w:eastAsia="Times New Roman" w:hAnsi="Calibri" w:cs="Calibri" w:hint="default"/>
        <w:b/>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4F82B3B"/>
    <w:multiLevelType w:val="hybridMultilevel"/>
    <w:tmpl w:val="2BA2565A"/>
    <w:lvl w:ilvl="0" w:tplc="609EFE74">
      <w:start w:val="7"/>
      <w:numFmt w:val="bullet"/>
      <w:lvlText w:val="-"/>
      <w:lvlJc w:val="left"/>
      <w:pPr>
        <w:ind w:left="720" w:hanging="360"/>
      </w:pPr>
      <w:rPr>
        <w:rFonts w:ascii="Calibri" w:eastAsia="Times New Roman"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5" w15:restartNumberingAfterBreak="0">
    <w:nsid w:val="72D763A2"/>
    <w:multiLevelType w:val="multilevel"/>
    <w:tmpl w:val="4E347578"/>
    <w:lvl w:ilvl="0">
      <w:start w:val="1"/>
      <w:numFmt w:val="decimal"/>
      <w:pStyle w:val="Titre1"/>
      <w:lvlText w:val="%1."/>
      <w:lvlJc w:val="left"/>
      <w:pPr>
        <w:ind w:left="360" w:hanging="360"/>
      </w:pPr>
      <w:rPr>
        <w:rFonts w:hint="default"/>
        <w:sz w:val="4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88825225">
    <w:abstractNumId w:val="21"/>
  </w:num>
  <w:num w:numId="2" w16cid:durableId="2059546830">
    <w:abstractNumId w:val="13"/>
  </w:num>
  <w:num w:numId="3" w16cid:durableId="210767765">
    <w:abstractNumId w:val="10"/>
  </w:num>
  <w:num w:numId="4" w16cid:durableId="1837575364">
    <w:abstractNumId w:val="26"/>
  </w:num>
  <w:num w:numId="5" w16cid:durableId="1458723347">
    <w:abstractNumId w:val="19"/>
  </w:num>
  <w:num w:numId="6" w16cid:durableId="1905098120">
    <w:abstractNumId w:val="3"/>
  </w:num>
  <w:num w:numId="7" w16cid:durableId="1498377153">
    <w:abstractNumId w:val="23"/>
  </w:num>
  <w:num w:numId="8" w16cid:durableId="1338121877">
    <w:abstractNumId w:val="22"/>
  </w:num>
  <w:num w:numId="9" w16cid:durableId="1914579728">
    <w:abstractNumId w:val="6"/>
  </w:num>
  <w:num w:numId="10" w16cid:durableId="215749302">
    <w:abstractNumId w:val="15"/>
  </w:num>
  <w:num w:numId="11" w16cid:durableId="709257567">
    <w:abstractNumId w:val="4"/>
  </w:num>
  <w:num w:numId="12" w16cid:durableId="1613170556">
    <w:abstractNumId w:val="2"/>
  </w:num>
  <w:num w:numId="13" w16cid:durableId="324209771">
    <w:abstractNumId w:val="1"/>
  </w:num>
  <w:num w:numId="14" w16cid:durableId="736633541">
    <w:abstractNumId w:val="7"/>
  </w:num>
  <w:num w:numId="15" w16cid:durableId="309868165">
    <w:abstractNumId w:val="0"/>
  </w:num>
  <w:num w:numId="16" w16cid:durableId="2066685695">
    <w:abstractNumId w:val="8"/>
  </w:num>
  <w:num w:numId="17" w16cid:durableId="185021803">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16cid:durableId="997684004">
    <w:abstractNumId w:val="14"/>
  </w:num>
  <w:num w:numId="19" w16cid:durableId="1771006299">
    <w:abstractNumId w:val="5"/>
  </w:num>
  <w:num w:numId="20" w16cid:durableId="282229951">
    <w:abstractNumId w:val="24"/>
  </w:num>
  <w:num w:numId="21" w16cid:durableId="1822116423">
    <w:abstractNumId w:val="20"/>
  </w:num>
  <w:num w:numId="22" w16cid:durableId="1117676120">
    <w:abstractNumId w:val="16"/>
  </w:num>
  <w:num w:numId="23" w16cid:durableId="2003310246">
    <w:abstractNumId w:val="11"/>
  </w:num>
  <w:num w:numId="24" w16cid:durableId="1331592957">
    <w:abstractNumId w:val="18"/>
  </w:num>
  <w:num w:numId="25" w16cid:durableId="706754466">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16cid:durableId="1656033451">
    <w:abstractNumId w:val="17"/>
  </w:num>
  <w:num w:numId="27" w16cid:durableId="1077826831">
    <w:abstractNumId w:val="25"/>
  </w:num>
  <w:num w:numId="28" w16cid:durableId="1121413288">
    <w:abstractNumId w:val="12"/>
  </w:num>
  <w:num w:numId="29" w16cid:durableId="1729113409">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16cid:durableId="1303073491">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1" w16cid:durableId="1580015123">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2" w16cid:durableId="1631595306">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3" w16cid:durableId="1721980063">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16cid:durableId="939681926">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5" w16cid:durableId="943921511">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16cid:durableId="722145485">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7" w16cid:durableId="1742291993">
    <w:abstractNumId w:val="9"/>
  </w:num>
  <w:num w:numId="38" w16cid:durableId="399209326">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9" w16cid:durableId="1367214779">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CA" w:vendorID="64" w:dllVersion="6" w:nlCheck="1" w:checkStyle="0"/>
  <w:activeWritingStyle w:appName="MSWord" w:lang="fr-CA" w:vendorID="64" w:dllVersion="0" w:nlCheck="1" w:checkStyle="0"/>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541"/>
    <w:rsid w:val="0000026E"/>
    <w:rsid w:val="00000A77"/>
    <w:rsid w:val="00000FA1"/>
    <w:rsid w:val="0000115B"/>
    <w:rsid w:val="000012E6"/>
    <w:rsid w:val="0000137B"/>
    <w:rsid w:val="00001612"/>
    <w:rsid w:val="00001AA0"/>
    <w:rsid w:val="00001E6E"/>
    <w:rsid w:val="00002B43"/>
    <w:rsid w:val="00002C85"/>
    <w:rsid w:val="00002E30"/>
    <w:rsid w:val="000030C2"/>
    <w:rsid w:val="00003173"/>
    <w:rsid w:val="00003B62"/>
    <w:rsid w:val="000041DF"/>
    <w:rsid w:val="00004A71"/>
    <w:rsid w:val="00004C0F"/>
    <w:rsid w:val="00005056"/>
    <w:rsid w:val="000053BF"/>
    <w:rsid w:val="0000593B"/>
    <w:rsid w:val="00005D77"/>
    <w:rsid w:val="000065DF"/>
    <w:rsid w:val="00006757"/>
    <w:rsid w:val="00006E5E"/>
    <w:rsid w:val="00006FBE"/>
    <w:rsid w:val="00007112"/>
    <w:rsid w:val="00007523"/>
    <w:rsid w:val="000075C4"/>
    <w:rsid w:val="00007BC8"/>
    <w:rsid w:val="00007C87"/>
    <w:rsid w:val="00007D6C"/>
    <w:rsid w:val="00010C19"/>
    <w:rsid w:val="000116C9"/>
    <w:rsid w:val="00011E3D"/>
    <w:rsid w:val="0001201F"/>
    <w:rsid w:val="00012E0B"/>
    <w:rsid w:val="00013AF2"/>
    <w:rsid w:val="00013F02"/>
    <w:rsid w:val="000142FE"/>
    <w:rsid w:val="00014AFC"/>
    <w:rsid w:val="00014E6E"/>
    <w:rsid w:val="0001578E"/>
    <w:rsid w:val="00016363"/>
    <w:rsid w:val="0001654D"/>
    <w:rsid w:val="00016E64"/>
    <w:rsid w:val="00017183"/>
    <w:rsid w:val="00020E62"/>
    <w:rsid w:val="00020F43"/>
    <w:rsid w:val="00021A40"/>
    <w:rsid w:val="00021F8A"/>
    <w:rsid w:val="000222F7"/>
    <w:rsid w:val="00022681"/>
    <w:rsid w:val="00022995"/>
    <w:rsid w:val="0002306F"/>
    <w:rsid w:val="000234AF"/>
    <w:rsid w:val="00023542"/>
    <w:rsid w:val="00023606"/>
    <w:rsid w:val="00023B98"/>
    <w:rsid w:val="000241A9"/>
    <w:rsid w:val="00024EC9"/>
    <w:rsid w:val="0002591F"/>
    <w:rsid w:val="00025EA5"/>
    <w:rsid w:val="00025FFA"/>
    <w:rsid w:val="00026255"/>
    <w:rsid w:val="000269DF"/>
    <w:rsid w:val="00026B63"/>
    <w:rsid w:val="00026CFE"/>
    <w:rsid w:val="0002781B"/>
    <w:rsid w:val="000303D1"/>
    <w:rsid w:val="000304F5"/>
    <w:rsid w:val="000306AB"/>
    <w:rsid w:val="00030A81"/>
    <w:rsid w:val="00030A95"/>
    <w:rsid w:val="00030BF4"/>
    <w:rsid w:val="00031239"/>
    <w:rsid w:val="0003161E"/>
    <w:rsid w:val="0003192A"/>
    <w:rsid w:val="0003248F"/>
    <w:rsid w:val="00033664"/>
    <w:rsid w:val="00034B9C"/>
    <w:rsid w:val="00034CFD"/>
    <w:rsid w:val="00034D16"/>
    <w:rsid w:val="000351CA"/>
    <w:rsid w:val="0003611F"/>
    <w:rsid w:val="000364A3"/>
    <w:rsid w:val="000369AF"/>
    <w:rsid w:val="00036A74"/>
    <w:rsid w:val="00036C08"/>
    <w:rsid w:val="00036F06"/>
    <w:rsid w:val="000379E2"/>
    <w:rsid w:val="00037BC2"/>
    <w:rsid w:val="000400B6"/>
    <w:rsid w:val="00040234"/>
    <w:rsid w:val="000406BD"/>
    <w:rsid w:val="00040B66"/>
    <w:rsid w:val="000410E1"/>
    <w:rsid w:val="0004131F"/>
    <w:rsid w:val="0004149E"/>
    <w:rsid w:val="0004159B"/>
    <w:rsid w:val="00041E4C"/>
    <w:rsid w:val="000424EB"/>
    <w:rsid w:val="000426F0"/>
    <w:rsid w:val="000428D8"/>
    <w:rsid w:val="00042A0A"/>
    <w:rsid w:val="00042CFE"/>
    <w:rsid w:val="00043EA9"/>
    <w:rsid w:val="00044054"/>
    <w:rsid w:val="00044649"/>
    <w:rsid w:val="000446EF"/>
    <w:rsid w:val="00044772"/>
    <w:rsid w:val="00044AF4"/>
    <w:rsid w:val="00044DBA"/>
    <w:rsid w:val="00045BBC"/>
    <w:rsid w:val="00046E55"/>
    <w:rsid w:val="00047271"/>
    <w:rsid w:val="0004738E"/>
    <w:rsid w:val="00047EDC"/>
    <w:rsid w:val="000501CA"/>
    <w:rsid w:val="00050210"/>
    <w:rsid w:val="00050E93"/>
    <w:rsid w:val="000510E3"/>
    <w:rsid w:val="00051A8D"/>
    <w:rsid w:val="00052437"/>
    <w:rsid w:val="000527EB"/>
    <w:rsid w:val="00052A1D"/>
    <w:rsid w:val="00052A67"/>
    <w:rsid w:val="00052BAA"/>
    <w:rsid w:val="00053DF2"/>
    <w:rsid w:val="0005445E"/>
    <w:rsid w:val="00054F45"/>
    <w:rsid w:val="00055059"/>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5E1"/>
    <w:rsid w:val="00063683"/>
    <w:rsid w:val="00065618"/>
    <w:rsid w:val="00065849"/>
    <w:rsid w:val="00065DB0"/>
    <w:rsid w:val="00066059"/>
    <w:rsid w:val="00066068"/>
    <w:rsid w:val="00066860"/>
    <w:rsid w:val="00066BF6"/>
    <w:rsid w:val="00067060"/>
    <w:rsid w:val="000705B1"/>
    <w:rsid w:val="0007065F"/>
    <w:rsid w:val="0007132B"/>
    <w:rsid w:val="0007150E"/>
    <w:rsid w:val="0007167A"/>
    <w:rsid w:val="000717F1"/>
    <w:rsid w:val="00071E87"/>
    <w:rsid w:val="0007306D"/>
    <w:rsid w:val="00073692"/>
    <w:rsid w:val="00073E2E"/>
    <w:rsid w:val="0007483B"/>
    <w:rsid w:val="000750E2"/>
    <w:rsid w:val="0007512E"/>
    <w:rsid w:val="0007573A"/>
    <w:rsid w:val="00075A66"/>
    <w:rsid w:val="000760F9"/>
    <w:rsid w:val="00077035"/>
    <w:rsid w:val="00077816"/>
    <w:rsid w:val="000803F5"/>
    <w:rsid w:val="00080601"/>
    <w:rsid w:val="00081004"/>
    <w:rsid w:val="0008125B"/>
    <w:rsid w:val="00081F40"/>
    <w:rsid w:val="00082022"/>
    <w:rsid w:val="000822B8"/>
    <w:rsid w:val="00083462"/>
    <w:rsid w:val="000835FF"/>
    <w:rsid w:val="00083839"/>
    <w:rsid w:val="00083B73"/>
    <w:rsid w:val="00084333"/>
    <w:rsid w:val="00084C7E"/>
    <w:rsid w:val="00085354"/>
    <w:rsid w:val="0008556B"/>
    <w:rsid w:val="000857D0"/>
    <w:rsid w:val="000859C2"/>
    <w:rsid w:val="00085ED5"/>
    <w:rsid w:val="00086080"/>
    <w:rsid w:val="00086A2B"/>
    <w:rsid w:val="000876E4"/>
    <w:rsid w:val="0008783A"/>
    <w:rsid w:val="000878ED"/>
    <w:rsid w:val="00087E36"/>
    <w:rsid w:val="00087EFC"/>
    <w:rsid w:val="000903C4"/>
    <w:rsid w:val="000906E2"/>
    <w:rsid w:val="000909E3"/>
    <w:rsid w:val="000916A1"/>
    <w:rsid w:val="00091B8F"/>
    <w:rsid w:val="00091D76"/>
    <w:rsid w:val="00092044"/>
    <w:rsid w:val="00092178"/>
    <w:rsid w:val="000921A2"/>
    <w:rsid w:val="000925E1"/>
    <w:rsid w:val="000932DF"/>
    <w:rsid w:val="00093714"/>
    <w:rsid w:val="000941A2"/>
    <w:rsid w:val="00094205"/>
    <w:rsid w:val="00094233"/>
    <w:rsid w:val="000943B4"/>
    <w:rsid w:val="000946F3"/>
    <w:rsid w:val="00094D2C"/>
    <w:rsid w:val="000951FF"/>
    <w:rsid w:val="00095839"/>
    <w:rsid w:val="00095993"/>
    <w:rsid w:val="00095A4D"/>
    <w:rsid w:val="00095E97"/>
    <w:rsid w:val="00096355"/>
    <w:rsid w:val="00096792"/>
    <w:rsid w:val="00096FB2"/>
    <w:rsid w:val="00097263"/>
    <w:rsid w:val="00097322"/>
    <w:rsid w:val="00097C12"/>
    <w:rsid w:val="00097F72"/>
    <w:rsid w:val="000A01FD"/>
    <w:rsid w:val="000A06BD"/>
    <w:rsid w:val="000A091D"/>
    <w:rsid w:val="000A0B0A"/>
    <w:rsid w:val="000A1B7A"/>
    <w:rsid w:val="000A1C29"/>
    <w:rsid w:val="000A1D52"/>
    <w:rsid w:val="000A1EEF"/>
    <w:rsid w:val="000A1F47"/>
    <w:rsid w:val="000A2061"/>
    <w:rsid w:val="000A354E"/>
    <w:rsid w:val="000A36A8"/>
    <w:rsid w:val="000A39D3"/>
    <w:rsid w:val="000A3F10"/>
    <w:rsid w:val="000A468D"/>
    <w:rsid w:val="000A4CCF"/>
    <w:rsid w:val="000A4E4E"/>
    <w:rsid w:val="000A4F20"/>
    <w:rsid w:val="000A5254"/>
    <w:rsid w:val="000A5281"/>
    <w:rsid w:val="000A54A3"/>
    <w:rsid w:val="000A590B"/>
    <w:rsid w:val="000A601C"/>
    <w:rsid w:val="000A62B1"/>
    <w:rsid w:val="000A6F8B"/>
    <w:rsid w:val="000A6FFF"/>
    <w:rsid w:val="000A75F3"/>
    <w:rsid w:val="000B0BBB"/>
    <w:rsid w:val="000B0DE9"/>
    <w:rsid w:val="000B0F92"/>
    <w:rsid w:val="000B13C0"/>
    <w:rsid w:val="000B1996"/>
    <w:rsid w:val="000B2065"/>
    <w:rsid w:val="000B226B"/>
    <w:rsid w:val="000B2854"/>
    <w:rsid w:val="000B39A0"/>
    <w:rsid w:val="000B41EC"/>
    <w:rsid w:val="000B5350"/>
    <w:rsid w:val="000B5447"/>
    <w:rsid w:val="000B559D"/>
    <w:rsid w:val="000B5EC7"/>
    <w:rsid w:val="000B6F65"/>
    <w:rsid w:val="000B7983"/>
    <w:rsid w:val="000B7DCD"/>
    <w:rsid w:val="000B7E52"/>
    <w:rsid w:val="000B7FEC"/>
    <w:rsid w:val="000C197C"/>
    <w:rsid w:val="000C1A9C"/>
    <w:rsid w:val="000C1AA0"/>
    <w:rsid w:val="000C23C9"/>
    <w:rsid w:val="000C2615"/>
    <w:rsid w:val="000C298A"/>
    <w:rsid w:val="000C2A8B"/>
    <w:rsid w:val="000C302E"/>
    <w:rsid w:val="000C357A"/>
    <w:rsid w:val="000C392F"/>
    <w:rsid w:val="000C3AE5"/>
    <w:rsid w:val="000C47EA"/>
    <w:rsid w:val="000C48CA"/>
    <w:rsid w:val="000C5013"/>
    <w:rsid w:val="000C50EF"/>
    <w:rsid w:val="000C6073"/>
    <w:rsid w:val="000C620D"/>
    <w:rsid w:val="000C62C2"/>
    <w:rsid w:val="000C6352"/>
    <w:rsid w:val="000C648B"/>
    <w:rsid w:val="000C67B8"/>
    <w:rsid w:val="000C71FD"/>
    <w:rsid w:val="000C7ADF"/>
    <w:rsid w:val="000C7B83"/>
    <w:rsid w:val="000D0516"/>
    <w:rsid w:val="000D0598"/>
    <w:rsid w:val="000D0DBB"/>
    <w:rsid w:val="000D1798"/>
    <w:rsid w:val="000D1B14"/>
    <w:rsid w:val="000D23D9"/>
    <w:rsid w:val="000D2C69"/>
    <w:rsid w:val="000D2DCA"/>
    <w:rsid w:val="000D3125"/>
    <w:rsid w:val="000D339B"/>
    <w:rsid w:val="000D3D42"/>
    <w:rsid w:val="000D3FDA"/>
    <w:rsid w:val="000D4609"/>
    <w:rsid w:val="000D4BF1"/>
    <w:rsid w:val="000D4EA1"/>
    <w:rsid w:val="000D5199"/>
    <w:rsid w:val="000D55D8"/>
    <w:rsid w:val="000D5B87"/>
    <w:rsid w:val="000D5E2A"/>
    <w:rsid w:val="000D5FF5"/>
    <w:rsid w:val="000D683F"/>
    <w:rsid w:val="000D7230"/>
    <w:rsid w:val="000D7AF1"/>
    <w:rsid w:val="000D7C9F"/>
    <w:rsid w:val="000E0155"/>
    <w:rsid w:val="000E066A"/>
    <w:rsid w:val="000E1176"/>
    <w:rsid w:val="000E2242"/>
    <w:rsid w:val="000E2373"/>
    <w:rsid w:val="000E2A03"/>
    <w:rsid w:val="000E2B2F"/>
    <w:rsid w:val="000E3310"/>
    <w:rsid w:val="000E33E8"/>
    <w:rsid w:val="000E3A5A"/>
    <w:rsid w:val="000E3D7D"/>
    <w:rsid w:val="000E4095"/>
    <w:rsid w:val="000E4219"/>
    <w:rsid w:val="000E42FA"/>
    <w:rsid w:val="000E4ED1"/>
    <w:rsid w:val="000E5546"/>
    <w:rsid w:val="000E562A"/>
    <w:rsid w:val="000E5E5A"/>
    <w:rsid w:val="000E5F52"/>
    <w:rsid w:val="000E681A"/>
    <w:rsid w:val="000E743A"/>
    <w:rsid w:val="000E7D0B"/>
    <w:rsid w:val="000F05CF"/>
    <w:rsid w:val="000F0A0B"/>
    <w:rsid w:val="000F0A9A"/>
    <w:rsid w:val="000F0B7A"/>
    <w:rsid w:val="000F11BC"/>
    <w:rsid w:val="000F13AC"/>
    <w:rsid w:val="000F1E06"/>
    <w:rsid w:val="000F2597"/>
    <w:rsid w:val="000F29F5"/>
    <w:rsid w:val="000F2FDB"/>
    <w:rsid w:val="000F4182"/>
    <w:rsid w:val="000F6C91"/>
    <w:rsid w:val="000F6D33"/>
    <w:rsid w:val="000F7406"/>
    <w:rsid w:val="000F7714"/>
    <w:rsid w:val="000F7E3D"/>
    <w:rsid w:val="00100063"/>
    <w:rsid w:val="00100310"/>
    <w:rsid w:val="00100BE1"/>
    <w:rsid w:val="001023C6"/>
    <w:rsid w:val="0010278D"/>
    <w:rsid w:val="001027A5"/>
    <w:rsid w:val="0010394E"/>
    <w:rsid w:val="001039CE"/>
    <w:rsid w:val="00103C6B"/>
    <w:rsid w:val="00104348"/>
    <w:rsid w:val="001049AC"/>
    <w:rsid w:val="001059AD"/>
    <w:rsid w:val="001062CE"/>
    <w:rsid w:val="00106516"/>
    <w:rsid w:val="00106A27"/>
    <w:rsid w:val="00106E5D"/>
    <w:rsid w:val="0010705E"/>
    <w:rsid w:val="00107180"/>
    <w:rsid w:val="00107566"/>
    <w:rsid w:val="001079BF"/>
    <w:rsid w:val="00107AFA"/>
    <w:rsid w:val="00110068"/>
    <w:rsid w:val="00110598"/>
    <w:rsid w:val="00110819"/>
    <w:rsid w:val="00110D2D"/>
    <w:rsid w:val="00111593"/>
    <w:rsid w:val="0011159A"/>
    <w:rsid w:val="001124B6"/>
    <w:rsid w:val="0011273E"/>
    <w:rsid w:val="00112CBA"/>
    <w:rsid w:val="001138B4"/>
    <w:rsid w:val="0011413A"/>
    <w:rsid w:val="00114452"/>
    <w:rsid w:val="00114DF1"/>
    <w:rsid w:val="00114EAB"/>
    <w:rsid w:val="0011503B"/>
    <w:rsid w:val="001156F7"/>
    <w:rsid w:val="00115E45"/>
    <w:rsid w:val="0011613C"/>
    <w:rsid w:val="00116237"/>
    <w:rsid w:val="001163D0"/>
    <w:rsid w:val="0011717B"/>
    <w:rsid w:val="00117EB7"/>
    <w:rsid w:val="00120EEC"/>
    <w:rsid w:val="001216EB"/>
    <w:rsid w:val="0012219C"/>
    <w:rsid w:val="0012229C"/>
    <w:rsid w:val="001227C5"/>
    <w:rsid w:val="001233EE"/>
    <w:rsid w:val="001241C7"/>
    <w:rsid w:val="00124296"/>
    <w:rsid w:val="00124444"/>
    <w:rsid w:val="0012467F"/>
    <w:rsid w:val="001246D3"/>
    <w:rsid w:val="0012495C"/>
    <w:rsid w:val="001249BF"/>
    <w:rsid w:val="00125BBD"/>
    <w:rsid w:val="0012659A"/>
    <w:rsid w:val="001272F0"/>
    <w:rsid w:val="00127404"/>
    <w:rsid w:val="00127CF7"/>
    <w:rsid w:val="00127DE9"/>
    <w:rsid w:val="00127F0E"/>
    <w:rsid w:val="0013008E"/>
    <w:rsid w:val="00130E1F"/>
    <w:rsid w:val="00131081"/>
    <w:rsid w:val="00131311"/>
    <w:rsid w:val="00131751"/>
    <w:rsid w:val="001317C1"/>
    <w:rsid w:val="00131F22"/>
    <w:rsid w:val="00132CAA"/>
    <w:rsid w:val="00132DC7"/>
    <w:rsid w:val="0013328B"/>
    <w:rsid w:val="00133AF8"/>
    <w:rsid w:val="00133F5C"/>
    <w:rsid w:val="0013441A"/>
    <w:rsid w:val="00134AF1"/>
    <w:rsid w:val="00134E25"/>
    <w:rsid w:val="0013528B"/>
    <w:rsid w:val="001357DE"/>
    <w:rsid w:val="00135B49"/>
    <w:rsid w:val="00135B51"/>
    <w:rsid w:val="0013682D"/>
    <w:rsid w:val="00136EB7"/>
    <w:rsid w:val="00137014"/>
    <w:rsid w:val="00137688"/>
    <w:rsid w:val="00137773"/>
    <w:rsid w:val="001379D9"/>
    <w:rsid w:val="00137C1F"/>
    <w:rsid w:val="00137F01"/>
    <w:rsid w:val="00137F87"/>
    <w:rsid w:val="0014053F"/>
    <w:rsid w:val="00140831"/>
    <w:rsid w:val="00140DE3"/>
    <w:rsid w:val="00140E83"/>
    <w:rsid w:val="0014140E"/>
    <w:rsid w:val="00141903"/>
    <w:rsid w:val="00141C44"/>
    <w:rsid w:val="00141E1E"/>
    <w:rsid w:val="001422A5"/>
    <w:rsid w:val="001423D4"/>
    <w:rsid w:val="00142858"/>
    <w:rsid w:val="00142EC3"/>
    <w:rsid w:val="001435F7"/>
    <w:rsid w:val="00143CC7"/>
    <w:rsid w:val="00143F79"/>
    <w:rsid w:val="00144130"/>
    <w:rsid w:val="00144433"/>
    <w:rsid w:val="00144A55"/>
    <w:rsid w:val="00144B97"/>
    <w:rsid w:val="00144BF3"/>
    <w:rsid w:val="00144DC3"/>
    <w:rsid w:val="0014533E"/>
    <w:rsid w:val="0014551D"/>
    <w:rsid w:val="00145748"/>
    <w:rsid w:val="00146275"/>
    <w:rsid w:val="001463CE"/>
    <w:rsid w:val="00146547"/>
    <w:rsid w:val="00146FF0"/>
    <w:rsid w:val="001474DC"/>
    <w:rsid w:val="00147548"/>
    <w:rsid w:val="00147657"/>
    <w:rsid w:val="001476BA"/>
    <w:rsid w:val="00147ACC"/>
    <w:rsid w:val="00151B92"/>
    <w:rsid w:val="00151C29"/>
    <w:rsid w:val="00152104"/>
    <w:rsid w:val="0015214B"/>
    <w:rsid w:val="00152373"/>
    <w:rsid w:val="00152402"/>
    <w:rsid w:val="00152D3E"/>
    <w:rsid w:val="00153906"/>
    <w:rsid w:val="00154D40"/>
    <w:rsid w:val="001550DD"/>
    <w:rsid w:val="0015538C"/>
    <w:rsid w:val="00155E14"/>
    <w:rsid w:val="00156828"/>
    <w:rsid w:val="00156AB7"/>
    <w:rsid w:val="00156E5E"/>
    <w:rsid w:val="00156E88"/>
    <w:rsid w:val="001573E3"/>
    <w:rsid w:val="00157CE0"/>
    <w:rsid w:val="001600A9"/>
    <w:rsid w:val="00160CB1"/>
    <w:rsid w:val="00161115"/>
    <w:rsid w:val="001615ED"/>
    <w:rsid w:val="00161A57"/>
    <w:rsid w:val="00161E27"/>
    <w:rsid w:val="00161E3B"/>
    <w:rsid w:val="0016204E"/>
    <w:rsid w:val="00162C65"/>
    <w:rsid w:val="00162FCB"/>
    <w:rsid w:val="001636E1"/>
    <w:rsid w:val="001637D5"/>
    <w:rsid w:val="00163993"/>
    <w:rsid w:val="00163B26"/>
    <w:rsid w:val="00163D66"/>
    <w:rsid w:val="0016423D"/>
    <w:rsid w:val="001642DA"/>
    <w:rsid w:val="001643B9"/>
    <w:rsid w:val="00164B3B"/>
    <w:rsid w:val="00164B95"/>
    <w:rsid w:val="0016585E"/>
    <w:rsid w:val="00165DCC"/>
    <w:rsid w:val="00165DDE"/>
    <w:rsid w:val="00165F14"/>
    <w:rsid w:val="00166BD2"/>
    <w:rsid w:val="00166FC8"/>
    <w:rsid w:val="0016715D"/>
    <w:rsid w:val="00167401"/>
    <w:rsid w:val="00167D3C"/>
    <w:rsid w:val="00170AE8"/>
    <w:rsid w:val="001712BE"/>
    <w:rsid w:val="00171326"/>
    <w:rsid w:val="00171354"/>
    <w:rsid w:val="00171545"/>
    <w:rsid w:val="0017164F"/>
    <w:rsid w:val="0017196A"/>
    <w:rsid w:val="00171C35"/>
    <w:rsid w:val="00171E6D"/>
    <w:rsid w:val="00171EB5"/>
    <w:rsid w:val="00172745"/>
    <w:rsid w:val="00172C6B"/>
    <w:rsid w:val="001739A5"/>
    <w:rsid w:val="001745CC"/>
    <w:rsid w:val="0017499A"/>
    <w:rsid w:val="00175207"/>
    <w:rsid w:val="00175A4F"/>
    <w:rsid w:val="00175B9F"/>
    <w:rsid w:val="00175CD0"/>
    <w:rsid w:val="00176274"/>
    <w:rsid w:val="00176C83"/>
    <w:rsid w:val="00176F12"/>
    <w:rsid w:val="0017706D"/>
    <w:rsid w:val="00177F35"/>
    <w:rsid w:val="00180610"/>
    <w:rsid w:val="001809D6"/>
    <w:rsid w:val="00180D8F"/>
    <w:rsid w:val="0018108D"/>
    <w:rsid w:val="00181690"/>
    <w:rsid w:val="001818B1"/>
    <w:rsid w:val="00182217"/>
    <w:rsid w:val="00182697"/>
    <w:rsid w:val="00183186"/>
    <w:rsid w:val="00183DF0"/>
    <w:rsid w:val="00183E29"/>
    <w:rsid w:val="00184369"/>
    <w:rsid w:val="00184B92"/>
    <w:rsid w:val="00184BEE"/>
    <w:rsid w:val="00185694"/>
    <w:rsid w:val="0018571C"/>
    <w:rsid w:val="00186397"/>
    <w:rsid w:val="00187460"/>
    <w:rsid w:val="00187472"/>
    <w:rsid w:val="001900A6"/>
    <w:rsid w:val="001913BA"/>
    <w:rsid w:val="001919C5"/>
    <w:rsid w:val="00191DD0"/>
    <w:rsid w:val="0019273B"/>
    <w:rsid w:val="0019289D"/>
    <w:rsid w:val="001928B5"/>
    <w:rsid w:val="00192964"/>
    <w:rsid w:val="00192D12"/>
    <w:rsid w:val="0019387D"/>
    <w:rsid w:val="00193B18"/>
    <w:rsid w:val="00193C9F"/>
    <w:rsid w:val="001942CC"/>
    <w:rsid w:val="001949DC"/>
    <w:rsid w:val="00194B5E"/>
    <w:rsid w:val="00194E12"/>
    <w:rsid w:val="00194ECB"/>
    <w:rsid w:val="00194F62"/>
    <w:rsid w:val="00194FF9"/>
    <w:rsid w:val="00196113"/>
    <w:rsid w:val="00196420"/>
    <w:rsid w:val="00196AAC"/>
    <w:rsid w:val="00196D88"/>
    <w:rsid w:val="0019774A"/>
    <w:rsid w:val="001A0056"/>
    <w:rsid w:val="001A1294"/>
    <w:rsid w:val="001A159B"/>
    <w:rsid w:val="001A236F"/>
    <w:rsid w:val="001A2483"/>
    <w:rsid w:val="001A25E4"/>
    <w:rsid w:val="001A2E39"/>
    <w:rsid w:val="001A3013"/>
    <w:rsid w:val="001A35A1"/>
    <w:rsid w:val="001A3664"/>
    <w:rsid w:val="001A47B6"/>
    <w:rsid w:val="001A52A1"/>
    <w:rsid w:val="001A5D36"/>
    <w:rsid w:val="001A621C"/>
    <w:rsid w:val="001A686E"/>
    <w:rsid w:val="001A6CCB"/>
    <w:rsid w:val="001A6FAA"/>
    <w:rsid w:val="001A7428"/>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1BB"/>
    <w:rsid w:val="001B523A"/>
    <w:rsid w:val="001B5651"/>
    <w:rsid w:val="001B592D"/>
    <w:rsid w:val="001B6168"/>
    <w:rsid w:val="001B687B"/>
    <w:rsid w:val="001B759C"/>
    <w:rsid w:val="001B75A1"/>
    <w:rsid w:val="001C0B27"/>
    <w:rsid w:val="001C11F9"/>
    <w:rsid w:val="001C1202"/>
    <w:rsid w:val="001C184F"/>
    <w:rsid w:val="001C2AC7"/>
    <w:rsid w:val="001C310D"/>
    <w:rsid w:val="001C35D9"/>
    <w:rsid w:val="001C40CD"/>
    <w:rsid w:val="001C51D8"/>
    <w:rsid w:val="001C5259"/>
    <w:rsid w:val="001C6CC4"/>
    <w:rsid w:val="001C7121"/>
    <w:rsid w:val="001C7BCD"/>
    <w:rsid w:val="001C7E42"/>
    <w:rsid w:val="001D0285"/>
    <w:rsid w:val="001D0C3F"/>
    <w:rsid w:val="001D0D6B"/>
    <w:rsid w:val="001D10B6"/>
    <w:rsid w:val="001D14F0"/>
    <w:rsid w:val="001D1598"/>
    <w:rsid w:val="001D19F7"/>
    <w:rsid w:val="001D27F9"/>
    <w:rsid w:val="001D29BE"/>
    <w:rsid w:val="001D2B7E"/>
    <w:rsid w:val="001D2ED6"/>
    <w:rsid w:val="001D38D9"/>
    <w:rsid w:val="001D3AAB"/>
    <w:rsid w:val="001D3AEE"/>
    <w:rsid w:val="001D595C"/>
    <w:rsid w:val="001D5B05"/>
    <w:rsid w:val="001D61B0"/>
    <w:rsid w:val="001D660B"/>
    <w:rsid w:val="001D6D4A"/>
    <w:rsid w:val="001D71EB"/>
    <w:rsid w:val="001D7205"/>
    <w:rsid w:val="001D722F"/>
    <w:rsid w:val="001D76A5"/>
    <w:rsid w:val="001D7A7E"/>
    <w:rsid w:val="001D7F76"/>
    <w:rsid w:val="001E018F"/>
    <w:rsid w:val="001E054D"/>
    <w:rsid w:val="001E060C"/>
    <w:rsid w:val="001E0AFC"/>
    <w:rsid w:val="001E1680"/>
    <w:rsid w:val="001E23DA"/>
    <w:rsid w:val="001E24C3"/>
    <w:rsid w:val="001E2BEA"/>
    <w:rsid w:val="001E2CF4"/>
    <w:rsid w:val="001E37D7"/>
    <w:rsid w:val="001E3A2A"/>
    <w:rsid w:val="001E4159"/>
    <w:rsid w:val="001E4583"/>
    <w:rsid w:val="001E494D"/>
    <w:rsid w:val="001E5644"/>
    <w:rsid w:val="001E5D40"/>
    <w:rsid w:val="001E5DA3"/>
    <w:rsid w:val="001E6054"/>
    <w:rsid w:val="001E639E"/>
    <w:rsid w:val="001E6750"/>
    <w:rsid w:val="001E70DB"/>
    <w:rsid w:val="001E72F3"/>
    <w:rsid w:val="001E7CD5"/>
    <w:rsid w:val="001F0064"/>
    <w:rsid w:val="001F01AA"/>
    <w:rsid w:val="001F01C7"/>
    <w:rsid w:val="001F0E99"/>
    <w:rsid w:val="001F1650"/>
    <w:rsid w:val="001F1693"/>
    <w:rsid w:val="001F1D64"/>
    <w:rsid w:val="001F2087"/>
    <w:rsid w:val="001F20E8"/>
    <w:rsid w:val="001F2364"/>
    <w:rsid w:val="001F2572"/>
    <w:rsid w:val="001F2C75"/>
    <w:rsid w:val="001F2CCA"/>
    <w:rsid w:val="001F2D0B"/>
    <w:rsid w:val="001F2E05"/>
    <w:rsid w:val="001F3414"/>
    <w:rsid w:val="001F3B15"/>
    <w:rsid w:val="001F5021"/>
    <w:rsid w:val="001F5137"/>
    <w:rsid w:val="001F52ED"/>
    <w:rsid w:val="001F5E15"/>
    <w:rsid w:val="001F6183"/>
    <w:rsid w:val="001F6A4B"/>
    <w:rsid w:val="001F6BA2"/>
    <w:rsid w:val="001F757D"/>
    <w:rsid w:val="0020029F"/>
    <w:rsid w:val="002009FF"/>
    <w:rsid w:val="00200B4F"/>
    <w:rsid w:val="0020169E"/>
    <w:rsid w:val="00201E3A"/>
    <w:rsid w:val="0020238D"/>
    <w:rsid w:val="002026BC"/>
    <w:rsid w:val="00202A25"/>
    <w:rsid w:val="002040EB"/>
    <w:rsid w:val="0020456E"/>
    <w:rsid w:val="00204995"/>
    <w:rsid w:val="00204A2B"/>
    <w:rsid w:val="00204AB7"/>
    <w:rsid w:val="00204BA4"/>
    <w:rsid w:val="00204D6C"/>
    <w:rsid w:val="002054C0"/>
    <w:rsid w:val="002055A7"/>
    <w:rsid w:val="0020565B"/>
    <w:rsid w:val="0020578D"/>
    <w:rsid w:val="00205B2F"/>
    <w:rsid w:val="0020650B"/>
    <w:rsid w:val="0020650C"/>
    <w:rsid w:val="00206BAE"/>
    <w:rsid w:val="00207362"/>
    <w:rsid w:val="0020744F"/>
    <w:rsid w:val="0020774F"/>
    <w:rsid w:val="0020779C"/>
    <w:rsid w:val="0020794B"/>
    <w:rsid w:val="00207DAC"/>
    <w:rsid w:val="00210341"/>
    <w:rsid w:val="00210864"/>
    <w:rsid w:val="00211197"/>
    <w:rsid w:val="0021127A"/>
    <w:rsid w:val="002113C6"/>
    <w:rsid w:val="00211512"/>
    <w:rsid w:val="0021153C"/>
    <w:rsid w:val="0021158E"/>
    <w:rsid w:val="00211AD2"/>
    <w:rsid w:val="0021251C"/>
    <w:rsid w:val="00212568"/>
    <w:rsid w:val="002132D7"/>
    <w:rsid w:val="00213BC3"/>
    <w:rsid w:val="00213FCB"/>
    <w:rsid w:val="002141A4"/>
    <w:rsid w:val="00214D58"/>
    <w:rsid w:val="002150BD"/>
    <w:rsid w:val="002151A8"/>
    <w:rsid w:val="002154B9"/>
    <w:rsid w:val="0021560C"/>
    <w:rsid w:val="002157CB"/>
    <w:rsid w:val="00215DE7"/>
    <w:rsid w:val="00216197"/>
    <w:rsid w:val="0021624D"/>
    <w:rsid w:val="0021672F"/>
    <w:rsid w:val="002167FD"/>
    <w:rsid w:val="00216E76"/>
    <w:rsid w:val="002170AE"/>
    <w:rsid w:val="00217134"/>
    <w:rsid w:val="002178A2"/>
    <w:rsid w:val="00217DF0"/>
    <w:rsid w:val="00217ED3"/>
    <w:rsid w:val="0022021E"/>
    <w:rsid w:val="002203BF"/>
    <w:rsid w:val="00221902"/>
    <w:rsid w:val="00221ADD"/>
    <w:rsid w:val="0022261F"/>
    <w:rsid w:val="002226BD"/>
    <w:rsid w:val="00222E06"/>
    <w:rsid w:val="00222F07"/>
    <w:rsid w:val="00223257"/>
    <w:rsid w:val="002235EB"/>
    <w:rsid w:val="00223805"/>
    <w:rsid w:val="002246AA"/>
    <w:rsid w:val="00224D3B"/>
    <w:rsid w:val="00224D77"/>
    <w:rsid w:val="0022505F"/>
    <w:rsid w:val="00225525"/>
    <w:rsid w:val="0022553A"/>
    <w:rsid w:val="0022592F"/>
    <w:rsid w:val="00225E70"/>
    <w:rsid w:val="002262BA"/>
    <w:rsid w:val="00226517"/>
    <w:rsid w:val="00226724"/>
    <w:rsid w:val="00226DB1"/>
    <w:rsid w:val="0022723E"/>
    <w:rsid w:val="00227651"/>
    <w:rsid w:val="00227812"/>
    <w:rsid w:val="00230976"/>
    <w:rsid w:val="0023128B"/>
    <w:rsid w:val="00231960"/>
    <w:rsid w:val="00231E19"/>
    <w:rsid w:val="002324F3"/>
    <w:rsid w:val="002325AF"/>
    <w:rsid w:val="00232673"/>
    <w:rsid w:val="00232681"/>
    <w:rsid w:val="00232A34"/>
    <w:rsid w:val="002330A9"/>
    <w:rsid w:val="00233203"/>
    <w:rsid w:val="002335E3"/>
    <w:rsid w:val="0023371C"/>
    <w:rsid w:val="00233ED7"/>
    <w:rsid w:val="00234086"/>
    <w:rsid w:val="00234119"/>
    <w:rsid w:val="002342BC"/>
    <w:rsid w:val="00234436"/>
    <w:rsid w:val="002345C4"/>
    <w:rsid w:val="00235243"/>
    <w:rsid w:val="002353FA"/>
    <w:rsid w:val="00235892"/>
    <w:rsid w:val="00235C0F"/>
    <w:rsid w:val="00235E8F"/>
    <w:rsid w:val="0023617E"/>
    <w:rsid w:val="002366D1"/>
    <w:rsid w:val="00236973"/>
    <w:rsid w:val="00236AC6"/>
    <w:rsid w:val="002371FC"/>
    <w:rsid w:val="00237597"/>
    <w:rsid w:val="00237C3A"/>
    <w:rsid w:val="0024056C"/>
    <w:rsid w:val="00240D94"/>
    <w:rsid w:val="002416E0"/>
    <w:rsid w:val="002418E5"/>
    <w:rsid w:val="00241C1F"/>
    <w:rsid w:val="00241E50"/>
    <w:rsid w:val="0024298D"/>
    <w:rsid w:val="00242A77"/>
    <w:rsid w:val="002432DA"/>
    <w:rsid w:val="002438EE"/>
    <w:rsid w:val="00244A01"/>
    <w:rsid w:val="00245130"/>
    <w:rsid w:val="00245253"/>
    <w:rsid w:val="0024525C"/>
    <w:rsid w:val="00245933"/>
    <w:rsid w:val="00245CFD"/>
    <w:rsid w:val="00246020"/>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824"/>
    <w:rsid w:val="00252F66"/>
    <w:rsid w:val="002530A2"/>
    <w:rsid w:val="00253864"/>
    <w:rsid w:val="00254C47"/>
    <w:rsid w:val="00254EB0"/>
    <w:rsid w:val="002552B5"/>
    <w:rsid w:val="002554A1"/>
    <w:rsid w:val="00256121"/>
    <w:rsid w:val="002564F2"/>
    <w:rsid w:val="0025711C"/>
    <w:rsid w:val="0025733F"/>
    <w:rsid w:val="00257977"/>
    <w:rsid w:val="00257F72"/>
    <w:rsid w:val="00260112"/>
    <w:rsid w:val="002607CD"/>
    <w:rsid w:val="00261011"/>
    <w:rsid w:val="0026256E"/>
    <w:rsid w:val="002626F7"/>
    <w:rsid w:val="00262962"/>
    <w:rsid w:val="00262F5E"/>
    <w:rsid w:val="0026350B"/>
    <w:rsid w:val="002635ED"/>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5C3"/>
    <w:rsid w:val="00266F31"/>
    <w:rsid w:val="0026705D"/>
    <w:rsid w:val="002674F3"/>
    <w:rsid w:val="00270A48"/>
    <w:rsid w:val="00270D45"/>
    <w:rsid w:val="00271229"/>
    <w:rsid w:val="00271F84"/>
    <w:rsid w:val="0027256E"/>
    <w:rsid w:val="00272861"/>
    <w:rsid w:val="00273BC6"/>
    <w:rsid w:val="00273E31"/>
    <w:rsid w:val="00273E60"/>
    <w:rsid w:val="00274541"/>
    <w:rsid w:val="002749E2"/>
    <w:rsid w:val="00274E94"/>
    <w:rsid w:val="002759E5"/>
    <w:rsid w:val="00276133"/>
    <w:rsid w:val="00276728"/>
    <w:rsid w:val="002767BF"/>
    <w:rsid w:val="0027680C"/>
    <w:rsid w:val="00276A19"/>
    <w:rsid w:val="00276CFD"/>
    <w:rsid w:val="00277E2A"/>
    <w:rsid w:val="00280296"/>
    <w:rsid w:val="00280314"/>
    <w:rsid w:val="002805F0"/>
    <w:rsid w:val="0028077D"/>
    <w:rsid w:val="00280A62"/>
    <w:rsid w:val="002816E6"/>
    <w:rsid w:val="00281BD4"/>
    <w:rsid w:val="00282292"/>
    <w:rsid w:val="002823E2"/>
    <w:rsid w:val="00282D99"/>
    <w:rsid w:val="00282E77"/>
    <w:rsid w:val="00283812"/>
    <w:rsid w:val="00284597"/>
    <w:rsid w:val="00284858"/>
    <w:rsid w:val="0028555D"/>
    <w:rsid w:val="002857B3"/>
    <w:rsid w:val="0028640A"/>
    <w:rsid w:val="0028648D"/>
    <w:rsid w:val="00286AA8"/>
    <w:rsid w:val="00286BBB"/>
    <w:rsid w:val="00286D97"/>
    <w:rsid w:val="00287C34"/>
    <w:rsid w:val="00290124"/>
    <w:rsid w:val="00290218"/>
    <w:rsid w:val="0029046A"/>
    <w:rsid w:val="00291482"/>
    <w:rsid w:val="002919B9"/>
    <w:rsid w:val="0029209D"/>
    <w:rsid w:val="00292EB9"/>
    <w:rsid w:val="002930D3"/>
    <w:rsid w:val="0029315D"/>
    <w:rsid w:val="0029333D"/>
    <w:rsid w:val="0029393D"/>
    <w:rsid w:val="00293E0B"/>
    <w:rsid w:val="00295AE0"/>
    <w:rsid w:val="00295F8B"/>
    <w:rsid w:val="00296480"/>
    <w:rsid w:val="00297A50"/>
    <w:rsid w:val="00297DB1"/>
    <w:rsid w:val="00297EF3"/>
    <w:rsid w:val="002A00CC"/>
    <w:rsid w:val="002A08CE"/>
    <w:rsid w:val="002A0C2A"/>
    <w:rsid w:val="002A11F2"/>
    <w:rsid w:val="002A121C"/>
    <w:rsid w:val="002A1556"/>
    <w:rsid w:val="002A23BF"/>
    <w:rsid w:val="002A256B"/>
    <w:rsid w:val="002A26C5"/>
    <w:rsid w:val="002A27FA"/>
    <w:rsid w:val="002A2D1B"/>
    <w:rsid w:val="002A2E8F"/>
    <w:rsid w:val="002A3261"/>
    <w:rsid w:val="002A3A04"/>
    <w:rsid w:val="002A453E"/>
    <w:rsid w:val="002A50C5"/>
    <w:rsid w:val="002A626B"/>
    <w:rsid w:val="002A6355"/>
    <w:rsid w:val="002A6B0A"/>
    <w:rsid w:val="002A6B86"/>
    <w:rsid w:val="002A6CD2"/>
    <w:rsid w:val="002A7DBA"/>
    <w:rsid w:val="002B092B"/>
    <w:rsid w:val="002B1461"/>
    <w:rsid w:val="002B1B7A"/>
    <w:rsid w:val="002B26E8"/>
    <w:rsid w:val="002B29A7"/>
    <w:rsid w:val="002B2CF6"/>
    <w:rsid w:val="002B2DDA"/>
    <w:rsid w:val="002B34CB"/>
    <w:rsid w:val="002B40E0"/>
    <w:rsid w:val="002B5635"/>
    <w:rsid w:val="002B5727"/>
    <w:rsid w:val="002B575A"/>
    <w:rsid w:val="002B5931"/>
    <w:rsid w:val="002B6312"/>
    <w:rsid w:val="002B640B"/>
    <w:rsid w:val="002B6C7F"/>
    <w:rsid w:val="002B78CB"/>
    <w:rsid w:val="002C0270"/>
    <w:rsid w:val="002C0F50"/>
    <w:rsid w:val="002C1D7B"/>
    <w:rsid w:val="002C1FE5"/>
    <w:rsid w:val="002C2191"/>
    <w:rsid w:val="002C220A"/>
    <w:rsid w:val="002C2A38"/>
    <w:rsid w:val="002C3664"/>
    <w:rsid w:val="002C3929"/>
    <w:rsid w:val="002C3B6A"/>
    <w:rsid w:val="002C3DAF"/>
    <w:rsid w:val="002C3FA7"/>
    <w:rsid w:val="002C4305"/>
    <w:rsid w:val="002C4355"/>
    <w:rsid w:val="002C467A"/>
    <w:rsid w:val="002C4CD0"/>
    <w:rsid w:val="002C538C"/>
    <w:rsid w:val="002C5A76"/>
    <w:rsid w:val="002C5C33"/>
    <w:rsid w:val="002C6745"/>
    <w:rsid w:val="002C6A69"/>
    <w:rsid w:val="002C6F65"/>
    <w:rsid w:val="002C7101"/>
    <w:rsid w:val="002C7763"/>
    <w:rsid w:val="002C7A7E"/>
    <w:rsid w:val="002C7E82"/>
    <w:rsid w:val="002D00DA"/>
    <w:rsid w:val="002D034C"/>
    <w:rsid w:val="002D0642"/>
    <w:rsid w:val="002D12B9"/>
    <w:rsid w:val="002D18DE"/>
    <w:rsid w:val="002D21FE"/>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6D6C"/>
    <w:rsid w:val="002D7106"/>
    <w:rsid w:val="002D7865"/>
    <w:rsid w:val="002D795A"/>
    <w:rsid w:val="002D7EE1"/>
    <w:rsid w:val="002E01BC"/>
    <w:rsid w:val="002E039B"/>
    <w:rsid w:val="002E05E0"/>
    <w:rsid w:val="002E17CB"/>
    <w:rsid w:val="002E1818"/>
    <w:rsid w:val="002E1E0C"/>
    <w:rsid w:val="002E27CB"/>
    <w:rsid w:val="002E28E9"/>
    <w:rsid w:val="002E2A3B"/>
    <w:rsid w:val="002E2CBD"/>
    <w:rsid w:val="002E3058"/>
    <w:rsid w:val="002E3472"/>
    <w:rsid w:val="002E3784"/>
    <w:rsid w:val="002E3AE4"/>
    <w:rsid w:val="002E457C"/>
    <w:rsid w:val="002E45CC"/>
    <w:rsid w:val="002E4B7C"/>
    <w:rsid w:val="002E5197"/>
    <w:rsid w:val="002E5429"/>
    <w:rsid w:val="002E5AF1"/>
    <w:rsid w:val="002E69BD"/>
    <w:rsid w:val="002E6FCE"/>
    <w:rsid w:val="002F04AA"/>
    <w:rsid w:val="002F0579"/>
    <w:rsid w:val="002F0B76"/>
    <w:rsid w:val="002F10A0"/>
    <w:rsid w:val="002F1554"/>
    <w:rsid w:val="002F1565"/>
    <w:rsid w:val="002F158D"/>
    <w:rsid w:val="002F162D"/>
    <w:rsid w:val="002F2185"/>
    <w:rsid w:val="002F25AD"/>
    <w:rsid w:val="002F2891"/>
    <w:rsid w:val="002F2AFC"/>
    <w:rsid w:val="002F2B3F"/>
    <w:rsid w:val="002F3A9D"/>
    <w:rsid w:val="002F3CC7"/>
    <w:rsid w:val="002F50C2"/>
    <w:rsid w:val="002F51CF"/>
    <w:rsid w:val="002F53C2"/>
    <w:rsid w:val="002F53CC"/>
    <w:rsid w:val="002F5567"/>
    <w:rsid w:val="002F5A6B"/>
    <w:rsid w:val="002F60BE"/>
    <w:rsid w:val="002F70B3"/>
    <w:rsid w:val="002F7240"/>
    <w:rsid w:val="002F73CF"/>
    <w:rsid w:val="002F7994"/>
    <w:rsid w:val="002F7B2B"/>
    <w:rsid w:val="002F7CD6"/>
    <w:rsid w:val="002F7CF8"/>
    <w:rsid w:val="00300482"/>
    <w:rsid w:val="00300A9A"/>
    <w:rsid w:val="00302A12"/>
    <w:rsid w:val="00302B8B"/>
    <w:rsid w:val="0030429B"/>
    <w:rsid w:val="003042EB"/>
    <w:rsid w:val="003047D9"/>
    <w:rsid w:val="00304CB6"/>
    <w:rsid w:val="00305827"/>
    <w:rsid w:val="00305E30"/>
    <w:rsid w:val="00306991"/>
    <w:rsid w:val="00306DBF"/>
    <w:rsid w:val="00306E18"/>
    <w:rsid w:val="00310E03"/>
    <w:rsid w:val="00311107"/>
    <w:rsid w:val="003112B7"/>
    <w:rsid w:val="0031134C"/>
    <w:rsid w:val="003128EE"/>
    <w:rsid w:val="00313005"/>
    <w:rsid w:val="003138A0"/>
    <w:rsid w:val="00313C88"/>
    <w:rsid w:val="00313E10"/>
    <w:rsid w:val="00313F2D"/>
    <w:rsid w:val="00313F32"/>
    <w:rsid w:val="003140F4"/>
    <w:rsid w:val="00314199"/>
    <w:rsid w:val="00315005"/>
    <w:rsid w:val="003150BF"/>
    <w:rsid w:val="00315178"/>
    <w:rsid w:val="00315259"/>
    <w:rsid w:val="00315AD7"/>
    <w:rsid w:val="00315BD4"/>
    <w:rsid w:val="00316607"/>
    <w:rsid w:val="003169D7"/>
    <w:rsid w:val="00316EDD"/>
    <w:rsid w:val="0031732B"/>
    <w:rsid w:val="00317428"/>
    <w:rsid w:val="00317615"/>
    <w:rsid w:val="00317C42"/>
    <w:rsid w:val="00317F77"/>
    <w:rsid w:val="003207DF"/>
    <w:rsid w:val="00320D3D"/>
    <w:rsid w:val="0032128A"/>
    <w:rsid w:val="00321E79"/>
    <w:rsid w:val="00322275"/>
    <w:rsid w:val="0032236B"/>
    <w:rsid w:val="00322601"/>
    <w:rsid w:val="00322AC7"/>
    <w:rsid w:val="003230A5"/>
    <w:rsid w:val="003232EC"/>
    <w:rsid w:val="003233E9"/>
    <w:rsid w:val="00324312"/>
    <w:rsid w:val="003244DF"/>
    <w:rsid w:val="00324B69"/>
    <w:rsid w:val="003260D5"/>
    <w:rsid w:val="00326816"/>
    <w:rsid w:val="003270B6"/>
    <w:rsid w:val="0032731C"/>
    <w:rsid w:val="003273F0"/>
    <w:rsid w:val="003279A8"/>
    <w:rsid w:val="00327A02"/>
    <w:rsid w:val="0033013F"/>
    <w:rsid w:val="003303F3"/>
    <w:rsid w:val="00330A79"/>
    <w:rsid w:val="003313BB"/>
    <w:rsid w:val="00331B01"/>
    <w:rsid w:val="00331B8A"/>
    <w:rsid w:val="00331E01"/>
    <w:rsid w:val="0033211E"/>
    <w:rsid w:val="00333069"/>
    <w:rsid w:val="003335F6"/>
    <w:rsid w:val="00334054"/>
    <w:rsid w:val="00334196"/>
    <w:rsid w:val="003341BB"/>
    <w:rsid w:val="003343C3"/>
    <w:rsid w:val="00334949"/>
    <w:rsid w:val="0033518B"/>
    <w:rsid w:val="00335751"/>
    <w:rsid w:val="0033594B"/>
    <w:rsid w:val="00335C4E"/>
    <w:rsid w:val="0033614B"/>
    <w:rsid w:val="003361B1"/>
    <w:rsid w:val="00336318"/>
    <w:rsid w:val="0033658D"/>
    <w:rsid w:val="003366BE"/>
    <w:rsid w:val="00337F54"/>
    <w:rsid w:val="00340BA7"/>
    <w:rsid w:val="00340D5B"/>
    <w:rsid w:val="00340FF0"/>
    <w:rsid w:val="0034103A"/>
    <w:rsid w:val="00341610"/>
    <w:rsid w:val="0034190B"/>
    <w:rsid w:val="00341B8D"/>
    <w:rsid w:val="003421DE"/>
    <w:rsid w:val="003426CA"/>
    <w:rsid w:val="003427AE"/>
    <w:rsid w:val="00342AF7"/>
    <w:rsid w:val="00342C3B"/>
    <w:rsid w:val="0034330F"/>
    <w:rsid w:val="00343A17"/>
    <w:rsid w:val="00343FEA"/>
    <w:rsid w:val="0034403C"/>
    <w:rsid w:val="0034463B"/>
    <w:rsid w:val="00344BD1"/>
    <w:rsid w:val="00344F07"/>
    <w:rsid w:val="003450D8"/>
    <w:rsid w:val="003453B5"/>
    <w:rsid w:val="0034559F"/>
    <w:rsid w:val="003455AF"/>
    <w:rsid w:val="00345F3E"/>
    <w:rsid w:val="003460C6"/>
    <w:rsid w:val="00346852"/>
    <w:rsid w:val="00346DC3"/>
    <w:rsid w:val="00347293"/>
    <w:rsid w:val="00347F5C"/>
    <w:rsid w:val="0035085E"/>
    <w:rsid w:val="00351062"/>
    <w:rsid w:val="00351501"/>
    <w:rsid w:val="00351A26"/>
    <w:rsid w:val="00351D3D"/>
    <w:rsid w:val="0035346F"/>
    <w:rsid w:val="00353849"/>
    <w:rsid w:val="00353ED2"/>
    <w:rsid w:val="00354181"/>
    <w:rsid w:val="00354508"/>
    <w:rsid w:val="00354573"/>
    <w:rsid w:val="00354B6D"/>
    <w:rsid w:val="00354BF3"/>
    <w:rsid w:val="00355155"/>
    <w:rsid w:val="003556A3"/>
    <w:rsid w:val="0035612A"/>
    <w:rsid w:val="0035665A"/>
    <w:rsid w:val="00356C1F"/>
    <w:rsid w:val="00356FE7"/>
    <w:rsid w:val="0035734A"/>
    <w:rsid w:val="003574C9"/>
    <w:rsid w:val="0035757B"/>
    <w:rsid w:val="00357A46"/>
    <w:rsid w:val="00357EE1"/>
    <w:rsid w:val="00360255"/>
    <w:rsid w:val="00361131"/>
    <w:rsid w:val="003613D4"/>
    <w:rsid w:val="00361ADC"/>
    <w:rsid w:val="00362A10"/>
    <w:rsid w:val="00362F46"/>
    <w:rsid w:val="00363CB7"/>
    <w:rsid w:val="003642F4"/>
    <w:rsid w:val="003647A8"/>
    <w:rsid w:val="00364F1E"/>
    <w:rsid w:val="00365143"/>
    <w:rsid w:val="003651AB"/>
    <w:rsid w:val="00365263"/>
    <w:rsid w:val="003653F7"/>
    <w:rsid w:val="00365FD5"/>
    <w:rsid w:val="003663B6"/>
    <w:rsid w:val="003667D5"/>
    <w:rsid w:val="00366A2F"/>
    <w:rsid w:val="00366DA4"/>
    <w:rsid w:val="003672A9"/>
    <w:rsid w:val="00367DAD"/>
    <w:rsid w:val="003705FC"/>
    <w:rsid w:val="00370D5C"/>
    <w:rsid w:val="00370E5E"/>
    <w:rsid w:val="00370F95"/>
    <w:rsid w:val="00371179"/>
    <w:rsid w:val="00371C67"/>
    <w:rsid w:val="00371EC8"/>
    <w:rsid w:val="00372295"/>
    <w:rsid w:val="003731F5"/>
    <w:rsid w:val="00373637"/>
    <w:rsid w:val="00373722"/>
    <w:rsid w:val="00373DC2"/>
    <w:rsid w:val="003747FC"/>
    <w:rsid w:val="00374895"/>
    <w:rsid w:val="003756FE"/>
    <w:rsid w:val="00375786"/>
    <w:rsid w:val="00375796"/>
    <w:rsid w:val="00375AD2"/>
    <w:rsid w:val="00375EAA"/>
    <w:rsid w:val="00376AD9"/>
    <w:rsid w:val="0037748C"/>
    <w:rsid w:val="003777FC"/>
    <w:rsid w:val="00377E03"/>
    <w:rsid w:val="00380523"/>
    <w:rsid w:val="00380A4B"/>
    <w:rsid w:val="00380F31"/>
    <w:rsid w:val="0038154E"/>
    <w:rsid w:val="003815AF"/>
    <w:rsid w:val="00381C5E"/>
    <w:rsid w:val="00382F8A"/>
    <w:rsid w:val="00383711"/>
    <w:rsid w:val="00383713"/>
    <w:rsid w:val="0038391B"/>
    <w:rsid w:val="00383E8D"/>
    <w:rsid w:val="003840F5"/>
    <w:rsid w:val="00384593"/>
    <w:rsid w:val="00384F79"/>
    <w:rsid w:val="003857E7"/>
    <w:rsid w:val="00385B07"/>
    <w:rsid w:val="00385DC3"/>
    <w:rsid w:val="003861AB"/>
    <w:rsid w:val="003862AD"/>
    <w:rsid w:val="003863CC"/>
    <w:rsid w:val="003868F7"/>
    <w:rsid w:val="00386AB6"/>
    <w:rsid w:val="003871B0"/>
    <w:rsid w:val="003873DC"/>
    <w:rsid w:val="003875FC"/>
    <w:rsid w:val="0038777D"/>
    <w:rsid w:val="003877FC"/>
    <w:rsid w:val="0038781F"/>
    <w:rsid w:val="00390101"/>
    <w:rsid w:val="003903A7"/>
    <w:rsid w:val="00390688"/>
    <w:rsid w:val="003907CD"/>
    <w:rsid w:val="00390B7C"/>
    <w:rsid w:val="00390D2A"/>
    <w:rsid w:val="003916E0"/>
    <w:rsid w:val="0039191A"/>
    <w:rsid w:val="0039234A"/>
    <w:rsid w:val="00392FFE"/>
    <w:rsid w:val="003930B3"/>
    <w:rsid w:val="003942FA"/>
    <w:rsid w:val="00394547"/>
    <w:rsid w:val="0039506C"/>
    <w:rsid w:val="00395661"/>
    <w:rsid w:val="00395717"/>
    <w:rsid w:val="00395D10"/>
    <w:rsid w:val="00395F9B"/>
    <w:rsid w:val="00396752"/>
    <w:rsid w:val="00396C9B"/>
    <w:rsid w:val="003971C3"/>
    <w:rsid w:val="00397235"/>
    <w:rsid w:val="0039729A"/>
    <w:rsid w:val="003974AB"/>
    <w:rsid w:val="003979D8"/>
    <w:rsid w:val="00397B05"/>
    <w:rsid w:val="003A01CD"/>
    <w:rsid w:val="003A08AF"/>
    <w:rsid w:val="003A08C0"/>
    <w:rsid w:val="003A0AD1"/>
    <w:rsid w:val="003A0CA6"/>
    <w:rsid w:val="003A1052"/>
    <w:rsid w:val="003A1AEF"/>
    <w:rsid w:val="003A1CE3"/>
    <w:rsid w:val="003A212C"/>
    <w:rsid w:val="003A21B8"/>
    <w:rsid w:val="003A2311"/>
    <w:rsid w:val="003A2897"/>
    <w:rsid w:val="003A2A66"/>
    <w:rsid w:val="003A3164"/>
    <w:rsid w:val="003A378D"/>
    <w:rsid w:val="003A3879"/>
    <w:rsid w:val="003A38C3"/>
    <w:rsid w:val="003A3C52"/>
    <w:rsid w:val="003A5655"/>
    <w:rsid w:val="003A5661"/>
    <w:rsid w:val="003A56DA"/>
    <w:rsid w:val="003A5B8E"/>
    <w:rsid w:val="003A675A"/>
    <w:rsid w:val="003A6842"/>
    <w:rsid w:val="003A6C5D"/>
    <w:rsid w:val="003A7D03"/>
    <w:rsid w:val="003A7F9E"/>
    <w:rsid w:val="003B060F"/>
    <w:rsid w:val="003B07BF"/>
    <w:rsid w:val="003B0D6F"/>
    <w:rsid w:val="003B0F8E"/>
    <w:rsid w:val="003B119B"/>
    <w:rsid w:val="003B127A"/>
    <w:rsid w:val="003B1451"/>
    <w:rsid w:val="003B1BC1"/>
    <w:rsid w:val="003B2815"/>
    <w:rsid w:val="003B2BC0"/>
    <w:rsid w:val="003B2D9A"/>
    <w:rsid w:val="003B309F"/>
    <w:rsid w:val="003B3279"/>
    <w:rsid w:val="003B3396"/>
    <w:rsid w:val="003B39B0"/>
    <w:rsid w:val="003B3D51"/>
    <w:rsid w:val="003B3EEC"/>
    <w:rsid w:val="003B4545"/>
    <w:rsid w:val="003B4B70"/>
    <w:rsid w:val="003B4B7B"/>
    <w:rsid w:val="003B4F11"/>
    <w:rsid w:val="003B5311"/>
    <w:rsid w:val="003B5869"/>
    <w:rsid w:val="003B5D99"/>
    <w:rsid w:val="003B5EBB"/>
    <w:rsid w:val="003B6228"/>
    <w:rsid w:val="003C088E"/>
    <w:rsid w:val="003C0B42"/>
    <w:rsid w:val="003C0FFC"/>
    <w:rsid w:val="003C155A"/>
    <w:rsid w:val="003C16DB"/>
    <w:rsid w:val="003C1BFD"/>
    <w:rsid w:val="003C2139"/>
    <w:rsid w:val="003C24F4"/>
    <w:rsid w:val="003C2A7C"/>
    <w:rsid w:val="003C2F70"/>
    <w:rsid w:val="003C34A8"/>
    <w:rsid w:val="003C3A21"/>
    <w:rsid w:val="003C3F6A"/>
    <w:rsid w:val="003C491D"/>
    <w:rsid w:val="003C492C"/>
    <w:rsid w:val="003C52A0"/>
    <w:rsid w:val="003C545F"/>
    <w:rsid w:val="003C550F"/>
    <w:rsid w:val="003C5C1A"/>
    <w:rsid w:val="003C623B"/>
    <w:rsid w:val="003C6F62"/>
    <w:rsid w:val="003C75CC"/>
    <w:rsid w:val="003C7B52"/>
    <w:rsid w:val="003C7C2A"/>
    <w:rsid w:val="003C7D5B"/>
    <w:rsid w:val="003D005A"/>
    <w:rsid w:val="003D0437"/>
    <w:rsid w:val="003D06A8"/>
    <w:rsid w:val="003D0970"/>
    <w:rsid w:val="003D0C3C"/>
    <w:rsid w:val="003D2001"/>
    <w:rsid w:val="003D2425"/>
    <w:rsid w:val="003D266E"/>
    <w:rsid w:val="003D2749"/>
    <w:rsid w:val="003D347F"/>
    <w:rsid w:val="003D3D7F"/>
    <w:rsid w:val="003D460C"/>
    <w:rsid w:val="003D4B73"/>
    <w:rsid w:val="003D5030"/>
    <w:rsid w:val="003D50C0"/>
    <w:rsid w:val="003D52D2"/>
    <w:rsid w:val="003D5D34"/>
    <w:rsid w:val="003D6BC7"/>
    <w:rsid w:val="003D6CDD"/>
    <w:rsid w:val="003D7880"/>
    <w:rsid w:val="003D7973"/>
    <w:rsid w:val="003D7ED7"/>
    <w:rsid w:val="003E07E1"/>
    <w:rsid w:val="003E0876"/>
    <w:rsid w:val="003E0F79"/>
    <w:rsid w:val="003E0FA7"/>
    <w:rsid w:val="003E12C3"/>
    <w:rsid w:val="003E155B"/>
    <w:rsid w:val="003E1E4E"/>
    <w:rsid w:val="003E2013"/>
    <w:rsid w:val="003E4338"/>
    <w:rsid w:val="003E43C3"/>
    <w:rsid w:val="003E47C9"/>
    <w:rsid w:val="003E5CEB"/>
    <w:rsid w:val="003E5F9F"/>
    <w:rsid w:val="003E643D"/>
    <w:rsid w:val="003E64FE"/>
    <w:rsid w:val="003E76C6"/>
    <w:rsid w:val="003E78E6"/>
    <w:rsid w:val="003F0875"/>
    <w:rsid w:val="003F111E"/>
    <w:rsid w:val="003F143D"/>
    <w:rsid w:val="003F2334"/>
    <w:rsid w:val="003F3075"/>
    <w:rsid w:val="003F36BF"/>
    <w:rsid w:val="003F39B4"/>
    <w:rsid w:val="003F4145"/>
    <w:rsid w:val="003F4AD1"/>
    <w:rsid w:val="003F4B07"/>
    <w:rsid w:val="003F4D95"/>
    <w:rsid w:val="003F4F39"/>
    <w:rsid w:val="003F594E"/>
    <w:rsid w:val="003F5AE7"/>
    <w:rsid w:val="003F5B72"/>
    <w:rsid w:val="003F5F1F"/>
    <w:rsid w:val="003F6ADB"/>
    <w:rsid w:val="003F6C73"/>
    <w:rsid w:val="003F6E69"/>
    <w:rsid w:val="003F72F9"/>
    <w:rsid w:val="003F77A6"/>
    <w:rsid w:val="003F7E89"/>
    <w:rsid w:val="003F7F5A"/>
    <w:rsid w:val="0040017E"/>
    <w:rsid w:val="0040108A"/>
    <w:rsid w:val="00401753"/>
    <w:rsid w:val="00401A36"/>
    <w:rsid w:val="00401B63"/>
    <w:rsid w:val="00401FB6"/>
    <w:rsid w:val="004021A0"/>
    <w:rsid w:val="00402954"/>
    <w:rsid w:val="00402B09"/>
    <w:rsid w:val="00402DF0"/>
    <w:rsid w:val="00404283"/>
    <w:rsid w:val="00404612"/>
    <w:rsid w:val="00404DFC"/>
    <w:rsid w:val="004052D9"/>
    <w:rsid w:val="00405BE9"/>
    <w:rsid w:val="0040605B"/>
    <w:rsid w:val="00406EE1"/>
    <w:rsid w:val="00407073"/>
    <w:rsid w:val="004074A0"/>
    <w:rsid w:val="004075C9"/>
    <w:rsid w:val="0040768F"/>
    <w:rsid w:val="00407C8A"/>
    <w:rsid w:val="00407DF4"/>
    <w:rsid w:val="00407F2C"/>
    <w:rsid w:val="004103CE"/>
    <w:rsid w:val="00410FB1"/>
    <w:rsid w:val="00411096"/>
    <w:rsid w:val="00411275"/>
    <w:rsid w:val="0041177D"/>
    <w:rsid w:val="00411B98"/>
    <w:rsid w:val="0041214E"/>
    <w:rsid w:val="00412164"/>
    <w:rsid w:val="004123A8"/>
    <w:rsid w:val="00412D2A"/>
    <w:rsid w:val="00412E44"/>
    <w:rsid w:val="00413544"/>
    <w:rsid w:val="00413B9F"/>
    <w:rsid w:val="00413EAA"/>
    <w:rsid w:val="00413EF4"/>
    <w:rsid w:val="00414719"/>
    <w:rsid w:val="004148D9"/>
    <w:rsid w:val="004154D1"/>
    <w:rsid w:val="004155B8"/>
    <w:rsid w:val="004159F6"/>
    <w:rsid w:val="00415FE7"/>
    <w:rsid w:val="00416326"/>
    <w:rsid w:val="004166BD"/>
    <w:rsid w:val="00416BB9"/>
    <w:rsid w:val="0041722D"/>
    <w:rsid w:val="00417395"/>
    <w:rsid w:val="0041799B"/>
    <w:rsid w:val="00417D29"/>
    <w:rsid w:val="00417E2E"/>
    <w:rsid w:val="004201CF"/>
    <w:rsid w:val="00420339"/>
    <w:rsid w:val="004209E5"/>
    <w:rsid w:val="00420AA8"/>
    <w:rsid w:val="00420F54"/>
    <w:rsid w:val="0042168E"/>
    <w:rsid w:val="004217A1"/>
    <w:rsid w:val="00421BE0"/>
    <w:rsid w:val="00422194"/>
    <w:rsid w:val="00422647"/>
    <w:rsid w:val="0042268C"/>
    <w:rsid w:val="00422874"/>
    <w:rsid w:val="00422C78"/>
    <w:rsid w:val="00422C98"/>
    <w:rsid w:val="00423ABF"/>
    <w:rsid w:val="00423E30"/>
    <w:rsid w:val="0042416E"/>
    <w:rsid w:val="004245AE"/>
    <w:rsid w:val="00424AD1"/>
    <w:rsid w:val="00424ECD"/>
    <w:rsid w:val="00425338"/>
    <w:rsid w:val="004253BF"/>
    <w:rsid w:val="004253CB"/>
    <w:rsid w:val="004253F0"/>
    <w:rsid w:val="00425908"/>
    <w:rsid w:val="0042787A"/>
    <w:rsid w:val="0043022B"/>
    <w:rsid w:val="004303E6"/>
    <w:rsid w:val="00430778"/>
    <w:rsid w:val="0043090B"/>
    <w:rsid w:val="00430E93"/>
    <w:rsid w:val="00432DAD"/>
    <w:rsid w:val="00433C8D"/>
    <w:rsid w:val="00433FAB"/>
    <w:rsid w:val="0043441F"/>
    <w:rsid w:val="004344EC"/>
    <w:rsid w:val="00434776"/>
    <w:rsid w:val="00434E1B"/>
    <w:rsid w:val="00435457"/>
    <w:rsid w:val="00435C32"/>
    <w:rsid w:val="00435EBF"/>
    <w:rsid w:val="00436885"/>
    <w:rsid w:val="00436A6C"/>
    <w:rsid w:val="00436F6F"/>
    <w:rsid w:val="00437419"/>
    <w:rsid w:val="004379C1"/>
    <w:rsid w:val="00437FD7"/>
    <w:rsid w:val="004400D0"/>
    <w:rsid w:val="00440269"/>
    <w:rsid w:val="0044030A"/>
    <w:rsid w:val="00440B4B"/>
    <w:rsid w:val="00440B7F"/>
    <w:rsid w:val="00440FD1"/>
    <w:rsid w:val="00441285"/>
    <w:rsid w:val="00441B88"/>
    <w:rsid w:val="00442A58"/>
    <w:rsid w:val="00442DBC"/>
    <w:rsid w:val="00444054"/>
    <w:rsid w:val="00444467"/>
    <w:rsid w:val="004445F5"/>
    <w:rsid w:val="0044468C"/>
    <w:rsid w:val="004448CB"/>
    <w:rsid w:val="00444A65"/>
    <w:rsid w:val="00444B16"/>
    <w:rsid w:val="00444E85"/>
    <w:rsid w:val="0044580D"/>
    <w:rsid w:val="00445D33"/>
    <w:rsid w:val="00445D66"/>
    <w:rsid w:val="00446213"/>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824"/>
    <w:rsid w:val="00453CF2"/>
    <w:rsid w:val="00453EA0"/>
    <w:rsid w:val="004549F1"/>
    <w:rsid w:val="00454AF4"/>
    <w:rsid w:val="0045518B"/>
    <w:rsid w:val="0045555C"/>
    <w:rsid w:val="004558C2"/>
    <w:rsid w:val="00455947"/>
    <w:rsid w:val="00455DCF"/>
    <w:rsid w:val="00456112"/>
    <w:rsid w:val="0045648F"/>
    <w:rsid w:val="004565FB"/>
    <w:rsid w:val="004568D4"/>
    <w:rsid w:val="00457290"/>
    <w:rsid w:val="00457511"/>
    <w:rsid w:val="00457746"/>
    <w:rsid w:val="0045788A"/>
    <w:rsid w:val="00457AB4"/>
    <w:rsid w:val="00460278"/>
    <w:rsid w:val="00460873"/>
    <w:rsid w:val="00460A8B"/>
    <w:rsid w:val="0046240F"/>
    <w:rsid w:val="00463CA1"/>
    <w:rsid w:val="00463D78"/>
    <w:rsid w:val="00463F3D"/>
    <w:rsid w:val="00464245"/>
    <w:rsid w:val="00464BAE"/>
    <w:rsid w:val="00464C98"/>
    <w:rsid w:val="00465205"/>
    <w:rsid w:val="00465566"/>
    <w:rsid w:val="004659A1"/>
    <w:rsid w:val="00465E9E"/>
    <w:rsid w:val="00465F35"/>
    <w:rsid w:val="00466206"/>
    <w:rsid w:val="00466923"/>
    <w:rsid w:val="0046697E"/>
    <w:rsid w:val="0046748D"/>
    <w:rsid w:val="0046762F"/>
    <w:rsid w:val="00467F66"/>
    <w:rsid w:val="004701A4"/>
    <w:rsid w:val="00470530"/>
    <w:rsid w:val="004707F6"/>
    <w:rsid w:val="00470991"/>
    <w:rsid w:val="00470F45"/>
    <w:rsid w:val="004711DD"/>
    <w:rsid w:val="00471453"/>
    <w:rsid w:val="00471771"/>
    <w:rsid w:val="00471872"/>
    <w:rsid w:val="00471FE9"/>
    <w:rsid w:val="004724E6"/>
    <w:rsid w:val="004735DB"/>
    <w:rsid w:val="004737CD"/>
    <w:rsid w:val="00473A49"/>
    <w:rsid w:val="00473BC7"/>
    <w:rsid w:val="00473D5A"/>
    <w:rsid w:val="00473D70"/>
    <w:rsid w:val="0047418A"/>
    <w:rsid w:val="0047522C"/>
    <w:rsid w:val="00475267"/>
    <w:rsid w:val="00475324"/>
    <w:rsid w:val="00476DF0"/>
    <w:rsid w:val="00477164"/>
    <w:rsid w:val="004774B8"/>
    <w:rsid w:val="00477A74"/>
    <w:rsid w:val="00477BA1"/>
    <w:rsid w:val="00480169"/>
    <w:rsid w:val="004801FB"/>
    <w:rsid w:val="00480532"/>
    <w:rsid w:val="00480794"/>
    <w:rsid w:val="00480BFD"/>
    <w:rsid w:val="00480F2E"/>
    <w:rsid w:val="0048239E"/>
    <w:rsid w:val="00482B6F"/>
    <w:rsid w:val="00483441"/>
    <w:rsid w:val="0048374B"/>
    <w:rsid w:val="00483A45"/>
    <w:rsid w:val="0048415D"/>
    <w:rsid w:val="0048455B"/>
    <w:rsid w:val="00484695"/>
    <w:rsid w:val="00484E44"/>
    <w:rsid w:val="00484F1B"/>
    <w:rsid w:val="00486E3A"/>
    <w:rsid w:val="00486FA0"/>
    <w:rsid w:val="0048727B"/>
    <w:rsid w:val="00487291"/>
    <w:rsid w:val="0048731F"/>
    <w:rsid w:val="004879C3"/>
    <w:rsid w:val="00490305"/>
    <w:rsid w:val="00490F21"/>
    <w:rsid w:val="00491526"/>
    <w:rsid w:val="00491BE1"/>
    <w:rsid w:val="00491F3A"/>
    <w:rsid w:val="00492194"/>
    <w:rsid w:val="004921CA"/>
    <w:rsid w:val="00492936"/>
    <w:rsid w:val="00492A62"/>
    <w:rsid w:val="00492EA2"/>
    <w:rsid w:val="00492F21"/>
    <w:rsid w:val="00493AE1"/>
    <w:rsid w:val="00493F4C"/>
    <w:rsid w:val="004947B7"/>
    <w:rsid w:val="00494FF9"/>
    <w:rsid w:val="00495426"/>
    <w:rsid w:val="00495E86"/>
    <w:rsid w:val="00495F3A"/>
    <w:rsid w:val="00496315"/>
    <w:rsid w:val="004965D4"/>
    <w:rsid w:val="004968C9"/>
    <w:rsid w:val="00496AF9"/>
    <w:rsid w:val="00497354"/>
    <w:rsid w:val="0049748D"/>
    <w:rsid w:val="0049754A"/>
    <w:rsid w:val="0049758E"/>
    <w:rsid w:val="004975C9"/>
    <w:rsid w:val="004A0253"/>
    <w:rsid w:val="004A02F2"/>
    <w:rsid w:val="004A03A5"/>
    <w:rsid w:val="004A0D51"/>
    <w:rsid w:val="004A11BE"/>
    <w:rsid w:val="004A189B"/>
    <w:rsid w:val="004A1A53"/>
    <w:rsid w:val="004A1BB0"/>
    <w:rsid w:val="004A2255"/>
    <w:rsid w:val="004A2262"/>
    <w:rsid w:val="004A2560"/>
    <w:rsid w:val="004A2829"/>
    <w:rsid w:val="004A2938"/>
    <w:rsid w:val="004A3169"/>
    <w:rsid w:val="004A3880"/>
    <w:rsid w:val="004A39D2"/>
    <w:rsid w:val="004A3D1D"/>
    <w:rsid w:val="004A427A"/>
    <w:rsid w:val="004A47E3"/>
    <w:rsid w:val="004A487B"/>
    <w:rsid w:val="004A4F38"/>
    <w:rsid w:val="004A5508"/>
    <w:rsid w:val="004A663C"/>
    <w:rsid w:val="004A6B13"/>
    <w:rsid w:val="004B07BC"/>
    <w:rsid w:val="004B08A3"/>
    <w:rsid w:val="004B0A4F"/>
    <w:rsid w:val="004B0E37"/>
    <w:rsid w:val="004B141A"/>
    <w:rsid w:val="004B1A4E"/>
    <w:rsid w:val="004B2586"/>
    <w:rsid w:val="004B2E81"/>
    <w:rsid w:val="004B2E89"/>
    <w:rsid w:val="004B31BC"/>
    <w:rsid w:val="004B3EC6"/>
    <w:rsid w:val="004B4048"/>
    <w:rsid w:val="004B4EE0"/>
    <w:rsid w:val="004B58A2"/>
    <w:rsid w:val="004B59F1"/>
    <w:rsid w:val="004B61B3"/>
    <w:rsid w:val="004B663E"/>
    <w:rsid w:val="004B6654"/>
    <w:rsid w:val="004B6774"/>
    <w:rsid w:val="004B6A62"/>
    <w:rsid w:val="004B6ECD"/>
    <w:rsid w:val="004B7EA6"/>
    <w:rsid w:val="004C02B1"/>
    <w:rsid w:val="004C04E6"/>
    <w:rsid w:val="004C10DC"/>
    <w:rsid w:val="004C1151"/>
    <w:rsid w:val="004C1F3F"/>
    <w:rsid w:val="004C2021"/>
    <w:rsid w:val="004C213B"/>
    <w:rsid w:val="004C252F"/>
    <w:rsid w:val="004C2620"/>
    <w:rsid w:val="004C2768"/>
    <w:rsid w:val="004C3CCB"/>
    <w:rsid w:val="004C40A1"/>
    <w:rsid w:val="004C495C"/>
    <w:rsid w:val="004C502F"/>
    <w:rsid w:val="004C5183"/>
    <w:rsid w:val="004C62D8"/>
    <w:rsid w:val="004C6589"/>
    <w:rsid w:val="004C7069"/>
    <w:rsid w:val="004C75E1"/>
    <w:rsid w:val="004C7AFB"/>
    <w:rsid w:val="004C7B50"/>
    <w:rsid w:val="004C7C53"/>
    <w:rsid w:val="004D1190"/>
    <w:rsid w:val="004D1864"/>
    <w:rsid w:val="004D1FB2"/>
    <w:rsid w:val="004D2013"/>
    <w:rsid w:val="004D23EF"/>
    <w:rsid w:val="004D243E"/>
    <w:rsid w:val="004D2BB5"/>
    <w:rsid w:val="004D338E"/>
    <w:rsid w:val="004D345C"/>
    <w:rsid w:val="004D3CC0"/>
    <w:rsid w:val="004D48BC"/>
    <w:rsid w:val="004D5004"/>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1469"/>
    <w:rsid w:val="004E209B"/>
    <w:rsid w:val="004E24AF"/>
    <w:rsid w:val="004E3EEB"/>
    <w:rsid w:val="004E439B"/>
    <w:rsid w:val="004E4AC1"/>
    <w:rsid w:val="004E4EDE"/>
    <w:rsid w:val="004E529F"/>
    <w:rsid w:val="004E52EA"/>
    <w:rsid w:val="004E52F4"/>
    <w:rsid w:val="004E54A8"/>
    <w:rsid w:val="004E5D78"/>
    <w:rsid w:val="004E6096"/>
    <w:rsid w:val="004E6A03"/>
    <w:rsid w:val="004E6A46"/>
    <w:rsid w:val="004E6CEA"/>
    <w:rsid w:val="004E6F46"/>
    <w:rsid w:val="004E70E9"/>
    <w:rsid w:val="004F003F"/>
    <w:rsid w:val="004F0932"/>
    <w:rsid w:val="004F17F9"/>
    <w:rsid w:val="004F2154"/>
    <w:rsid w:val="004F299D"/>
    <w:rsid w:val="004F2C35"/>
    <w:rsid w:val="004F3092"/>
    <w:rsid w:val="004F3602"/>
    <w:rsid w:val="004F38F1"/>
    <w:rsid w:val="004F3A4D"/>
    <w:rsid w:val="004F4332"/>
    <w:rsid w:val="004F4746"/>
    <w:rsid w:val="004F4FD7"/>
    <w:rsid w:val="004F587D"/>
    <w:rsid w:val="004F59A5"/>
    <w:rsid w:val="004F5FB9"/>
    <w:rsid w:val="004F6128"/>
    <w:rsid w:val="004F630F"/>
    <w:rsid w:val="004F7EE9"/>
    <w:rsid w:val="005004D4"/>
    <w:rsid w:val="005005F7"/>
    <w:rsid w:val="005008BA"/>
    <w:rsid w:val="00500CB9"/>
    <w:rsid w:val="00501537"/>
    <w:rsid w:val="00501EEE"/>
    <w:rsid w:val="00501F56"/>
    <w:rsid w:val="0050291E"/>
    <w:rsid w:val="00502C48"/>
    <w:rsid w:val="005034E3"/>
    <w:rsid w:val="0050355B"/>
    <w:rsid w:val="00503646"/>
    <w:rsid w:val="00504456"/>
    <w:rsid w:val="00504C25"/>
    <w:rsid w:val="0050506A"/>
    <w:rsid w:val="005050BC"/>
    <w:rsid w:val="00505260"/>
    <w:rsid w:val="00505383"/>
    <w:rsid w:val="00505770"/>
    <w:rsid w:val="0050588D"/>
    <w:rsid w:val="00505E8B"/>
    <w:rsid w:val="00506C83"/>
    <w:rsid w:val="00506CEA"/>
    <w:rsid w:val="00506F1C"/>
    <w:rsid w:val="00507000"/>
    <w:rsid w:val="00507690"/>
    <w:rsid w:val="00507725"/>
    <w:rsid w:val="00510BEB"/>
    <w:rsid w:val="00510DF6"/>
    <w:rsid w:val="00510EC3"/>
    <w:rsid w:val="0051158A"/>
    <w:rsid w:val="00511683"/>
    <w:rsid w:val="005124E7"/>
    <w:rsid w:val="00512630"/>
    <w:rsid w:val="00512DB7"/>
    <w:rsid w:val="005139F9"/>
    <w:rsid w:val="00513EB0"/>
    <w:rsid w:val="005142B0"/>
    <w:rsid w:val="00514660"/>
    <w:rsid w:val="0051474D"/>
    <w:rsid w:val="00514777"/>
    <w:rsid w:val="0051491C"/>
    <w:rsid w:val="00514DD0"/>
    <w:rsid w:val="00515140"/>
    <w:rsid w:val="005152DA"/>
    <w:rsid w:val="00515F8B"/>
    <w:rsid w:val="00515FF7"/>
    <w:rsid w:val="0051629B"/>
    <w:rsid w:val="00516DA7"/>
    <w:rsid w:val="005177FB"/>
    <w:rsid w:val="00520928"/>
    <w:rsid w:val="005209EC"/>
    <w:rsid w:val="00520CEE"/>
    <w:rsid w:val="00520D2A"/>
    <w:rsid w:val="00521355"/>
    <w:rsid w:val="00521A3A"/>
    <w:rsid w:val="00521B94"/>
    <w:rsid w:val="00521CC8"/>
    <w:rsid w:val="0052268B"/>
    <w:rsid w:val="005231E8"/>
    <w:rsid w:val="0052377F"/>
    <w:rsid w:val="00523D9D"/>
    <w:rsid w:val="005248A1"/>
    <w:rsid w:val="00524FE5"/>
    <w:rsid w:val="00525229"/>
    <w:rsid w:val="00525783"/>
    <w:rsid w:val="00525D97"/>
    <w:rsid w:val="00525EC6"/>
    <w:rsid w:val="00526053"/>
    <w:rsid w:val="005269B3"/>
    <w:rsid w:val="00526FB3"/>
    <w:rsid w:val="0052715C"/>
    <w:rsid w:val="005279C4"/>
    <w:rsid w:val="00527F9B"/>
    <w:rsid w:val="00530233"/>
    <w:rsid w:val="005306C4"/>
    <w:rsid w:val="0053078B"/>
    <w:rsid w:val="00531000"/>
    <w:rsid w:val="00531129"/>
    <w:rsid w:val="005312E2"/>
    <w:rsid w:val="005317E8"/>
    <w:rsid w:val="00531FF3"/>
    <w:rsid w:val="00532F24"/>
    <w:rsid w:val="00534DE5"/>
    <w:rsid w:val="00535130"/>
    <w:rsid w:val="0053589E"/>
    <w:rsid w:val="00535ED3"/>
    <w:rsid w:val="005362C6"/>
    <w:rsid w:val="00536A42"/>
    <w:rsid w:val="005370B2"/>
    <w:rsid w:val="00537300"/>
    <w:rsid w:val="00537401"/>
    <w:rsid w:val="00537831"/>
    <w:rsid w:val="00537932"/>
    <w:rsid w:val="005404C1"/>
    <w:rsid w:val="005411EE"/>
    <w:rsid w:val="00541F44"/>
    <w:rsid w:val="00541FF5"/>
    <w:rsid w:val="00542029"/>
    <w:rsid w:val="005425C4"/>
    <w:rsid w:val="00542DB3"/>
    <w:rsid w:val="00543A0D"/>
    <w:rsid w:val="00543AE9"/>
    <w:rsid w:val="0054449F"/>
    <w:rsid w:val="00544840"/>
    <w:rsid w:val="0054543D"/>
    <w:rsid w:val="0054576E"/>
    <w:rsid w:val="00545AF0"/>
    <w:rsid w:val="00545E8E"/>
    <w:rsid w:val="00546477"/>
    <w:rsid w:val="00546A2E"/>
    <w:rsid w:val="00546A3D"/>
    <w:rsid w:val="00547280"/>
    <w:rsid w:val="005473EF"/>
    <w:rsid w:val="00547669"/>
    <w:rsid w:val="0055008E"/>
    <w:rsid w:val="005504A5"/>
    <w:rsid w:val="00550694"/>
    <w:rsid w:val="0055096D"/>
    <w:rsid w:val="00550FA7"/>
    <w:rsid w:val="00551188"/>
    <w:rsid w:val="005514FD"/>
    <w:rsid w:val="005516E8"/>
    <w:rsid w:val="00551820"/>
    <w:rsid w:val="00551AAF"/>
    <w:rsid w:val="005521BD"/>
    <w:rsid w:val="0055255A"/>
    <w:rsid w:val="005525BF"/>
    <w:rsid w:val="00552A72"/>
    <w:rsid w:val="00552DDD"/>
    <w:rsid w:val="00553404"/>
    <w:rsid w:val="0055376F"/>
    <w:rsid w:val="00553BB5"/>
    <w:rsid w:val="00553E5A"/>
    <w:rsid w:val="005544E3"/>
    <w:rsid w:val="0055471E"/>
    <w:rsid w:val="00554BCA"/>
    <w:rsid w:val="00555285"/>
    <w:rsid w:val="0055587F"/>
    <w:rsid w:val="005559C8"/>
    <w:rsid w:val="00555B05"/>
    <w:rsid w:val="00556269"/>
    <w:rsid w:val="00556FD2"/>
    <w:rsid w:val="005574E3"/>
    <w:rsid w:val="00557A5F"/>
    <w:rsid w:val="00557DE5"/>
    <w:rsid w:val="005602E2"/>
    <w:rsid w:val="0056068E"/>
    <w:rsid w:val="00560809"/>
    <w:rsid w:val="00560A22"/>
    <w:rsid w:val="00561217"/>
    <w:rsid w:val="00561398"/>
    <w:rsid w:val="00561A2C"/>
    <w:rsid w:val="00561B14"/>
    <w:rsid w:val="00561C96"/>
    <w:rsid w:val="00562446"/>
    <w:rsid w:val="00562F67"/>
    <w:rsid w:val="00563294"/>
    <w:rsid w:val="00563CA0"/>
    <w:rsid w:val="00564094"/>
    <w:rsid w:val="005640A4"/>
    <w:rsid w:val="005643F5"/>
    <w:rsid w:val="005645A3"/>
    <w:rsid w:val="00564979"/>
    <w:rsid w:val="00564FEA"/>
    <w:rsid w:val="00565745"/>
    <w:rsid w:val="00566558"/>
    <w:rsid w:val="00566A6A"/>
    <w:rsid w:val="00566D74"/>
    <w:rsid w:val="005672D1"/>
    <w:rsid w:val="0056762F"/>
    <w:rsid w:val="00570369"/>
    <w:rsid w:val="00570450"/>
    <w:rsid w:val="005717E4"/>
    <w:rsid w:val="00571AD0"/>
    <w:rsid w:val="00571CD3"/>
    <w:rsid w:val="00572271"/>
    <w:rsid w:val="00572566"/>
    <w:rsid w:val="00572F01"/>
    <w:rsid w:val="005733CD"/>
    <w:rsid w:val="005736BC"/>
    <w:rsid w:val="00573D30"/>
    <w:rsid w:val="00573FF1"/>
    <w:rsid w:val="00574114"/>
    <w:rsid w:val="005747CF"/>
    <w:rsid w:val="00574F51"/>
    <w:rsid w:val="00574FDE"/>
    <w:rsid w:val="0057515A"/>
    <w:rsid w:val="005757C9"/>
    <w:rsid w:val="0057625C"/>
    <w:rsid w:val="005763AA"/>
    <w:rsid w:val="005801B9"/>
    <w:rsid w:val="00580397"/>
    <w:rsid w:val="0058098E"/>
    <w:rsid w:val="00580DD9"/>
    <w:rsid w:val="00581DD8"/>
    <w:rsid w:val="0058200E"/>
    <w:rsid w:val="00582BD0"/>
    <w:rsid w:val="0058307F"/>
    <w:rsid w:val="00583585"/>
    <w:rsid w:val="005838C0"/>
    <w:rsid w:val="005838F0"/>
    <w:rsid w:val="00583BDA"/>
    <w:rsid w:val="00583CEB"/>
    <w:rsid w:val="005844B8"/>
    <w:rsid w:val="0058454D"/>
    <w:rsid w:val="0058504B"/>
    <w:rsid w:val="0058541A"/>
    <w:rsid w:val="00585772"/>
    <w:rsid w:val="005865D6"/>
    <w:rsid w:val="005868DA"/>
    <w:rsid w:val="005871AA"/>
    <w:rsid w:val="00587551"/>
    <w:rsid w:val="005878AB"/>
    <w:rsid w:val="0058794E"/>
    <w:rsid w:val="00587A35"/>
    <w:rsid w:val="00587ACA"/>
    <w:rsid w:val="00587D36"/>
    <w:rsid w:val="00590183"/>
    <w:rsid w:val="005901D7"/>
    <w:rsid w:val="0059035B"/>
    <w:rsid w:val="00590538"/>
    <w:rsid w:val="00590E30"/>
    <w:rsid w:val="00590E6E"/>
    <w:rsid w:val="00590F8C"/>
    <w:rsid w:val="0059240F"/>
    <w:rsid w:val="00592F6E"/>
    <w:rsid w:val="0059354B"/>
    <w:rsid w:val="0059364F"/>
    <w:rsid w:val="00593775"/>
    <w:rsid w:val="005942EA"/>
    <w:rsid w:val="00594CBC"/>
    <w:rsid w:val="00594DDD"/>
    <w:rsid w:val="00595059"/>
    <w:rsid w:val="005953E3"/>
    <w:rsid w:val="005958AC"/>
    <w:rsid w:val="00595D84"/>
    <w:rsid w:val="0059665C"/>
    <w:rsid w:val="00596CB3"/>
    <w:rsid w:val="00596DB4"/>
    <w:rsid w:val="005970EC"/>
    <w:rsid w:val="00597191"/>
    <w:rsid w:val="005972DC"/>
    <w:rsid w:val="00597415"/>
    <w:rsid w:val="00597C0A"/>
    <w:rsid w:val="00597C11"/>
    <w:rsid w:val="00597CE4"/>
    <w:rsid w:val="00597F24"/>
    <w:rsid w:val="005A022F"/>
    <w:rsid w:val="005A03E6"/>
    <w:rsid w:val="005A05D2"/>
    <w:rsid w:val="005A08D0"/>
    <w:rsid w:val="005A0A97"/>
    <w:rsid w:val="005A0D6D"/>
    <w:rsid w:val="005A10B7"/>
    <w:rsid w:val="005A16E6"/>
    <w:rsid w:val="005A1747"/>
    <w:rsid w:val="005A2079"/>
    <w:rsid w:val="005A21D1"/>
    <w:rsid w:val="005A2241"/>
    <w:rsid w:val="005A26A9"/>
    <w:rsid w:val="005A28D2"/>
    <w:rsid w:val="005A2973"/>
    <w:rsid w:val="005A3436"/>
    <w:rsid w:val="005A4197"/>
    <w:rsid w:val="005A438A"/>
    <w:rsid w:val="005A48C2"/>
    <w:rsid w:val="005A5541"/>
    <w:rsid w:val="005A5913"/>
    <w:rsid w:val="005A5AA2"/>
    <w:rsid w:val="005A5ED0"/>
    <w:rsid w:val="005A6131"/>
    <w:rsid w:val="005A6473"/>
    <w:rsid w:val="005A6A3B"/>
    <w:rsid w:val="005A6EAA"/>
    <w:rsid w:val="005A706F"/>
    <w:rsid w:val="005A7523"/>
    <w:rsid w:val="005A75E1"/>
    <w:rsid w:val="005A7D39"/>
    <w:rsid w:val="005B058E"/>
    <w:rsid w:val="005B0BC4"/>
    <w:rsid w:val="005B1294"/>
    <w:rsid w:val="005B13E8"/>
    <w:rsid w:val="005B1F32"/>
    <w:rsid w:val="005B1FD8"/>
    <w:rsid w:val="005B2138"/>
    <w:rsid w:val="005B22EC"/>
    <w:rsid w:val="005B307B"/>
    <w:rsid w:val="005B327B"/>
    <w:rsid w:val="005B348D"/>
    <w:rsid w:val="005B361E"/>
    <w:rsid w:val="005B3745"/>
    <w:rsid w:val="005B3D71"/>
    <w:rsid w:val="005B4189"/>
    <w:rsid w:val="005B4858"/>
    <w:rsid w:val="005B4875"/>
    <w:rsid w:val="005B4CCE"/>
    <w:rsid w:val="005B4CD7"/>
    <w:rsid w:val="005B4EF6"/>
    <w:rsid w:val="005B5681"/>
    <w:rsid w:val="005B5F8C"/>
    <w:rsid w:val="005B6E8C"/>
    <w:rsid w:val="005B7497"/>
    <w:rsid w:val="005B7AEB"/>
    <w:rsid w:val="005C0369"/>
    <w:rsid w:val="005C0831"/>
    <w:rsid w:val="005C08A9"/>
    <w:rsid w:val="005C0FB8"/>
    <w:rsid w:val="005C1183"/>
    <w:rsid w:val="005C1324"/>
    <w:rsid w:val="005C1BB9"/>
    <w:rsid w:val="005C2309"/>
    <w:rsid w:val="005C2C21"/>
    <w:rsid w:val="005C2F77"/>
    <w:rsid w:val="005C447B"/>
    <w:rsid w:val="005C5DEA"/>
    <w:rsid w:val="005C6010"/>
    <w:rsid w:val="005C6487"/>
    <w:rsid w:val="005C64B6"/>
    <w:rsid w:val="005C714E"/>
    <w:rsid w:val="005C781D"/>
    <w:rsid w:val="005D0685"/>
    <w:rsid w:val="005D0E18"/>
    <w:rsid w:val="005D14F8"/>
    <w:rsid w:val="005D17DC"/>
    <w:rsid w:val="005D1F4C"/>
    <w:rsid w:val="005D20CE"/>
    <w:rsid w:val="005D2394"/>
    <w:rsid w:val="005D26BF"/>
    <w:rsid w:val="005D339D"/>
    <w:rsid w:val="005D3598"/>
    <w:rsid w:val="005D38CC"/>
    <w:rsid w:val="005D3F05"/>
    <w:rsid w:val="005D4216"/>
    <w:rsid w:val="005D436B"/>
    <w:rsid w:val="005D450D"/>
    <w:rsid w:val="005D4758"/>
    <w:rsid w:val="005D47CF"/>
    <w:rsid w:val="005D52B5"/>
    <w:rsid w:val="005D53CD"/>
    <w:rsid w:val="005D5460"/>
    <w:rsid w:val="005D586C"/>
    <w:rsid w:val="005D59E6"/>
    <w:rsid w:val="005D5A50"/>
    <w:rsid w:val="005D635B"/>
    <w:rsid w:val="005D680F"/>
    <w:rsid w:val="005D7001"/>
    <w:rsid w:val="005D753D"/>
    <w:rsid w:val="005D75D2"/>
    <w:rsid w:val="005D764F"/>
    <w:rsid w:val="005D7997"/>
    <w:rsid w:val="005DAC46"/>
    <w:rsid w:val="005E003A"/>
    <w:rsid w:val="005E00D8"/>
    <w:rsid w:val="005E05E0"/>
    <w:rsid w:val="005E0894"/>
    <w:rsid w:val="005E0A19"/>
    <w:rsid w:val="005E0E35"/>
    <w:rsid w:val="005E0E85"/>
    <w:rsid w:val="005E122E"/>
    <w:rsid w:val="005E124D"/>
    <w:rsid w:val="005E12A0"/>
    <w:rsid w:val="005E130A"/>
    <w:rsid w:val="005E13E0"/>
    <w:rsid w:val="005E151C"/>
    <w:rsid w:val="005E29B9"/>
    <w:rsid w:val="005E2CE6"/>
    <w:rsid w:val="005E365F"/>
    <w:rsid w:val="005E4039"/>
    <w:rsid w:val="005E4454"/>
    <w:rsid w:val="005E4D76"/>
    <w:rsid w:val="005E4DFD"/>
    <w:rsid w:val="005E50C3"/>
    <w:rsid w:val="005E5D56"/>
    <w:rsid w:val="005E75BA"/>
    <w:rsid w:val="005E7E54"/>
    <w:rsid w:val="005F0938"/>
    <w:rsid w:val="005F0C4B"/>
    <w:rsid w:val="005F1014"/>
    <w:rsid w:val="005F191C"/>
    <w:rsid w:val="005F19CF"/>
    <w:rsid w:val="005F1E5E"/>
    <w:rsid w:val="005F2566"/>
    <w:rsid w:val="005F268C"/>
    <w:rsid w:val="005F280C"/>
    <w:rsid w:val="005F294D"/>
    <w:rsid w:val="005F2FC0"/>
    <w:rsid w:val="005F3300"/>
    <w:rsid w:val="005F3B01"/>
    <w:rsid w:val="005F49C3"/>
    <w:rsid w:val="005F6B76"/>
    <w:rsid w:val="005F6CE8"/>
    <w:rsid w:val="005F74AB"/>
    <w:rsid w:val="005F75FC"/>
    <w:rsid w:val="00600344"/>
    <w:rsid w:val="00600E4B"/>
    <w:rsid w:val="00601004"/>
    <w:rsid w:val="00601105"/>
    <w:rsid w:val="00601A00"/>
    <w:rsid w:val="006028E7"/>
    <w:rsid w:val="00603009"/>
    <w:rsid w:val="006031C1"/>
    <w:rsid w:val="00603374"/>
    <w:rsid w:val="006036CE"/>
    <w:rsid w:val="00603A96"/>
    <w:rsid w:val="00604095"/>
    <w:rsid w:val="0060432D"/>
    <w:rsid w:val="006044DE"/>
    <w:rsid w:val="006047CB"/>
    <w:rsid w:val="0060509B"/>
    <w:rsid w:val="006055D2"/>
    <w:rsid w:val="006058F3"/>
    <w:rsid w:val="00605929"/>
    <w:rsid w:val="00605C0D"/>
    <w:rsid w:val="00606A27"/>
    <w:rsid w:val="00606EBC"/>
    <w:rsid w:val="00606F5E"/>
    <w:rsid w:val="0060712E"/>
    <w:rsid w:val="0060728F"/>
    <w:rsid w:val="006072E3"/>
    <w:rsid w:val="00607C05"/>
    <w:rsid w:val="006100C8"/>
    <w:rsid w:val="006110EC"/>
    <w:rsid w:val="00611B7A"/>
    <w:rsid w:val="00611F6B"/>
    <w:rsid w:val="006121D8"/>
    <w:rsid w:val="006124E8"/>
    <w:rsid w:val="00612769"/>
    <w:rsid w:val="00612E48"/>
    <w:rsid w:val="006137BD"/>
    <w:rsid w:val="006138BC"/>
    <w:rsid w:val="00613A7C"/>
    <w:rsid w:val="00614039"/>
    <w:rsid w:val="006142CC"/>
    <w:rsid w:val="006143F7"/>
    <w:rsid w:val="00614B67"/>
    <w:rsid w:val="00614C33"/>
    <w:rsid w:val="00615D21"/>
    <w:rsid w:val="006162BD"/>
    <w:rsid w:val="00616812"/>
    <w:rsid w:val="006168F3"/>
    <w:rsid w:val="00616B7D"/>
    <w:rsid w:val="0061719B"/>
    <w:rsid w:val="00617725"/>
    <w:rsid w:val="00617D74"/>
    <w:rsid w:val="00620034"/>
    <w:rsid w:val="0062080A"/>
    <w:rsid w:val="00620CF8"/>
    <w:rsid w:val="006219A6"/>
    <w:rsid w:val="006219C4"/>
    <w:rsid w:val="006225F1"/>
    <w:rsid w:val="00622BA6"/>
    <w:rsid w:val="00622D30"/>
    <w:rsid w:val="006232CB"/>
    <w:rsid w:val="006236F9"/>
    <w:rsid w:val="006237CB"/>
    <w:rsid w:val="00623890"/>
    <w:rsid w:val="00623BD7"/>
    <w:rsid w:val="00624757"/>
    <w:rsid w:val="00624875"/>
    <w:rsid w:val="00625079"/>
    <w:rsid w:val="00625182"/>
    <w:rsid w:val="0062519D"/>
    <w:rsid w:val="006259F3"/>
    <w:rsid w:val="006260D5"/>
    <w:rsid w:val="00626D34"/>
    <w:rsid w:val="006270F0"/>
    <w:rsid w:val="006276EC"/>
    <w:rsid w:val="006277B4"/>
    <w:rsid w:val="00630314"/>
    <w:rsid w:val="0063054E"/>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5E61"/>
    <w:rsid w:val="006361B4"/>
    <w:rsid w:val="006361BD"/>
    <w:rsid w:val="00636205"/>
    <w:rsid w:val="0063628F"/>
    <w:rsid w:val="00636475"/>
    <w:rsid w:val="0063652F"/>
    <w:rsid w:val="00636912"/>
    <w:rsid w:val="00636E14"/>
    <w:rsid w:val="00637654"/>
    <w:rsid w:val="006376E2"/>
    <w:rsid w:val="006379DC"/>
    <w:rsid w:val="00637F79"/>
    <w:rsid w:val="00637FCF"/>
    <w:rsid w:val="00640314"/>
    <w:rsid w:val="006406B0"/>
    <w:rsid w:val="00641884"/>
    <w:rsid w:val="00641FA8"/>
    <w:rsid w:val="00642998"/>
    <w:rsid w:val="00642F10"/>
    <w:rsid w:val="006430AB"/>
    <w:rsid w:val="0064343B"/>
    <w:rsid w:val="00643608"/>
    <w:rsid w:val="0064390D"/>
    <w:rsid w:val="00643CBF"/>
    <w:rsid w:val="00643D86"/>
    <w:rsid w:val="00644548"/>
    <w:rsid w:val="006446EA"/>
    <w:rsid w:val="006448F1"/>
    <w:rsid w:val="00644E22"/>
    <w:rsid w:val="006455E4"/>
    <w:rsid w:val="00646D20"/>
    <w:rsid w:val="00647AE7"/>
    <w:rsid w:val="00650062"/>
    <w:rsid w:val="006504D9"/>
    <w:rsid w:val="00650EC4"/>
    <w:rsid w:val="006514DF"/>
    <w:rsid w:val="0065150F"/>
    <w:rsid w:val="006517A8"/>
    <w:rsid w:val="00651DF6"/>
    <w:rsid w:val="00651ED6"/>
    <w:rsid w:val="00651FCE"/>
    <w:rsid w:val="0065201D"/>
    <w:rsid w:val="00652366"/>
    <w:rsid w:val="00652CF4"/>
    <w:rsid w:val="00652E7F"/>
    <w:rsid w:val="00652F6D"/>
    <w:rsid w:val="0065311D"/>
    <w:rsid w:val="0065328F"/>
    <w:rsid w:val="0065335C"/>
    <w:rsid w:val="006537A5"/>
    <w:rsid w:val="00654515"/>
    <w:rsid w:val="006547A9"/>
    <w:rsid w:val="0065496F"/>
    <w:rsid w:val="006549EC"/>
    <w:rsid w:val="00654A77"/>
    <w:rsid w:val="0065548B"/>
    <w:rsid w:val="00656250"/>
    <w:rsid w:val="00656397"/>
    <w:rsid w:val="0065663C"/>
    <w:rsid w:val="006568B1"/>
    <w:rsid w:val="0065692E"/>
    <w:rsid w:val="006569E4"/>
    <w:rsid w:val="00657823"/>
    <w:rsid w:val="006603E4"/>
    <w:rsid w:val="00661240"/>
    <w:rsid w:val="0066174B"/>
    <w:rsid w:val="0066191C"/>
    <w:rsid w:val="0066197C"/>
    <w:rsid w:val="00661C5F"/>
    <w:rsid w:val="00662078"/>
    <w:rsid w:val="00662AD5"/>
    <w:rsid w:val="006637C6"/>
    <w:rsid w:val="006653CD"/>
    <w:rsid w:val="00665D30"/>
    <w:rsid w:val="00666681"/>
    <w:rsid w:val="00666AB1"/>
    <w:rsid w:val="00666DD1"/>
    <w:rsid w:val="00667059"/>
    <w:rsid w:val="00670113"/>
    <w:rsid w:val="006701E2"/>
    <w:rsid w:val="006703DF"/>
    <w:rsid w:val="00670608"/>
    <w:rsid w:val="00670777"/>
    <w:rsid w:val="00670E5F"/>
    <w:rsid w:val="00671C35"/>
    <w:rsid w:val="00672A79"/>
    <w:rsid w:val="00672D56"/>
    <w:rsid w:val="00673514"/>
    <w:rsid w:val="00673BDC"/>
    <w:rsid w:val="0067404C"/>
    <w:rsid w:val="00674E68"/>
    <w:rsid w:val="00675888"/>
    <w:rsid w:val="0067599B"/>
    <w:rsid w:val="00675F37"/>
    <w:rsid w:val="00676798"/>
    <w:rsid w:val="006769B7"/>
    <w:rsid w:val="00676AF3"/>
    <w:rsid w:val="0067783C"/>
    <w:rsid w:val="006802E5"/>
    <w:rsid w:val="00680379"/>
    <w:rsid w:val="00680C87"/>
    <w:rsid w:val="006816FC"/>
    <w:rsid w:val="00681B11"/>
    <w:rsid w:val="00682275"/>
    <w:rsid w:val="00683350"/>
    <w:rsid w:val="006834FF"/>
    <w:rsid w:val="006836FF"/>
    <w:rsid w:val="00683955"/>
    <w:rsid w:val="00683C4C"/>
    <w:rsid w:val="00684B0A"/>
    <w:rsid w:val="00684CA2"/>
    <w:rsid w:val="00684CD7"/>
    <w:rsid w:val="00684E27"/>
    <w:rsid w:val="00685027"/>
    <w:rsid w:val="0068512B"/>
    <w:rsid w:val="006856D1"/>
    <w:rsid w:val="006857A3"/>
    <w:rsid w:val="00686247"/>
    <w:rsid w:val="006864D7"/>
    <w:rsid w:val="00686769"/>
    <w:rsid w:val="00687A00"/>
    <w:rsid w:val="00687B47"/>
    <w:rsid w:val="0069087E"/>
    <w:rsid w:val="006908D5"/>
    <w:rsid w:val="00690A5B"/>
    <w:rsid w:val="006911A0"/>
    <w:rsid w:val="00691815"/>
    <w:rsid w:val="00691AFF"/>
    <w:rsid w:val="00691F05"/>
    <w:rsid w:val="006920DD"/>
    <w:rsid w:val="0069268E"/>
    <w:rsid w:val="0069297B"/>
    <w:rsid w:val="00692D6F"/>
    <w:rsid w:val="00692DDC"/>
    <w:rsid w:val="0069310B"/>
    <w:rsid w:val="0069312F"/>
    <w:rsid w:val="00693276"/>
    <w:rsid w:val="00693772"/>
    <w:rsid w:val="006937B2"/>
    <w:rsid w:val="0069398B"/>
    <w:rsid w:val="006939BE"/>
    <w:rsid w:val="00693DD5"/>
    <w:rsid w:val="00694541"/>
    <w:rsid w:val="00694660"/>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514"/>
    <w:rsid w:val="006A27DC"/>
    <w:rsid w:val="006A29EB"/>
    <w:rsid w:val="006A3306"/>
    <w:rsid w:val="006A3412"/>
    <w:rsid w:val="006A3CD7"/>
    <w:rsid w:val="006A44D4"/>
    <w:rsid w:val="006A464B"/>
    <w:rsid w:val="006A4AB7"/>
    <w:rsid w:val="006A5364"/>
    <w:rsid w:val="006A586B"/>
    <w:rsid w:val="006A5B61"/>
    <w:rsid w:val="006A5B6A"/>
    <w:rsid w:val="006A606F"/>
    <w:rsid w:val="006A765F"/>
    <w:rsid w:val="006A791C"/>
    <w:rsid w:val="006A7B37"/>
    <w:rsid w:val="006A7B56"/>
    <w:rsid w:val="006A7C1E"/>
    <w:rsid w:val="006B0026"/>
    <w:rsid w:val="006B0029"/>
    <w:rsid w:val="006B0B11"/>
    <w:rsid w:val="006B0B42"/>
    <w:rsid w:val="006B0C22"/>
    <w:rsid w:val="006B19C2"/>
    <w:rsid w:val="006B32F9"/>
    <w:rsid w:val="006B36E6"/>
    <w:rsid w:val="006B47C3"/>
    <w:rsid w:val="006B4BE6"/>
    <w:rsid w:val="006B509C"/>
    <w:rsid w:val="006B580A"/>
    <w:rsid w:val="006B6457"/>
    <w:rsid w:val="006B668C"/>
    <w:rsid w:val="006B6744"/>
    <w:rsid w:val="006B68C4"/>
    <w:rsid w:val="006B7EE0"/>
    <w:rsid w:val="006C00A7"/>
    <w:rsid w:val="006C0147"/>
    <w:rsid w:val="006C1CFA"/>
    <w:rsid w:val="006C24C1"/>
    <w:rsid w:val="006C2738"/>
    <w:rsid w:val="006C2DBD"/>
    <w:rsid w:val="006C33A6"/>
    <w:rsid w:val="006C358A"/>
    <w:rsid w:val="006C3638"/>
    <w:rsid w:val="006C4756"/>
    <w:rsid w:val="006C4915"/>
    <w:rsid w:val="006C5009"/>
    <w:rsid w:val="006C53A1"/>
    <w:rsid w:val="006C57BF"/>
    <w:rsid w:val="006C5D2C"/>
    <w:rsid w:val="006C666F"/>
    <w:rsid w:val="006C6A77"/>
    <w:rsid w:val="006C6AE4"/>
    <w:rsid w:val="006C6F60"/>
    <w:rsid w:val="006C77A5"/>
    <w:rsid w:val="006C7CE9"/>
    <w:rsid w:val="006C7CFD"/>
    <w:rsid w:val="006D054D"/>
    <w:rsid w:val="006D068F"/>
    <w:rsid w:val="006D09A0"/>
    <w:rsid w:val="006D0A6D"/>
    <w:rsid w:val="006D1209"/>
    <w:rsid w:val="006D127D"/>
    <w:rsid w:val="006D1B08"/>
    <w:rsid w:val="006D2246"/>
    <w:rsid w:val="006D2410"/>
    <w:rsid w:val="006D296C"/>
    <w:rsid w:val="006D309C"/>
    <w:rsid w:val="006D3B80"/>
    <w:rsid w:val="006D416E"/>
    <w:rsid w:val="006D4D7D"/>
    <w:rsid w:val="006D4FBB"/>
    <w:rsid w:val="006D51B7"/>
    <w:rsid w:val="006D5238"/>
    <w:rsid w:val="006D5891"/>
    <w:rsid w:val="006D5C03"/>
    <w:rsid w:val="006D6AD3"/>
    <w:rsid w:val="006D7361"/>
    <w:rsid w:val="006D7AC0"/>
    <w:rsid w:val="006D7CCC"/>
    <w:rsid w:val="006D7F2A"/>
    <w:rsid w:val="006E0621"/>
    <w:rsid w:val="006E0B25"/>
    <w:rsid w:val="006E0D76"/>
    <w:rsid w:val="006E0E96"/>
    <w:rsid w:val="006E12A8"/>
    <w:rsid w:val="006E13EF"/>
    <w:rsid w:val="006E172F"/>
    <w:rsid w:val="006E1A42"/>
    <w:rsid w:val="006E27FD"/>
    <w:rsid w:val="006E2ED9"/>
    <w:rsid w:val="006E3872"/>
    <w:rsid w:val="006E39D4"/>
    <w:rsid w:val="006E3F30"/>
    <w:rsid w:val="006E3F3A"/>
    <w:rsid w:val="006E44AC"/>
    <w:rsid w:val="006E497F"/>
    <w:rsid w:val="006E4F32"/>
    <w:rsid w:val="006E4F82"/>
    <w:rsid w:val="006E5004"/>
    <w:rsid w:val="006E5385"/>
    <w:rsid w:val="006E54F1"/>
    <w:rsid w:val="006E5787"/>
    <w:rsid w:val="006E6451"/>
    <w:rsid w:val="006E6A52"/>
    <w:rsid w:val="006E6B1B"/>
    <w:rsid w:val="006E7102"/>
    <w:rsid w:val="006E7113"/>
    <w:rsid w:val="006E75B7"/>
    <w:rsid w:val="006E784A"/>
    <w:rsid w:val="006E7F4B"/>
    <w:rsid w:val="006F0284"/>
    <w:rsid w:val="006F0317"/>
    <w:rsid w:val="006F036F"/>
    <w:rsid w:val="006F0B9B"/>
    <w:rsid w:val="006F1107"/>
    <w:rsid w:val="006F130C"/>
    <w:rsid w:val="006F170A"/>
    <w:rsid w:val="006F1E72"/>
    <w:rsid w:val="006F2551"/>
    <w:rsid w:val="006F2919"/>
    <w:rsid w:val="006F29A4"/>
    <w:rsid w:val="006F2EDD"/>
    <w:rsid w:val="006F389B"/>
    <w:rsid w:val="006F3FDC"/>
    <w:rsid w:val="006F4026"/>
    <w:rsid w:val="006F45C1"/>
    <w:rsid w:val="006F4683"/>
    <w:rsid w:val="006F4782"/>
    <w:rsid w:val="006F4D4B"/>
    <w:rsid w:val="006F5066"/>
    <w:rsid w:val="006F516D"/>
    <w:rsid w:val="006F54D5"/>
    <w:rsid w:val="006F591A"/>
    <w:rsid w:val="006F5B31"/>
    <w:rsid w:val="006F5BBA"/>
    <w:rsid w:val="006F5D3E"/>
    <w:rsid w:val="006F5F0A"/>
    <w:rsid w:val="006F6D38"/>
    <w:rsid w:val="006F729A"/>
    <w:rsid w:val="007003A4"/>
    <w:rsid w:val="007005D8"/>
    <w:rsid w:val="00700688"/>
    <w:rsid w:val="00701011"/>
    <w:rsid w:val="0070169D"/>
    <w:rsid w:val="007016F3"/>
    <w:rsid w:val="00701A20"/>
    <w:rsid w:val="00701B18"/>
    <w:rsid w:val="00701C8A"/>
    <w:rsid w:val="00701E02"/>
    <w:rsid w:val="00702110"/>
    <w:rsid w:val="007021C0"/>
    <w:rsid w:val="007026B9"/>
    <w:rsid w:val="00702A85"/>
    <w:rsid w:val="00703133"/>
    <w:rsid w:val="00703244"/>
    <w:rsid w:val="00703632"/>
    <w:rsid w:val="00703841"/>
    <w:rsid w:val="00703A5E"/>
    <w:rsid w:val="00703A63"/>
    <w:rsid w:val="0070439E"/>
    <w:rsid w:val="007043C0"/>
    <w:rsid w:val="00704413"/>
    <w:rsid w:val="007046AA"/>
    <w:rsid w:val="00704BC8"/>
    <w:rsid w:val="007053BD"/>
    <w:rsid w:val="00705AC8"/>
    <w:rsid w:val="00706B2E"/>
    <w:rsid w:val="007100A5"/>
    <w:rsid w:val="00710C41"/>
    <w:rsid w:val="00710CAE"/>
    <w:rsid w:val="007114CF"/>
    <w:rsid w:val="00711637"/>
    <w:rsid w:val="007118C8"/>
    <w:rsid w:val="00711CE1"/>
    <w:rsid w:val="0071202F"/>
    <w:rsid w:val="007129DC"/>
    <w:rsid w:val="00713208"/>
    <w:rsid w:val="007133EF"/>
    <w:rsid w:val="00713E7F"/>
    <w:rsid w:val="00714103"/>
    <w:rsid w:val="00714691"/>
    <w:rsid w:val="0071575F"/>
    <w:rsid w:val="007157C3"/>
    <w:rsid w:val="0071665D"/>
    <w:rsid w:val="00716C1F"/>
    <w:rsid w:val="00716D43"/>
    <w:rsid w:val="00717217"/>
    <w:rsid w:val="00717D4E"/>
    <w:rsid w:val="00717E4C"/>
    <w:rsid w:val="00720A13"/>
    <w:rsid w:val="00720A16"/>
    <w:rsid w:val="00720A2F"/>
    <w:rsid w:val="00720A8F"/>
    <w:rsid w:val="00720B55"/>
    <w:rsid w:val="00720EA9"/>
    <w:rsid w:val="00720F84"/>
    <w:rsid w:val="0072191B"/>
    <w:rsid w:val="00721A2D"/>
    <w:rsid w:val="00721D24"/>
    <w:rsid w:val="00721F6A"/>
    <w:rsid w:val="007225FB"/>
    <w:rsid w:val="0072446B"/>
    <w:rsid w:val="00724500"/>
    <w:rsid w:val="00724AFB"/>
    <w:rsid w:val="00724D0D"/>
    <w:rsid w:val="00724E1F"/>
    <w:rsid w:val="0072598E"/>
    <w:rsid w:val="007259FD"/>
    <w:rsid w:val="00725F95"/>
    <w:rsid w:val="00726349"/>
    <w:rsid w:val="00726571"/>
    <w:rsid w:val="00726828"/>
    <w:rsid w:val="00726A73"/>
    <w:rsid w:val="00726DBA"/>
    <w:rsid w:val="00726F67"/>
    <w:rsid w:val="00727D63"/>
    <w:rsid w:val="00730099"/>
    <w:rsid w:val="00730A5F"/>
    <w:rsid w:val="00730B67"/>
    <w:rsid w:val="00731420"/>
    <w:rsid w:val="0073168A"/>
    <w:rsid w:val="00732253"/>
    <w:rsid w:val="00732D17"/>
    <w:rsid w:val="00732EDF"/>
    <w:rsid w:val="00732FD7"/>
    <w:rsid w:val="0073317A"/>
    <w:rsid w:val="007335CF"/>
    <w:rsid w:val="00733FED"/>
    <w:rsid w:val="00734350"/>
    <w:rsid w:val="007345A4"/>
    <w:rsid w:val="007345C8"/>
    <w:rsid w:val="00735190"/>
    <w:rsid w:val="0073520E"/>
    <w:rsid w:val="007359E4"/>
    <w:rsid w:val="00735EB4"/>
    <w:rsid w:val="00736277"/>
    <w:rsid w:val="00736B6B"/>
    <w:rsid w:val="00737027"/>
    <w:rsid w:val="00740349"/>
    <w:rsid w:val="0074079E"/>
    <w:rsid w:val="00740F56"/>
    <w:rsid w:val="00741309"/>
    <w:rsid w:val="007418F9"/>
    <w:rsid w:val="00741E94"/>
    <w:rsid w:val="007427E7"/>
    <w:rsid w:val="00742A41"/>
    <w:rsid w:val="00743599"/>
    <w:rsid w:val="007443EE"/>
    <w:rsid w:val="00744528"/>
    <w:rsid w:val="00744576"/>
    <w:rsid w:val="00744AE0"/>
    <w:rsid w:val="00745041"/>
    <w:rsid w:val="0074542D"/>
    <w:rsid w:val="007458EC"/>
    <w:rsid w:val="00745A00"/>
    <w:rsid w:val="00745E00"/>
    <w:rsid w:val="00745F78"/>
    <w:rsid w:val="00747017"/>
    <w:rsid w:val="00747161"/>
    <w:rsid w:val="0074743C"/>
    <w:rsid w:val="007479FF"/>
    <w:rsid w:val="00750220"/>
    <w:rsid w:val="00751E36"/>
    <w:rsid w:val="00752099"/>
    <w:rsid w:val="00752157"/>
    <w:rsid w:val="007522BC"/>
    <w:rsid w:val="007525E5"/>
    <w:rsid w:val="00752A94"/>
    <w:rsid w:val="00752D6F"/>
    <w:rsid w:val="00752F6A"/>
    <w:rsid w:val="00753086"/>
    <w:rsid w:val="007535B0"/>
    <w:rsid w:val="00753CBB"/>
    <w:rsid w:val="007542EB"/>
    <w:rsid w:val="00754565"/>
    <w:rsid w:val="00754B72"/>
    <w:rsid w:val="00756952"/>
    <w:rsid w:val="00756A02"/>
    <w:rsid w:val="00756A72"/>
    <w:rsid w:val="00757013"/>
    <w:rsid w:val="0075788D"/>
    <w:rsid w:val="00760B2B"/>
    <w:rsid w:val="00760EAD"/>
    <w:rsid w:val="0076124F"/>
    <w:rsid w:val="0076138C"/>
    <w:rsid w:val="00761CE2"/>
    <w:rsid w:val="00762474"/>
    <w:rsid w:val="00762CD5"/>
    <w:rsid w:val="00763281"/>
    <w:rsid w:val="0076344F"/>
    <w:rsid w:val="007639BD"/>
    <w:rsid w:val="00763C67"/>
    <w:rsid w:val="0076425C"/>
    <w:rsid w:val="00764700"/>
    <w:rsid w:val="0076474D"/>
    <w:rsid w:val="00764C0B"/>
    <w:rsid w:val="00765143"/>
    <w:rsid w:val="007653C5"/>
    <w:rsid w:val="007653D8"/>
    <w:rsid w:val="007657A7"/>
    <w:rsid w:val="007667FE"/>
    <w:rsid w:val="00766B63"/>
    <w:rsid w:val="0076722B"/>
    <w:rsid w:val="007672E2"/>
    <w:rsid w:val="007675D9"/>
    <w:rsid w:val="007676C3"/>
    <w:rsid w:val="00770029"/>
    <w:rsid w:val="00770065"/>
    <w:rsid w:val="007704F9"/>
    <w:rsid w:val="00770F78"/>
    <w:rsid w:val="0077167D"/>
    <w:rsid w:val="007716E8"/>
    <w:rsid w:val="00772FDB"/>
    <w:rsid w:val="0077374D"/>
    <w:rsid w:val="00773B75"/>
    <w:rsid w:val="00774154"/>
    <w:rsid w:val="007746AB"/>
    <w:rsid w:val="00774758"/>
    <w:rsid w:val="0077483A"/>
    <w:rsid w:val="00774E81"/>
    <w:rsid w:val="00775F14"/>
    <w:rsid w:val="00776CE9"/>
    <w:rsid w:val="00776EA3"/>
    <w:rsid w:val="00777340"/>
    <w:rsid w:val="0077751F"/>
    <w:rsid w:val="007776C5"/>
    <w:rsid w:val="00777827"/>
    <w:rsid w:val="00777A5C"/>
    <w:rsid w:val="007801C1"/>
    <w:rsid w:val="007802B8"/>
    <w:rsid w:val="0078083E"/>
    <w:rsid w:val="00780F4C"/>
    <w:rsid w:val="00781152"/>
    <w:rsid w:val="00781210"/>
    <w:rsid w:val="00781A2F"/>
    <w:rsid w:val="00781F67"/>
    <w:rsid w:val="007820A6"/>
    <w:rsid w:val="007821D6"/>
    <w:rsid w:val="0078273E"/>
    <w:rsid w:val="00782BBF"/>
    <w:rsid w:val="00782F54"/>
    <w:rsid w:val="00783068"/>
    <w:rsid w:val="007838EC"/>
    <w:rsid w:val="0078390B"/>
    <w:rsid w:val="00784021"/>
    <w:rsid w:val="007841CD"/>
    <w:rsid w:val="007842A4"/>
    <w:rsid w:val="00784805"/>
    <w:rsid w:val="00784DAB"/>
    <w:rsid w:val="00785462"/>
    <w:rsid w:val="00785B71"/>
    <w:rsid w:val="00786336"/>
    <w:rsid w:val="00787233"/>
    <w:rsid w:val="00787B78"/>
    <w:rsid w:val="007907C8"/>
    <w:rsid w:val="007915E5"/>
    <w:rsid w:val="00791E86"/>
    <w:rsid w:val="00792489"/>
    <w:rsid w:val="00792BE7"/>
    <w:rsid w:val="007933ED"/>
    <w:rsid w:val="0079396F"/>
    <w:rsid w:val="00793F05"/>
    <w:rsid w:val="00793FCE"/>
    <w:rsid w:val="00794934"/>
    <w:rsid w:val="00794FF7"/>
    <w:rsid w:val="007950B3"/>
    <w:rsid w:val="00795115"/>
    <w:rsid w:val="00795435"/>
    <w:rsid w:val="00795613"/>
    <w:rsid w:val="00795AAF"/>
    <w:rsid w:val="00795B99"/>
    <w:rsid w:val="00795C8B"/>
    <w:rsid w:val="00795D33"/>
    <w:rsid w:val="00796219"/>
    <w:rsid w:val="00796355"/>
    <w:rsid w:val="0079669D"/>
    <w:rsid w:val="007973F8"/>
    <w:rsid w:val="00797481"/>
    <w:rsid w:val="00797793"/>
    <w:rsid w:val="00797998"/>
    <w:rsid w:val="007A00F3"/>
    <w:rsid w:val="007A02FC"/>
    <w:rsid w:val="007A0BC2"/>
    <w:rsid w:val="007A12BA"/>
    <w:rsid w:val="007A1367"/>
    <w:rsid w:val="007A14BE"/>
    <w:rsid w:val="007A1DDF"/>
    <w:rsid w:val="007A25BC"/>
    <w:rsid w:val="007A2E03"/>
    <w:rsid w:val="007A3794"/>
    <w:rsid w:val="007A3886"/>
    <w:rsid w:val="007A38EF"/>
    <w:rsid w:val="007A45E4"/>
    <w:rsid w:val="007A47EB"/>
    <w:rsid w:val="007A59C4"/>
    <w:rsid w:val="007A5B96"/>
    <w:rsid w:val="007A5FDB"/>
    <w:rsid w:val="007A65C2"/>
    <w:rsid w:val="007A66E2"/>
    <w:rsid w:val="007A69DD"/>
    <w:rsid w:val="007A6A8F"/>
    <w:rsid w:val="007A70BD"/>
    <w:rsid w:val="007A7475"/>
    <w:rsid w:val="007A7A95"/>
    <w:rsid w:val="007A7AAD"/>
    <w:rsid w:val="007B043C"/>
    <w:rsid w:val="007B0595"/>
    <w:rsid w:val="007B1CA9"/>
    <w:rsid w:val="007B1F41"/>
    <w:rsid w:val="007B1F49"/>
    <w:rsid w:val="007B22B1"/>
    <w:rsid w:val="007B22D7"/>
    <w:rsid w:val="007B2A3A"/>
    <w:rsid w:val="007B38CA"/>
    <w:rsid w:val="007B404C"/>
    <w:rsid w:val="007B4809"/>
    <w:rsid w:val="007B48ED"/>
    <w:rsid w:val="007B496C"/>
    <w:rsid w:val="007B537A"/>
    <w:rsid w:val="007B542C"/>
    <w:rsid w:val="007B5BE6"/>
    <w:rsid w:val="007B5EC0"/>
    <w:rsid w:val="007B65B0"/>
    <w:rsid w:val="007B6A96"/>
    <w:rsid w:val="007B737F"/>
    <w:rsid w:val="007B7E31"/>
    <w:rsid w:val="007C09AE"/>
    <w:rsid w:val="007C0B11"/>
    <w:rsid w:val="007C10FD"/>
    <w:rsid w:val="007C1DEE"/>
    <w:rsid w:val="007C1EE3"/>
    <w:rsid w:val="007C1EEC"/>
    <w:rsid w:val="007C1F0F"/>
    <w:rsid w:val="007C2DAC"/>
    <w:rsid w:val="007C33EB"/>
    <w:rsid w:val="007C3A61"/>
    <w:rsid w:val="007C3E7C"/>
    <w:rsid w:val="007C4C18"/>
    <w:rsid w:val="007C4F27"/>
    <w:rsid w:val="007C4F46"/>
    <w:rsid w:val="007C5635"/>
    <w:rsid w:val="007C5707"/>
    <w:rsid w:val="007C5C6F"/>
    <w:rsid w:val="007C5EF5"/>
    <w:rsid w:val="007C630F"/>
    <w:rsid w:val="007C69D3"/>
    <w:rsid w:val="007C7825"/>
    <w:rsid w:val="007D0021"/>
    <w:rsid w:val="007D03C9"/>
    <w:rsid w:val="007D0D8B"/>
    <w:rsid w:val="007D1B8D"/>
    <w:rsid w:val="007D222B"/>
    <w:rsid w:val="007D2420"/>
    <w:rsid w:val="007D2662"/>
    <w:rsid w:val="007D2A06"/>
    <w:rsid w:val="007D2B15"/>
    <w:rsid w:val="007D3449"/>
    <w:rsid w:val="007D36C7"/>
    <w:rsid w:val="007D37AA"/>
    <w:rsid w:val="007D3EA9"/>
    <w:rsid w:val="007D4135"/>
    <w:rsid w:val="007D4228"/>
    <w:rsid w:val="007D4DAC"/>
    <w:rsid w:val="007D5300"/>
    <w:rsid w:val="007D5337"/>
    <w:rsid w:val="007D5F2F"/>
    <w:rsid w:val="007D6127"/>
    <w:rsid w:val="007D615C"/>
    <w:rsid w:val="007D7998"/>
    <w:rsid w:val="007D79F8"/>
    <w:rsid w:val="007E0D44"/>
    <w:rsid w:val="007E1342"/>
    <w:rsid w:val="007E1480"/>
    <w:rsid w:val="007E191F"/>
    <w:rsid w:val="007E1921"/>
    <w:rsid w:val="007E1D7A"/>
    <w:rsid w:val="007E1EEE"/>
    <w:rsid w:val="007E2970"/>
    <w:rsid w:val="007E2C65"/>
    <w:rsid w:val="007E37CE"/>
    <w:rsid w:val="007E411A"/>
    <w:rsid w:val="007E449E"/>
    <w:rsid w:val="007E44F4"/>
    <w:rsid w:val="007E47A9"/>
    <w:rsid w:val="007E48DD"/>
    <w:rsid w:val="007E4B0B"/>
    <w:rsid w:val="007E5134"/>
    <w:rsid w:val="007E513D"/>
    <w:rsid w:val="007E67FB"/>
    <w:rsid w:val="007E6823"/>
    <w:rsid w:val="007F00B8"/>
    <w:rsid w:val="007F03DF"/>
    <w:rsid w:val="007F0673"/>
    <w:rsid w:val="007F0C12"/>
    <w:rsid w:val="007F0D53"/>
    <w:rsid w:val="007F1444"/>
    <w:rsid w:val="007F153D"/>
    <w:rsid w:val="007F17FE"/>
    <w:rsid w:val="007F1A1D"/>
    <w:rsid w:val="007F1A3D"/>
    <w:rsid w:val="007F2712"/>
    <w:rsid w:val="007F2898"/>
    <w:rsid w:val="007F35A5"/>
    <w:rsid w:val="007F3A41"/>
    <w:rsid w:val="007F3CB2"/>
    <w:rsid w:val="007F3E26"/>
    <w:rsid w:val="007F4822"/>
    <w:rsid w:val="007F4C1F"/>
    <w:rsid w:val="007F55D1"/>
    <w:rsid w:val="007F602B"/>
    <w:rsid w:val="007F61E9"/>
    <w:rsid w:val="007F6217"/>
    <w:rsid w:val="007F63C3"/>
    <w:rsid w:val="007F6404"/>
    <w:rsid w:val="007F653C"/>
    <w:rsid w:val="007F6B58"/>
    <w:rsid w:val="007F6D66"/>
    <w:rsid w:val="007F6D6A"/>
    <w:rsid w:val="007F764E"/>
    <w:rsid w:val="007F7B98"/>
    <w:rsid w:val="007F7C3A"/>
    <w:rsid w:val="007F7F6B"/>
    <w:rsid w:val="008002D1"/>
    <w:rsid w:val="0080038F"/>
    <w:rsid w:val="00800B96"/>
    <w:rsid w:val="0080139D"/>
    <w:rsid w:val="0080144F"/>
    <w:rsid w:val="008018F2"/>
    <w:rsid w:val="008019A4"/>
    <w:rsid w:val="00801B13"/>
    <w:rsid w:val="008024E9"/>
    <w:rsid w:val="00802644"/>
    <w:rsid w:val="00802967"/>
    <w:rsid w:val="008029E7"/>
    <w:rsid w:val="00802E73"/>
    <w:rsid w:val="0080355A"/>
    <w:rsid w:val="008036B5"/>
    <w:rsid w:val="00803A4D"/>
    <w:rsid w:val="00803C7C"/>
    <w:rsid w:val="0080410B"/>
    <w:rsid w:val="008041E0"/>
    <w:rsid w:val="0080486B"/>
    <w:rsid w:val="00804B9B"/>
    <w:rsid w:val="008054F2"/>
    <w:rsid w:val="0080585A"/>
    <w:rsid w:val="00805CA1"/>
    <w:rsid w:val="00806580"/>
    <w:rsid w:val="00806B29"/>
    <w:rsid w:val="00806ECB"/>
    <w:rsid w:val="00807646"/>
    <w:rsid w:val="00807BA8"/>
    <w:rsid w:val="00807E22"/>
    <w:rsid w:val="00807E8A"/>
    <w:rsid w:val="008105C0"/>
    <w:rsid w:val="00811150"/>
    <w:rsid w:val="00811AB8"/>
    <w:rsid w:val="008121AE"/>
    <w:rsid w:val="00812676"/>
    <w:rsid w:val="00812CBD"/>
    <w:rsid w:val="00813853"/>
    <w:rsid w:val="00813D99"/>
    <w:rsid w:val="00814149"/>
    <w:rsid w:val="0081443E"/>
    <w:rsid w:val="00814A9F"/>
    <w:rsid w:val="00814B0D"/>
    <w:rsid w:val="00814CC3"/>
    <w:rsid w:val="0081511F"/>
    <w:rsid w:val="008152C9"/>
    <w:rsid w:val="00815A35"/>
    <w:rsid w:val="0081604B"/>
    <w:rsid w:val="00816C03"/>
    <w:rsid w:val="008175E1"/>
    <w:rsid w:val="00817612"/>
    <w:rsid w:val="00817CDE"/>
    <w:rsid w:val="00820833"/>
    <w:rsid w:val="00820F25"/>
    <w:rsid w:val="00821016"/>
    <w:rsid w:val="008216A0"/>
    <w:rsid w:val="00821AE1"/>
    <w:rsid w:val="00821F96"/>
    <w:rsid w:val="008221B6"/>
    <w:rsid w:val="00822231"/>
    <w:rsid w:val="0082225D"/>
    <w:rsid w:val="008225CA"/>
    <w:rsid w:val="00822A7F"/>
    <w:rsid w:val="008234FC"/>
    <w:rsid w:val="008239A8"/>
    <w:rsid w:val="00823D68"/>
    <w:rsid w:val="00824071"/>
    <w:rsid w:val="008242F3"/>
    <w:rsid w:val="00824957"/>
    <w:rsid w:val="00824C78"/>
    <w:rsid w:val="00824C99"/>
    <w:rsid w:val="008252C3"/>
    <w:rsid w:val="00825F33"/>
    <w:rsid w:val="00826DA8"/>
    <w:rsid w:val="00826F6B"/>
    <w:rsid w:val="008272BF"/>
    <w:rsid w:val="00827313"/>
    <w:rsid w:val="00827ACC"/>
    <w:rsid w:val="00830C3A"/>
    <w:rsid w:val="00830D16"/>
    <w:rsid w:val="00831EF0"/>
    <w:rsid w:val="00832222"/>
    <w:rsid w:val="00832873"/>
    <w:rsid w:val="00833030"/>
    <w:rsid w:val="00833082"/>
    <w:rsid w:val="00833178"/>
    <w:rsid w:val="008334EC"/>
    <w:rsid w:val="00833F22"/>
    <w:rsid w:val="00833FD3"/>
    <w:rsid w:val="008340A2"/>
    <w:rsid w:val="00834278"/>
    <w:rsid w:val="0083483A"/>
    <w:rsid w:val="00834855"/>
    <w:rsid w:val="0083493D"/>
    <w:rsid w:val="00834D84"/>
    <w:rsid w:val="00835BE1"/>
    <w:rsid w:val="0083600B"/>
    <w:rsid w:val="00836102"/>
    <w:rsid w:val="0083664E"/>
    <w:rsid w:val="00836841"/>
    <w:rsid w:val="008371E9"/>
    <w:rsid w:val="00837637"/>
    <w:rsid w:val="0083767E"/>
    <w:rsid w:val="008403BB"/>
    <w:rsid w:val="00841331"/>
    <w:rsid w:val="00841E8E"/>
    <w:rsid w:val="00842070"/>
    <w:rsid w:val="00842484"/>
    <w:rsid w:val="008433DD"/>
    <w:rsid w:val="00843557"/>
    <w:rsid w:val="008440DD"/>
    <w:rsid w:val="00844393"/>
    <w:rsid w:val="008445D6"/>
    <w:rsid w:val="008449B4"/>
    <w:rsid w:val="00844D93"/>
    <w:rsid w:val="008451FC"/>
    <w:rsid w:val="0084595E"/>
    <w:rsid w:val="00845B36"/>
    <w:rsid w:val="008465A0"/>
    <w:rsid w:val="008469DE"/>
    <w:rsid w:val="00846B40"/>
    <w:rsid w:val="00847191"/>
    <w:rsid w:val="008472C1"/>
    <w:rsid w:val="00847578"/>
    <w:rsid w:val="008475A3"/>
    <w:rsid w:val="00847891"/>
    <w:rsid w:val="00847BD1"/>
    <w:rsid w:val="00850F72"/>
    <w:rsid w:val="00851646"/>
    <w:rsid w:val="008518A5"/>
    <w:rsid w:val="00851C4A"/>
    <w:rsid w:val="00852094"/>
    <w:rsid w:val="008525FD"/>
    <w:rsid w:val="00852898"/>
    <w:rsid w:val="00852D34"/>
    <w:rsid w:val="008534AF"/>
    <w:rsid w:val="00853575"/>
    <w:rsid w:val="008535A4"/>
    <w:rsid w:val="00853B28"/>
    <w:rsid w:val="00854084"/>
    <w:rsid w:val="008547FA"/>
    <w:rsid w:val="008549B3"/>
    <w:rsid w:val="00854EEA"/>
    <w:rsid w:val="0085550E"/>
    <w:rsid w:val="00855B6A"/>
    <w:rsid w:val="00855F14"/>
    <w:rsid w:val="0085674A"/>
    <w:rsid w:val="00856DDC"/>
    <w:rsid w:val="00856EEA"/>
    <w:rsid w:val="00857347"/>
    <w:rsid w:val="00857413"/>
    <w:rsid w:val="008603A8"/>
    <w:rsid w:val="00860B4B"/>
    <w:rsid w:val="008614E3"/>
    <w:rsid w:val="0086204C"/>
    <w:rsid w:val="00863071"/>
    <w:rsid w:val="0086339C"/>
    <w:rsid w:val="0086358D"/>
    <w:rsid w:val="008635A0"/>
    <w:rsid w:val="00863A67"/>
    <w:rsid w:val="0086421C"/>
    <w:rsid w:val="00864241"/>
    <w:rsid w:val="00864708"/>
    <w:rsid w:val="00864DE9"/>
    <w:rsid w:val="008658B4"/>
    <w:rsid w:val="00865A7A"/>
    <w:rsid w:val="00865DD6"/>
    <w:rsid w:val="00865FC7"/>
    <w:rsid w:val="0086627F"/>
    <w:rsid w:val="0086688F"/>
    <w:rsid w:val="00866A8C"/>
    <w:rsid w:val="00867EC2"/>
    <w:rsid w:val="00870A57"/>
    <w:rsid w:val="00870BFE"/>
    <w:rsid w:val="00871581"/>
    <w:rsid w:val="00871BA5"/>
    <w:rsid w:val="00872129"/>
    <w:rsid w:val="0087364F"/>
    <w:rsid w:val="00874423"/>
    <w:rsid w:val="008747A8"/>
    <w:rsid w:val="00874D77"/>
    <w:rsid w:val="00874E19"/>
    <w:rsid w:val="00875751"/>
    <w:rsid w:val="00875FD1"/>
    <w:rsid w:val="00876498"/>
    <w:rsid w:val="008765A4"/>
    <w:rsid w:val="00876733"/>
    <w:rsid w:val="008769E4"/>
    <w:rsid w:val="00876D7D"/>
    <w:rsid w:val="00876FC3"/>
    <w:rsid w:val="008805E5"/>
    <w:rsid w:val="0088085B"/>
    <w:rsid w:val="008808B0"/>
    <w:rsid w:val="00880903"/>
    <w:rsid w:val="00880C4B"/>
    <w:rsid w:val="00881086"/>
    <w:rsid w:val="0088121B"/>
    <w:rsid w:val="0088135C"/>
    <w:rsid w:val="00881D28"/>
    <w:rsid w:val="008825BA"/>
    <w:rsid w:val="0088368C"/>
    <w:rsid w:val="008837A7"/>
    <w:rsid w:val="00883993"/>
    <w:rsid w:val="00883F18"/>
    <w:rsid w:val="00884D9D"/>
    <w:rsid w:val="00884F99"/>
    <w:rsid w:val="0088562D"/>
    <w:rsid w:val="00885C24"/>
    <w:rsid w:val="00885E10"/>
    <w:rsid w:val="00885E54"/>
    <w:rsid w:val="008863E0"/>
    <w:rsid w:val="00886941"/>
    <w:rsid w:val="008870D6"/>
    <w:rsid w:val="0088781A"/>
    <w:rsid w:val="00887BDD"/>
    <w:rsid w:val="00887D79"/>
    <w:rsid w:val="00887FEB"/>
    <w:rsid w:val="00890FF5"/>
    <w:rsid w:val="00891E05"/>
    <w:rsid w:val="00891EB4"/>
    <w:rsid w:val="0089290E"/>
    <w:rsid w:val="008929BE"/>
    <w:rsid w:val="00892D2E"/>
    <w:rsid w:val="008936F8"/>
    <w:rsid w:val="00893B66"/>
    <w:rsid w:val="00893EC5"/>
    <w:rsid w:val="00894202"/>
    <w:rsid w:val="008945D1"/>
    <w:rsid w:val="00894DF4"/>
    <w:rsid w:val="008950DC"/>
    <w:rsid w:val="00895B82"/>
    <w:rsid w:val="00896530"/>
    <w:rsid w:val="00897312"/>
    <w:rsid w:val="00897525"/>
    <w:rsid w:val="00897579"/>
    <w:rsid w:val="008976A4"/>
    <w:rsid w:val="008A0817"/>
    <w:rsid w:val="008A0835"/>
    <w:rsid w:val="008A08F5"/>
    <w:rsid w:val="008A0D64"/>
    <w:rsid w:val="008A0D7A"/>
    <w:rsid w:val="008A137C"/>
    <w:rsid w:val="008A1393"/>
    <w:rsid w:val="008A1EF8"/>
    <w:rsid w:val="008A2009"/>
    <w:rsid w:val="008A2494"/>
    <w:rsid w:val="008A41FF"/>
    <w:rsid w:val="008A43C7"/>
    <w:rsid w:val="008A43C8"/>
    <w:rsid w:val="008A5056"/>
    <w:rsid w:val="008A51B4"/>
    <w:rsid w:val="008A58CC"/>
    <w:rsid w:val="008A58E2"/>
    <w:rsid w:val="008A5A09"/>
    <w:rsid w:val="008A5AB4"/>
    <w:rsid w:val="008A5BB1"/>
    <w:rsid w:val="008A5D1C"/>
    <w:rsid w:val="008A72C6"/>
    <w:rsid w:val="008A775A"/>
    <w:rsid w:val="008A79F1"/>
    <w:rsid w:val="008A7B4F"/>
    <w:rsid w:val="008B026E"/>
    <w:rsid w:val="008B06F0"/>
    <w:rsid w:val="008B0A9C"/>
    <w:rsid w:val="008B0DAA"/>
    <w:rsid w:val="008B11BD"/>
    <w:rsid w:val="008B1643"/>
    <w:rsid w:val="008B1862"/>
    <w:rsid w:val="008B1D89"/>
    <w:rsid w:val="008B26B8"/>
    <w:rsid w:val="008B26C6"/>
    <w:rsid w:val="008B27C3"/>
    <w:rsid w:val="008B2838"/>
    <w:rsid w:val="008B2CDE"/>
    <w:rsid w:val="008B3263"/>
    <w:rsid w:val="008B3F7C"/>
    <w:rsid w:val="008B43AD"/>
    <w:rsid w:val="008B4ECC"/>
    <w:rsid w:val="008B4F57"/>
    <w:rsid w:val="008B6768"/>
    <w:rsid w:val="008B6A10"/>
    <w:rsid w:val="008B6B61"/>
    <w:rsid w:val="008B70FA"/>
    <w:rsid w:val="008B71CD"/>
    <w:rsid w:val="008B7E8E"/>
    <w:rsid w:val="008C011C"/>
    <w:rsid w:val="008C047D"/>
    <w:rsid w:val="008C07E8"/>
    <w:rsid w:val="008C0E5C"/>
    <w:rsid w:val="008C1FC8"/>
    <w:rsid w:val="008C268F"/>
    <w:rsid w:val="008C2A13"/>
    <w:rsid w:val="008C3794"/>
    <w:rsid w:val="008C4565"/>
    <w:rsid w:val="008C4A0A"/>
    <w:rsid w:val="008C4C13"/>
    <w:rsid w:val="008C4C66"/>
    <w:rsid w:val="008C4D7D"/>
    <w:rsid w:val="008C5009"/>
    <w:rsid w:val="008C5563"/>
    <w:rsid w:val="008C5E60"/>
    <w:rsid w:val="008C5EF4"/>
    <w:rsid w:val="008C69CF"/>
    <w:rsid w:val="008C73FD"/>
    <w:rsid w:val="008C796B"/>
    <w:rsid w:val="008C7BAC"/>
    <w:rsid w:val="008D0141"/>
    <w:rsid w:val="008D025A"/>
    <w:rsid w:val="008D0361"/>
    <w:rsid w:val="008D09F1"/>
    <w:rsid w:val="008D0A38"/>
    <w:rsid w:val="008D0FAC"/>
    <w:rsid w:val="008D226C"/>
    <w:rsid w:val="008D2E14"/>
    <w:rsid w:val="008D4329"/>
    <w:rsid w:val="008D43DB"/>
    <w:rsid w:val="008D47E6"/>
    <w:rsid w:val="008D48C9"/>
    <w:rsid w:val="008D4B39"/>
    <w:rsid w:val="008D4BF5"/>
    <w:rsid w:val="008D4FC3"/>
    <w:rsid w:val="008D55D4"/>
    <w:rsid w:val="008D59C8"/>
    <w:rsid w:val="008D66DC"/>
    <w:rsid w:val="008D6807"/>
    <w:rsid w:val="008D6FC5"/>
    <w:rsid w:val="008D7038"/>
    <w:rsid w:val="008D73ED"/>
    <w:rsid w:val="008D7A23"/>
    <w:rsid w:val="008D7BD5"/>
    <w:rsid w:val="008D7FDD"/>
    <w:rsid w:val="008E05C7"/>
    <w:rsid w:val="008E124C"/>
    <w:rsid w:val="008E1D7B"/>
    <w:rsid w:val="008E21AE"/>
    <w:rsid w:val="008E25C7"/>
    <w:rsid w:val="008E2677"/>
    <w:rsid w:val="008E29C2"/>
    <w:rsid w:val="008E2DD6"/>
    <w:rsid w:val="008E2DFE"/>
    <w:rsid w:val="008E301B"/>
    <w:rsid w:val="008E30E6"/>
    <w:rsid w:val="008E333A"/>
    <w:rsid w:val="008E3943"/>
    <w:rsid w:val="008E3A63"/>
    <w:rsid w:val="008E3F23"/>
    <w:rsid w:val="008E4B68"/>
    <w:rsid w:val="008E5835"/>
    <w:rsid w:val="008E5D35"/>
    <w:rsid w:val="008E5DC2"/>
    <w:rsid w:val="008E67B0"/>
    <w:rsid w:val="008E67DC"/>
    <w:rsid w:val="008E78F7"/>
    <w:rsid w:val="008F01E1"/>
    <w:rsid w:val="008F0AB9"/>
    <w:rsid w:val="008F0CA3"/>
    <w:rsid w:val="008F0FAB"/>
    <w:rsid w:val="008F10D1"/>
    <w:rsid w:val="008F18FD"/>
    <w:rsid w:val="008F1C69"/>
    <w:rsid w:val="008F1CBE"/>
    <w:rsid w:val="008F1EAA"/>
    <w:rsid w:val="008F296F"/>
    <w:rsid w:val="008F321D"/>
    <w:rsid w:val="008F3CD7"/>
    <w:rsid w:val="008F47CB"/>
    <w:rsid w:val="008F519B"/>
    <w:rsid w:val="008F520C"/>
    <w:rsid w:val="008F5219"/>
    <w:rsid w:val="008F52F7"/>
    <w:rsid w:val="008F57D3"/>
    <w:rsid w:val="008F57F9"/>
    <w:rsid w:val="008F6A0A"/>
    <w:rsid w:val="008F7E45"/>
    <w:rsid w:val="0090022F"/>
    <w:rsid w:val="009004BB"/>
    <w:rsid w:val="0090069B"/>
    <w:rsid w:val="009006F6"/>
    <w:rsid w:val="009007A5"/>
    <w:rsid w:val="00900DC8"/>
    <w:rsid w:val="0090119E"/>
    <w:rsid w:val="00901338"/>
    <w:rsid w:val="00902594"/>
    <w:rsid w:val="00903162"/>
    <w:rsid w:val="009035EB"/>
    <w:rsid w:val="00903DBF"/>
    <w:rsid w:val="00903E49"/>
    <w:rsid w:val="009040F1"/>
    <w:rsid w:val="0090456A"/>
    <w:rsid w:val="009045EA"/>
    <w:rsid w:val="00904A2E"/>
    <w:rsid w:val="00904DCC"/>
    <w:rsid w:val="00904FC5"/>
    <w:rsid w:val="00905EF1"/>
    <w:rsid w:val="0090692B"/>
    <w:rsid w:val="009073C1"/>
    <w:rsid w:val="00907F19"/>
    <w:rsid w:val="00910028"/>
    <w:rsid w:val="009102B1"/>
    <w:rsid w:val="009103A0"/>
    <w:rsid w:val="0091087C"/>
    <w:rsid w:val="0091088E"/>
    <w:rsid w:val="00910C18"/>
    <w:rsid w:val="009114C3"/>
    <w:rsid w:val="00911B9B"/>
    <w:rsid w:val="00911BC5"/>
    <w:rsid w:val="00911EE5"/>
    <w:rsid w:val="009120C5"/>
    <w:rsid w:val="00912BEB"/>
    <w:rsid w:val="00912E97"/>
    <w:rsid w:val="0091324D"/>
    <w:rsid w:val="0091390C"/>
    <w:rsid w:val="00914032"/>
    <w:rsid w:val="00914549"/>
    <w:rsid w:val="00914A2E"/>
    <w:rsid w:val="009150E2"/>
    <w:rsid w:val="0091559D"/>
    <w:rsid w:val="00915FA9"/>
    <w:rsid w:val="009164F3"/>
    <w:rsid w:val="00916581"/>
    <w:rsid w:val="00917210"/>
    <w:rsid w:val="00917BA7"/>
    <w:rsid w:val="00917D07"/>
    <w:rsid w:val="00920527"/>
    <w:rsid w:val="009208DB"/>
    <w:rsid w:val="009209A5"/>
    <w:rsid w:val="00920CF7"/>
    <w:rsid w:val="009213B6"/>
    <w:rsid w:val="00921969"/>
    <w:rsid w:val="00921980"/>
    <w:rsid w:val="0092264D"/>
    <w:rsid w:val="009229DD"/>
    <w:rsid w:val="00922B7B"/>
    <w:rsid w:val="0092304A"/>
    <w:rsid w:val="0092388A"/>
    <w:rsid w:val="009239D2"/>
    <w:rsid w:val="00923BDE"/>
    <w:rsid w:val="00923FF5"/>
    <w:rsid w:val="00924113"/>
    <w:rsid w:val="009248CF"/>
    <w:rsid w:val="00924A92"/>
    <w:rsid w:val="0092591D"/>
    <w:rsid w:val="00925DA7"/>
    <w:rsid w:val="00926344"/>
    <w:rsid w:val="0092680D"/>
    <w:rsid w:val="009270A2"/>
    <w:rsid w:val="00927518"/>
    <w:rsid w:val="00927A19"/>
    <w:rsid w:val="0093025B"/>
    <w:rsid w:val="009303E7"/>
    <w:rsid w:val="00930A28"/>
    <w:rsid w:val="009316C6"/>
    <w:rsid w:val="00931E05"/>
    <w:rsid w:val="009323EE"/>
    <w:rsid w:val="009325DE"/>
    <w:rsid w:val="00932831"/>
    <w:rsid w:val="009331D7"/>
    <w:rsid w:val="00933853"/>
    <w:rsid w:val="009338E0"/>
    <w:rsid w:val="00933FA2"/>
    <w:rsid w:val="0093409D"/>
    <w:rsid w:val="00934323"/>
    <w:rsid w:val="0093451F"/>
    <w:rsid w:val="00934AC8"/>
    <w:rsid w:val="00934BDF"/>
    <w:rsid w:val="00935737"/>
    <w:rsid w:val="009357F8"/>
    <w:rsid w:val="00935976"/>
    <w:rsid w:val="009360F0"/>
    <w:rsid w:val="00936A65"/>
    <w:rsid w:val="009374FA"/>
    <w:rsid w:val="00937513"/>
    <w:rsid w:val="0094030B"/>
    <w:rsid w:val="00941751"/>
    <w:rsid w:val="009417E6"/>
    <w:rsid w:val="00941D5D"/>
    <w:rsid w:val="00941E2F"/>
    <w:rsid w:val="0094233D"/>
    <w:rsid w:val="00943FE4"/>
    <w:rsid w:val="0094430D"/>
    <w:rsid w:val="00944EC3"/>
    <w:rsid w:val="00944EE7"/>
    <w:rsid w:val="00944F47"/>
    <w:rsid w:val="009452E5"/>
    <w:rsid w:val="00945860"/>
    <w:rsid w:val="00946652"/>
    <w:rsid w:val="00946EA3"/>
    <w:rsid w:val="0094778C"/>
    <w:rsid w:val="00947E36"/>
    <w:rsid w:val="00950242"/>
    <w:rsid w:val="0095069E"/>
    <w:rsid w:val="00950B41"/>
    <w:rsid w:val="00950B68"/>
    <w:rsid w:val="00950BBF"/>
    <w:rsid w:val="00950D58"/>
    <w:rsid w:val="00950FA9"/>
    <w:rsid w:val="009513C9"/>
    <w:rsid w:val="00951DCE"/>
    <w:rsid w:val="00952063"/>
    <w:rsid w:val="009521EE"/>
    <w:rsid w:val="00952B55"/>
    <w:rsid w:val="00953112"/>
    <w:rsid w:val="009531B6"/>
    <w:rsid w:val="0095331D"/>
    <w:rsid w:val="0095345B"/>
    <w:rsid w:val="00953FB5"/>
    <w:rsid w:val="009540F4"/>
    <w:rsid w:val="00954ACE"/>
    <w:rsid w:val="00954BA2"/>
    <w:rsid w:val="00954DF5"/>
    <w:rsid w:val="009553A6"/>
    <w:rsid w:val="009563B9"/>
    <w:rsid w:val="00956503"/>
    <w:rsid w:val="009566CC"/>
    <w:rsid w:val="00956BB1"/>
    <w:rsid w:val="00956ED6"/>
    <w:rsid w:val="009573CF"/>
    <w:rsid w:val="0095791A"/>
    <w:rsid w:val="00957F41"/>
    <w:rsid w:val="009603AD"/>
    <w:rsid w:val="00960D3D"/>
    <w:rsid w:val="00960EFE"/>
    <w:rsid w:val="00960F18"/>
    <w:rsid w:val="009617E2"/>
    <w:rsid w:val="0096189A"/>
    <w:rsid w:val="0096264F"/>
    <w:rsid w:val="00962DAD"/>
    <w:rsid w:val="0096311F"/>
    <w:rsid w:val="009632DD"/>
    <w:rsid w:val="00963385"/>
    <w:rsid w:val="00963637"/>
    <w:rsid w:val="00963687"/>
    <w:rsid w:val="009640DD"/>
    <w:rsid w:val="009649B6"/>
    <w:rsid w:val="00965273"/>
    <w:rsid w:val="00965688"/>
    <w:rsid w:val="00965866"/>
    <w:rsid w:val="009658F4"/>
    <w:rsid w:val="009660E9"/>
    <w:rsid w:val="00966371"/>
    <w:rsid w:val="00967010"/>
    <w:rsid w:val="009673A6"/>
    <w:rsid w:val="009676B0"/>
    <w:rsid w:val="0096791E"/>
    <w:rsid w:val="00967E7F"/>
    <w:rsid w:val="00970CC9"/>
    <w:rsid w:val="00971BB8"/>
    <w:rsid w:val="00971E49"/>
    <w:rsid w:val="0097291F"/>
    <w:rsid w:val="00972F9B"/>
    <w:rsid w:val="009730F1"/>
    <w:rsid w:val="00973775"/>
    <w:rsid w:val="009741EC"/>
    <w:rsid w:val="00974E97"/>
    <w:rsid w:val="00974F23"/>
    <w:rsid w:val="009751E1"/>
    <w:rsid w:val="009754DA"/>
    <w:rsid w:val="009757B7"/>
    <w:rsid w:val="0097592F"/>
    <w:rsid w:val="0097593F"/>
    <w:rsid w:val="00975ABA"/>
    <w:rsid w:val="00975E66"/>
    <w:rsid w:val="00975F5E"/>
    <w:rsid w:val="00976350"/>
    <w:rsid w:val="009763F9"/>
    <w:rsid w:val="00976AD9"/>
    <w:rsid w:val="0097748B"/>
    <w:rsid w:val="009779B9"/>
    <w:rsid w:val="00977AB5"/>
    <w:rsid w:val="00977D93"/>
    <w:rsid w:val="0098001D"/>
    <w:rsid w:val="0098032F"/>
    <w:rsid w:val="009808BF"/>
    <w:rsid w:val="00981124"/>
    <w:rsid w:val="00981663"/>
    <w:rsid w:val="00981A3E"/>
    <w:rsid w:val="00981D49"/>
    <w:rsid w:val="00982305"/>
    <w:rsid w:val="0098272F"/>
    <w:rsid w:val="0098298F"/>
    <w:rsid w:val="00982AF5"/>
    <w:rsid w:val="0098321C"/>
    <w:rsid w:val="00983264"/>
    <w:rsid w:val="009838CD"/>
    <w:rsid w:val="00983E0A"/>
    <w:rsid w:val="009846B7"/>
    <w:rsid w:val="00984D89"/>
    <w:rsid w:val="00984EF0"/>
    <w:rsid w:val="00985315"/>
    <w:rsid w:val="00986260"/>
    <w:rsid w:val="009868D4"/>
    <w:rsid w:val="00987329"/>
    <w:rsid w:val="00987D58"/>
    <w:rsid w:val="009901FD"/>
    <w:rsid w:val="00990A08"/>
    <w:rsid w:val="00990AB3"/>
    <w:rsid w:val="00990DF5"/>
    <w:rsid w:val="00991170"/>
    <w:rsid w:val="009912F5"/>
    <w:rsid w:val="00991443"/>
    <w:rsid w:val="0099146A"/>
    <w:rsid w:val="00991AEA"/>
    <w:rsid w:val="00992707"/>
    <w:rsid w:val="00993418"/>
    <w:rsid w:val="00993B9D"/>
    <w:rsid w:val="00993E83"/>
    <w:rsid w:val="00993F89"/>
    <w:rsid w:val="00994547"/>
    <w:rsid w:val="00994E7C"/>
    <w:rsid w:val="0099561C"/>
    <w:rsid w:val="00995A6A"/>
    <w:rsid w:val="00995CA5"/>
    <w:rsid w:val="00996007"/>
    <w:rsid w:val="009961B0"/>
    <w:rsid w:val="00996283"/>
    <w:rsid w:val="009965B9"/>
    <w:rsid w:val="0099689F"/>
    <w:rsid w:val="00996D25"/>
    <w:rsid w:val="0099703A"/>
    <w:rsid w:val="00997A05"/>
    <w:rsid w:val="009A05F0"/>
    <w:rsid w:val="009A0FB6"/>
    <w:rsid w:val="009A1590"/>
    <w:rsid w:val="009A1653"/>
    <w:rsid w:val="009A231D"/>
    <w:rsid w:val="009A27B5"/>
    <w:rsid w:val="009A2A18"/>
    <w:rsid w:val="009A2B88"/>
    <w:rsid w:val="009A2F38"/>
    <w:rsid w:val="009A30DD"/>
    <w:rsid w:val="009A31BD"/>
    <w:rsid w:val="009A3202"/>
    <w:rsid w:val="009A3C83"/>
    <w:rsid w:val="009A3E2D"/>
    <w:rsid w:val="009A4965"/>
    <w:rsid w:val="009A4AAE"/>
    <w:rsid w:val="009A5AD4"/>
    <w:rsid w:val="009A5D8A"/>
    <w:rsid w:val="009A6F57"/>
    <w:rsid w:val="009A6F8B"/>
    <w:rsid w:val="009A7557"/>
    <w:rsid w:val="009A77FD"/>
    <w:rsid w:val="009A78AB"/>
    <w:rsid w:val="009B00DB"/>
    <w:rsid w:val="009B062A"/>
    <w:rsid w:val="009B070E"/>
    <w:rsid w:val="009B0A2E"/>
    <w:rsid w:val="009B1734"/>
    <w:rsid w:val="009B1758"/>
    <w:rsid w:val="009B1AF5"/>
    <w:rsid w:val="009B25E8"/>
    <w:rsid w:val="009B2662"/>
    <w:rsid w:val="009B3361"/>
    <w:rsid w:val="009B33F0"/>
    <w:rsid w:val="009B35D9"/>
    <w:rsid w:val="009B3FC5"/>
    <w:rsid w:val="009B4083"/>
    <w:rsid w:val="009B46D1"/>
    <w:rsid w:val="009B48D4"/>
    <w:rsid w:val="009B4D89"/>
    <w:rsid w:val="009B53FF"/>
    <w:rsid w:val="009B5DB6"/>
    <w:rsid w:val="009B615E"/>
    <w:rsid w:val="009B6327"/>
    <w:rsid w:val="009B6364"/>
    <w:rsid w:val="009B73A8"/>
    <w:rsid w:val="009B73AB"/>
    <w:rsid w:val="009B77F1"/>
    <w:rsid w:val="009B7A9C"/>
    <w:rsid w:val="009B7B7D"/>
    <w:rsid w:val="009B7BB6"/>
    <w:rsid w:val="009C0C1F"/>
    <w:rsid w:val="009C1040"/>
    <w:rsid w:val="009C1628"/>
    <w:rsid w:val="009C26F2"/>
    <w:rsid w:val="009C2810"/>
    <w:rsid w:val="009C3406"/>
    <w:rsid w:val="009C3EC4"/>
    <w:rsid w:val="009C40B0"/>
    <w:rsid w:val="009C4CCB"/>
    <w:rsid w:val="009C4CEA"/>
    <w:rsid w:val="009C5162"/>
    <w:rsid w:val="009C5A20"/>
    <w:rsid w:val="009C5A98"/>
    <w:rsid w:val="009C5E61"/>
    <w:rsid w:val="009C60AF"/>
    <w:rsid w:val="009C6121"/>
    <w:rsid w:val="009C655F"/>
    <w:rsid w:val="009C6980"/>
    <w:rsid w:val="009C6BF2"/>
    <w:rsid w:val="009C705E"/>
    <w:rsid w:val="009C7560"/>
    <w:rsid w:val="009C7808"/>
    <w:rsid w:val="009D09E6"/>
    <w:rsid w:val="009D1035"/>
    <w:rsid w:val="009D1615"/>
    <w:rsid w:val="009D1664"/>
    <w:rsid w:val="009D1B78"/>
    <w:rsid w:val="009D2393"/>
    <w:rsid w:val="009D2580"/>
    <w:rsid w:val="009D2E99"/>
    <w:rsid w:val="009D2F57"/>
    <w:rsid w:val="009D52B5"/>
    <w:rsid w:val="009D5491"/>
    <w:rsid w:val="009D590E"/>
    <w:rsid w:val="009D5ABA"/>
    <w:rsid w:val="009D68C5"/>
    <w:rsid w:val="009D7038"/>
    <w:rsid w:val="009D704D"/>
    <w:rsid w:val="009E027F"/>
    <w:rsid w:val="009E0782"/>
    <w:rsid w:val="009E07C9"/>
    <w:rsid w:val="009E09A5"/>
    <w:rsid w:val="009E0C02"/>
    <w:rsid w:val="009E0FA7"/>
    <w:rsid w:val="009E1721"/>
    <w:rsid w:val="009E173A"/>
    <w:rsid w:val="009E1B3E"/>
    <w:rsid w:val="009E23A0"/>
    <w:rsid w:val="009E2B05"/>
    <w:rsid w:val="009E2FC0"/>
    <w:rsid w:val="009E3088"/>
    <w:rsid w:val="009E3628"/>
    <w:rsid w:val="009E3A71"/>
    <w:rsid w:val="009E4B96"/>
    <w:rsid w:val="009E5AA7"/>
    <w:rsid w:val="009E5FBF"/>
    <w:rsid w:val="009E6343"/>
    <w:rsid w:val="009E636D"/>
    <w:rsid w:val="009E65D2"/>
    <w:rsid w:val="009E688A"/>
    <w:rsid w:val="009E6AC7"/>
    <w:rsid w:val="009E6C3B"/>
    <w:rsid w:val="009E721F"/>
    <w:rsid w:val="009E738E"/>
    <w:rsid w:val="009E7727"/>
    <w:rsid w:val="009E77A7"/>
    <w:rsid w:val="009F0FA5"/>
    <w:rsid w:val="009F1590"/>
    <w:rsid w:val="009F1DDC"/>
    <w:rsid w:val="009F2052"/>
    <w:rsid w:val="009F2567"/>
    <w:rsid w:val="009F30C7"/>
    <w:rsid w:val="009F30F6"/>
    <w:rsid w:val="009F316D"/>
    <w:rsid w:val="009F329C"/>
    <w:rsid w:val="009F37ED"/>
    <w:rsid w:val="009F417E"/>
    <w:rsid w:val="009F4262"/>
    <w:rsid w:val="009F42A7"/>
    <w:rsid w:val="009F4C23"/>
    <w:rsid w:val="009F4EFC"/>
    <w:rsid w:val="009F5611"/>
    <w:rsid w:val="009F5F84"/>
    <w:rsid w:val="009F6104"/>
    <w:rsid w:val="009F79E2"/>
    <w:rsid w:val="009F7D32"/>
    <w:rsid w:val="00A00790"/>
    <w:rsid w:val="00A009C1"/>
    <w:rsid w:val="00A00DE0"/>
    <w:rsid w:val="00A0126D"/>
    <w:rsid w:val="00A014B0"/>
    <w:rsid w:val="00A01754"/>
    <w:rsid w:val="00A01F9A"/>
    <w:rsid w:val="00A02C23"/>
    <w:rsid w:val="00A03398"/>
    <w:rsid w:val="00A034F5"/>
    <w:rsid w:val="00A03ECB"/>
    <w:rsid w:val="00A0455D"/>
    <w:rsid w:val="00A0672A"/>
    <w:rsid w:val="00A078BA"/>
    <w:rsid w:val="00A07CDF"/>
    <w:rsid w:val="00A07FC0"/>
    <w:rsid w:val="00A10313"/>
    <w:rsid w:val="00A10724"/>
    <w:rsid w:val="00A10CBB"/>
    <w:rsid w:val="00A11145"/>
    <w:rsid w:val="00A11327"/>
    <w:rsid w:val="00A1208E"/>
    <w:rsid w:val="00A12EEF"/>
    <w:rsid w:val="00A12F86"/>
    <w:rsid w:val="00A13749"/>
    <w:rsid w:val="00A13D2E"/>
    <w:rsid w:val="00A147CB"/>
    <w:rsid w:val="00A14AD9"/>
    <w:rsid w:val="00A15CE2"/>
    <w:rsid w:val="00A16229"/>
    <w:rsid w:val="00A162FE"/>
    <w:rsid w:val="00A164E7"/>
    <w:rsid w:val="00A16FA6"/>
    <w:rsid w:val="00A1753E"/>
    <w:rsid w:val="00A17E67"/>
    <w:rsid w:val="00A2052D"/>
    <w:rsid w:val="00A21401"/>
    <w:rsid w:val="00A2164A"/>
    <w:rsid w:val="00A21CB0"/>
    <w:rsid w:val="00A21F28"/>
    <w:rsid w:val="00A223E0"/>
    <w:rsid w:val="00A228F0"/>
    <w:rsid w:val="00A22C91"/>
    <w:rsid w:val="00A22D22"/>
    <w:rsid w:val="00A23625"/>
    <w:rsid w:val="00A23AFC"/>
    <w:rsid w:val="00A23C1C"/>
    <w:rsid w:val="00A240EC"/>
    <w:rsid w:val="00A245D6"/>
    <w:rsid w:val="00A2504B"/>
    <w:rsid w:val="00A2552C"/>
    <w:rsid w:val="00A255A6"/>
    <w:rsid w:val="00A258FB"/>
    <w:rsid w:val="00A25BF7"/>
    <w:rsid w:val="00A25EB2"/>
    <w:rsid w:val="00A261AD"/>
    <w:rsid w:val="00A269ED"/>
    <w:rsid w:val="00A26AC4"/>
    <w:rsid w:val="00A2707B"/>
    <w:rsid w:val="00A27CE9"/>
    <w:rsid w:val="00A30AF3"/>
    <w:rsid w:val="00A30E57"/>
    <w:rsid w:val="00A30FB4"/>
    <w:rsid w:val="00A3218C"/>
    <w:rsid w:val="00A325C4"/>
    <w:rsid w:val="00A326A6"/>
    <w:rsid w:val="00A32E5E"/>
    <w:rsid w:val="00A3310B"/>
    <w:rsid w:val="00A333D3"/>
    <w:rsid w:val="00A33A09"/>
    <w:rsid w:val="00A33D47"/>
    <w:rsid w:val="00A3438D"/>
    <w:rsid w:val="00A34493"/>
    <w:rsid w:val="00A34761"/>
    <w:rsid w:val="00A34B39"/>
    <w:rsid w:val="00A34DA7"/>
    <w:rsid w:val="00A352F0"/>
    <w:rsid w:val="00A35383"/>
    <w:rsid w:val="00A355C0"/>
    <w:rsid w:val="00A35E7E"/>
    <w:rsid w:val="00A3615F"/>
    <w:rsid w:val="00A368AB"/>
    <w:rsid w:val="00A36C36"/>
    <w:rsid w:val="00A36F01"/>
    <w:rsid w:val="00A36F78"/>
    <w:rsid w:val="00A36FA0"/>
    <w:rsid w:val="00A37584"/>
    <w:rsid w:val="00A37D56"/>
    <w:rsid w:val="00A37E20"/>
    <w:rsid w:val="00A4045B"/>
    <w:rsid w:val="00A40D69"/>
    <w:rsid w:val="00A41706"/>
    <w:rsid w:val="00A41821"/>
    <w:rsid w:val="00A41E31"/>
    <w:rsid w:val="00A41E52"/>
    <w:rsid w:val="00A42495"/>
    <w:rsid w:val="00A429CF"/>
    <w:rsid w:val="00A42EB0"/>
    <w:rsid w:val="00A43395"/>
    <w:rsid w:val="00A434EA"/>
    <w:rsid w:val="00A43E1E"/>
    <w:rsid w:val="00A449DD"/>
    <w:rsid w:val="00A450A9"/>
    <w:rsid w:val="00A45B68"/>
    <w:rsid w:val="00A460AA"/>
    <w:rsid w:val="00A4648E"/>
    <w:rsid w:val="00A46719"/>
    <w:rsid w:val="00A4675B"/>
    <w:rsid w:val="00A4693A"/>
    <w:rsid w:val="00A46D5A"/>
    <w:rsid w:val="00A46E13"/>
    <w:rsid w:val="00A46F03"/>
    <w:rsid w:val="00A471D3"/>
    <w:rsid w:val="00A47516"/>
    <w:rsid w:val="00A47851"/>
    <w:rsid w:val="00A478A4"/>
    <w:rsid w:val="00A501F6"/>
    <w:rsid w:val="00A517B5"/>
    <w:rsid w:val="00A51E3F"/>
    <w:rsid w:val="00A52A3B"/>
    <w:rsid w:val="00A53598"/>
    <w:rsid w:val="00A5363A"/>
    <w:rsid w:val="00A54778"/>
    <w:rsid w:val="00A549A3"/>
    <w:rsid w:val="00A553E0"/>
    <w:rsid w:val="00A55833"/>
    <w:rsid w:val="00A55904"/>
    <w:rsid w:val="00A56533"/>
    <w:rsid w:val="00A5679C"/>
    <w:rsid w:val="00A56932"/>
    <w:rsid w:val="00A56CAD"/>
    <w:rsid w:val="00A56E3C"/>
    <w:rsid w:val="00A57E16"/>
    <w:rsid w:val="00A57F8A"/>
    <w:rsid w:val="00A602AE"/>
    <w:rsid w:val="00A60B13"/>
    <w:rsid w:val="00A60B56"/>
    <w:rsid w:val="00A614CC"/>
    <w:rsid w:val="00A61789"/>
    <w:rsid w:val="00A6191E"/>
    <w:rsid w:val="00A619FD"/>
    <w:rsid w:val="00A61DCF"/>
    <w:rsid w:val="00A61E62"/>
    <w:rsid w:val="00A6215F"/>
    <w:rsid w:val="00A63069"/>
    <w:rsid w:val="00A6343C"/>
    <w:rsid w:val="00A63611"/>
    <w:rsid w:val="00A6362F"/>
    <w:rsid w:val="00A63719"/>
    <w:rsid w:val="00A6389C"/>
    <w:rsid w:val="00A63949"/>
    <w:rsid w:val="00A63C33"/>
    <w:rsid w:val="00A63EC0"/>
    <w:rsid w:val="00A63FFF"/>
    <w:rsid w:val="00A641AC"/>
    <w:rsid w:val="00A6458C"/>
    <w:rsid w:val="00A647F9"/>
    <w:rsid w:val="00A65138"/>
    <w:rsid w:val="00A65194"/>
    <w:rsid w:val="00A65A91"/>
    <w:rsid w:val="00A65CE9"/>
    <w:rsid w:val="00A65F2B"/>
    <w:rsid w:val="00A66428"/>
    <w:rsid w:val="00A66838"/>
    <w:rsid w:val="00A668A2"/>
    <w:rsid w:val="00A678A1"/>
    <w:rsid w:val="00A7003D"/>
    <w:rsid w:val="00A70428"/>
    <w:rsid w:val="00A708A6"/>
    <w:rsid w:val="00A70DE4"/>
    <w:rsid w:val="00A70EC6"/>
    <w:rsid w:val="00A71431"/>
    <w:rsid w:val="00A721DF"/>
    <w:rsid w:val="00A72233"/>
    <w:rsid w:val="00A7249F"/>
    <w:rsid w:val="00A72914"/>
    <w:rsid w:val="00A739E8"/>
    <w:rsid w:val="00A751F5"/>
    <w:rsid w:val="00A7601A"/>
    <w:rsid w:val="00A762C8"/>
    <w:rsid w:val="00A76408"/>
    <w:rsid w:val="00A7678D"/>
    <w:rsid w:val="00A7688C"/>
    <w:rsid w:val="00A76E14"/>
    <w:rsid w:val="00A77150"/>
    <w:rsid w:val="00A775A7"/>
    <w:rsid w:val="00A808AC"/>
    <w:rsid w:val="00A811EB"/>
    <w:rsid w:val="00A81304"/>
    <w:rsid w:val="00A81764"/>
    <w:rsid w:val="00A81993"/>
    <w:rsid w:val="00A81A31"/>
    <w:rsid w:val="00A81F5A"/>
    <w:rsid w:val="00A821C0"/>
    <w:rsid w:val="00A822D8"/>
    <w:rsid w:val="00A83219"/>
    <w:rsid w:val="00A83CEA"/>
    <w:rsid w:val="00A83F21"/>
    <w:rsid w:val="00A849DA"/>
    <w:rsid w:val="00A851CF"/>
    <w:rsid w:val="00A8536B"/>
    <w:rsid w:val="00A85810"/>
    <w:rsid w:val="00A86316"/>
    <w:rsid w:val="00A8663C"/>
    <w:rsid w:val="00A8678E"/>
    <w:rsid w:val="00A87372"/>
    <w:rsid w:val="00A878DB"/>
    <w:rsid w:val="00A87FD6"/>
    <w:rsid w:val="00A91D56"/>
    <w:rsid w:val="00A92AFC"/>
    <w:rsid w:val="00A930F8"/>
    <w:rsid w:val="00A93FEC"/>
    <w:rsid w:val="00A948FC"/>
    <w:rsid w:val="00A94FC1"/>
    <w:rsid w:val="00A9501B"/>
    <w:rsid w:val="00A954E1"/>
    <w:rsid w:val="00A95536"/>
    <w:rsid w:val="00A9618A"/>
    <w:rsid w:val="00A96F6C"/>
    <w:rsid w:val="00A96F8B"/>
    <w:rsid w:val="00A9724C"/>
    <w:rsid w:val="00A9787F"/>
    <w:rsid w:val="00A97EBB"/>
    <w:rsid w:val="00A97FAA"/>
    <w:rsid w:val="00AA01EB"/>
    <w:rsid w:val="00AA0E07"/>
    <w:rsid w:val="00AA1781"/>
    <w:rsid w:val="00AA1973"/>
    <w:rsid w:val="00AA1FCD"/>
    <w:rsid w:val="00AA1FE5"/>
    <w:rsid w:val="00AA2711"/>
    <w:rsid w:val="00AA37DF"/>
    <w:rsid w:val="00AA3B6A"/>
    <w:rsid w:val="00AA4D98"/>
    <w:rsid w:val="00AA5F2F"/>
    <w:rsid w:val="00AA64C0"/>
    <w:rsid w:val="00AA663F"/>
    <w:rsid w:val="00AA73E6"/>
    <w:rsid w:val="00AA7498"/>
    <w:rsid w:val="00AA7CFA"/>
    <w:rsid w:val="00AA7F79"/>
    <w:rsid w:val="00AB00DA"/>
    <w:rsid w:val="00AB02A1"/>
    <w:rsid w:val="00AB0BAF"/>
    <w:rsid w:val="00AB1530"/>
    <w:rsid w:val="00AB1B3A"/>
    <w:rsid w:val="00AB1EBE"/>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356"/>
    <w:rsid w:val="00AB55C9"/>
    <w:rsid w:val="00AB5E60"/>
    <w:rsid w:val="00AB5EB6"/>
    <w:rsid w:val="00AB5F69"/>
    <w:rsid w:val="00AB66E9"/>
    <w:rsid w:val="00AB7301"/>
    <w:rsid w:val="00AB7658"/>
    <w:rsid w:val="00AB79CB"/>
    <w:rsid w:val="00AC01A7"/>
    <w:rsid w:val="00AC0575"/>
    <w:rsid w:val="00AC06AF"/>
    <w:rsid w:val="00AC0791"/>
    <w:rsid w:val="00AC089C"/>
    <w:rsid w:val="00AC0E19"/>
    <w:rsid w:val="00AC2F0A"/>
    <w:rsid w:val="00AC30EA"/>
    <w:rsid w:val="00AC373D"/>
    <w:rsid w:val="00AC408F"/>
    <w:rsid w:val="00AC497E"/>
    <w:rsid w:val="00AC4B58"/>
    <w:rsid w:val="00AC4C86"/>
    <w:rsid w:val="00AC50F9"/>
    <w:rsid w:val="00AC5424"/>
    <w:rsid w:val="00AC5453"/>
    <w:rsid w:val="00AC5C5D"/>
    <w:rsid w:val="00AC6733"/>
    <w:rsid w:val="00AC6820"/>
    <w:rsid w:val="00AD0112"/>
    <w:rsid w:val="00AD0372"/>
    <w:rsid w:val="00AD087F"/>
    <w:rsid w:val="00AD0C79"/>
    <w:rsid w:val="00AD13E8"/>
    <w:rsid w:val="00AD1CC8"/>
    <w:rsid w:val="00AD244B"/>
    <w:rsid w:val="00AD25B3"/>
    <w:rsid w:val="00AD2D38"/>
    <w:rsid w:val="00AD2DFC"/>
    <w:rsid w:val="00AD30DB"/>
    <w:rsid w:val="00AD338E"/>
    <w:rsid w:val="00AD33A6"/>
    <w:rsid w:val="00AD34E3"/>
    <w:rsid w:val="00AD39C2"/>
    <w:rsid w:val="00AD40F6"/>
    <w:rsid w:val="00AD4D8C"/>
    <w:rsid w:val="00AD4FB1"/>
    <w:rsid w:val="00AD5BE7"/>
    <w:rsid w:val="00AD5C15"/>
    <w:rsid w:val="00AD68F5"/>
    <w:rsid w:val="00AD6A90"/>
    <w:rsid w:val="00AD7566"/>
    <w:rsid w:val="00AD7722"/>
    <w:rsid w:val="00AD792E"/>
    <w:rsid w:val="00AD7DCD"/>
    <w:rsid w:val="00AD7DED"/>
    <w:rsid w:val="00AE02F2"/>
    <w:rsid w:val="00AE1166"/>
    <w:rsid w:val="00AE18DA"/>
    <w:rsid w:val="00AE212E"/>
    <w:rsid w:val="00AE2804"/>
    <w:rsid w:val="00AE3610"/>
    <w:rsid w:val="00AE3629"/>
    <w:rsid w:val="00AE38E2"/>
    <w:rsid w:val="00AE43F9"/>
    <w:rsid w:val="00AE584A"/>
    <w:rsid w:val="00AE588D"/>
    <w:rsid w:val="00AE5D63"/>
    <w:rsid w:val="00AE5E17"/>
    <w:rsid w:val="00AE5FF2"/>
    <w:rsid w:val="00AE605F"/>
    <w:rsid w:val="00AE6437"/>
    <w:rsid w:val="00AE6454"/>
    <w:rsid w:val="00AE69C7"/>
    <w:rsid w:val="00AE6AEE"/>
    <w:rsid w:val="00AE6BFD"/>
    <w:rsid w:val="00AE7343"/>
    <w:rsid w:val="00AE7BEE"/>
    <w:rsid w:val="00AF014D"/>
    <w:rsid w:val="00AF0CB5"/>
    <w:rsid w:val="00AF0DFB"/>
    <w:rsid w:val="00AF0FEF"/>
    <w:rsid w:val="00AF13D0"/>
    <w:rsid w:val="00AF16A8"/>
    <w:rsid w:val="00AF1CDE"/>
    <w:rsid w:val="00AF2AF9"/>
    <w:rsid w:val="00AF2B74"/>
    <w:rsid w:val="00AF2F21"/>
    <w:rsid w:val="00AF33D9"/>
    <w:rsid w:val="00AF3975"/>
    <w:rsid w:val="00AF3E08"/>
    <w:rsid w:val="00AF3FD4"/>
    <w:rsid w:val="00AF431A"/>
    <w:rsid w:val="00AF452F"/>
    <w:rsid w:val="00AF45D2"/>
    <w:rsid w:val="00AF49D4"/>
    <w:rsid w:val="00AF5537"/>
    <w:rsid w:val="00AF5889"/>
    <w:rsid w:val="00AF6F43"/>
    <w:rsid w:val="00AF724F"/>
    <w:rsid w:val="00AF741D"/>
    <w:rsid w:val="00AF7571"/>
    <w:rsid w:val="00AF7ACD"/>
    <w:rsid w:val="00AF7FB5"/>
    <w:rsid w:val="00B00138"/>
    <w:rsid w:val="00B003C4"/>
    <w:rsid w:val="00B0043B"/>
    <w:rsid w:val="00B00F68"/>
    <w:rsid w:val="00B01E2B"/>
    <w:rsid w:val="00B022CC"/>
    <w:rsid w:val="00B02D06"/>
    <w:rsid w:val="00B02D13"/>
    <w:rsid w:val="00B02FD5"/>
    <w:rsid w:val="00B03414"/>
    <w:rsid w:val="00B03618"/>
    <w:rsid w:val="00B0418B"/>
    <w:rsid w:val="00B04939"/>
    <w:rsid w:val="00B04E83"/>
    <w:rsid w:val="00B05312"/>
    <w:rsid w:val="00B05597"/>
    <w:rsid w:val="00B05A32"/>
    <w:rsid w:val="00B05AC0"/>
    <w:rsid w:val="00B05B90"/>
    <w:rsid w:val="00B05CB1"/>
    <w:rsid w:val="00B06014"/>
    <w:rsid w:val="00B06D5E"/>
    <w:rsid w:val="00B06F68"/>
    <w:rsid w:val="00B06F6A"/>
    <w:rsid w:val="00B07B1E"/>
    <w:rsid w:val="00B1008D"/>
    <w:rsid w:val="00B10482"/>
    <w:rsid w:val="00B1163B"/>
    <w:rsid w:val="00B11807"/>
    <w:rsid w:val="00B120CB"/>
    <w:rsid w:val="00B12508"/>
    <w:rsid w:val="00B12520"/>
    <w:rsid w:val="00B126DB"/>
    <w:rsid w:val="00B12865"/>
    <w:rsid w:val="00B133FD"/>
    <w:rsid w:val="00B13621"/>
    <w:rsid w:val="00B139C6"/>
    <w:rsid w:val="00B13C22"/>
    <w:rsid w:val="00B14DA4"/>
    <w:rsid w:val="00B15F4A"/>
    <w:rsid w:val="00B160EF"/>
    <w:rsid w:val="00B163C2"/>
    <w:rsid w:val="00B16588"/>
    <w:rsid w:val="00B16AEF"/>
    <w:rsid w:val="00B17431"/>
    <w:rsid w:val="00B20467"/>
    <w:rsid w:val="00B20670"/>
    <w:rsid w:val="00B20B3E"/>
    <w:rsid w:val="00B20E65"/>
    <w:rsid w:val="00B21090"/>
    <w:rsid w:val="00B2178A"/>
    <w:rsid w:val="00B21881"/>
    <w:rsid w:val="00B21C69"/>
    <w:rsid w:val="00B22419"/>
    <w:rsid w:val="00B2251B"/>
    <w:rsid w:val="00B22F6E"/>
    <w:rsid w:val="00B232D5"/>
    <w:rsid w:val="00B2365F"/>
    <w:rsid w:val="00B2399B"/>
    <w:rsid w:val="00B23DAA"/>
    <w:rsid w:val="00B23DD2"/>
    <w:rsid w:val="00B25201"/>
    <w:rsid w:val="00B25541"/>
    <w:rsid w:val="00B2566E"/>
    <w:rsid w:val="00B26922"/>
    <w:rsid w:val="00B270A3"/>
    <w:rsid w:val="00B275A6"/>
    <w:rsid w:val="00B27DB4"/>
    <w:rsid w:val="00B30097"/>
    <w:rsid w:val="00B3050F"/>
    <w:rsid w:val="00B31264"/>
    <w:rsid w:val="00B314B7"/>
    <w:rsid w:val="00B3175A"/>
    <w:rsid w:val="00B320FC"/>
    <w:rsid w:val="00B33467"/>
    <w:rsid w:val="00B33549"/>
    <w:rsid w:val="00B34288"/>
    <w:rsid w:val="00B34897"/>
    <w:rsid w:val="00B34F58"/>
    <w:rsid w:val="00B35E01"/>
    <w:rsid w:val="00B366D7"/>
    <w:rsid w:val="00B36712"/>
    <w:rsid w:val="00B367E5"/>
    <w:rsid w:val="00B36C54"/>
    <w:rsid w:val="00B374FB"/>
    <w:rsid w:val="00B37AF0"/>
    <w:rsid w:val="00B37C32"/>
    <w:rsid w:val="00B37DDF"/>
    <w:rsid w:val="00B40A9F"/>
    <w:rsid w:val="00B40BE8"/>
    <w:rsid w:val="00B41868"/>
    <w:rsid w:val="00B41874"/>
    <w:rsid w:val="00B41904"/>
    <w:rsid w:val="00B41A86"/>
    <w:rsid w:val="00B41EF3"/>
    <w:rsid w:val="00B428A6"/>
    <w:rsid w:val="00B42FAA"/>
    <w:rsid w:val="00B4355E"/>
    <w:rsid w:val="00B43650"/>
    <w:rsid w:val="00B43ADE"/>
    <w:rsid w:val="00B43E93"/>
    <w:rsid w:val="00B44622"/>
    <w:rsid w:val="00B44CDF"/>
    <w:rsid w:val="00B44E23"/>
    <w:rsid w:val="00B4685F"/>
    <w:rsid w:val="00B46C90"/>
    <w:rsid w:val="00B46F67"/>
    <w:rsid w:val="00B474B9"/>
    <w:rsid w:val="00B4754D"/>
    <w:rsid w:val="00B47712"/>
    <w:rsid w:val="00B47949"/>
    <w:rsid w:val="00B47C06"/>
    <w:rsid w:val="00B47FF0"/>
    <w:rsid w:val="00B5044D"/>
    <w:rsid w:val="00B50EA6"/>
    <w:rsid w:val="00B51BAD"/>
    <w:rsid w:val="00B52146"/>
    <w:rsid w:val="00B5259A"/>
    <w:rsid w:val="00B52A5C"/>
    <w:rsid w:val="00B52B45"/>
    <w:rsid w:val="00B52F69"/>
    <w:rsid w:val="00B53092"/>
    <w:rsid w:val="00B53518"/>
    <w:rsid w:val="00B53D41"/>
    <w:rsid w:val="00B53EE8"/>
    <w:rsid w:val="00B53FF2"/>
    <w:rsid w:val="00B5417F"/>
    <w:rsid w:val="00B549CD"/>
    <w:rsid w:val="00B54A65"/>
    <w:rsid w:val="00B54B3B"/>
    <w:rsid w:val="00B557A5"/>
    <w:rsid w:val="00B55E24"/>
    <w:rsid w:val="00B5652F"/>
    <w:rsid w:val="00B56E12"/>
    <w:rsid w:val="00B60032"/>
    <w:rsid w:val="00B611C9"/>
    <w:rsid w:val="00B6141A"/>
    <w:rsid w:val="00B6176A"/>
    <w:rsid w:val="00B61944"/>
    <w:rsid w:val="00B622CB"/>
    <w:rsid w:val="00B62CD7"/>
    <w:rsid w:val="00B63019"/>
    <w:rsid w:val="00B63AD2"/>
    <w:rsid w:val="00B63B59"/>
    <w:rsid w:val="00B63DDF"/>
    <w:rsid w:val="00B63FE4"/>
    <w:rsid w:val="00B65114"/>
    <w:rsid w:val="00B65C4E"/>
    <w:rsid w:val="00B660D4"/>
    <w:rsid w:val="00B66381"/>
    <w:rsid w:val="00B6639F"/>
    <w:rsid w:val="00B663A5"/>
    <w:rsid w:val="00B66592"/>
    <w:rsid w:val="00B672BA"/>
    <w:rsid w:val="00B678E2"/>
    <w:rsid w:val="00B67A57"/>
    <w:rsid w:val="00B67DC8"/>
    <w:rsid w:val="00B709F2"/>
    <w:rsid w:val="00B70F78"/>
    <w:rsid w:val="00B71102"/>
    <w:rsid w:val="00B7131A"/>
    <w:rsid w:val="00B714BC"/>
    <w:rsid w:val="00B71A45"/>
    <w:rsid w:val="00B72C9F"/>
    <w:rsid w:val="00B72E7F"/>
    <w:rsid w:val="00B731D6"/>
    <w:rsid w:val="00B73277"/>
    <w:rsid w:val="00B73571"/>
    <w:rsid w:val="00B73DCE"/>
    <w:rsid w:val="00B743E3"/>
    <w:rsid w:val="00B744DF"/>
    <w:rsid w:val="00B746C2"/>
    <w:rsid w:val="00B74A60"/>
    <w:rsid w:val="00B74B8A"/>
    <w:rsid w:val="00B74F5C"/>
    <w:rsid w:val="00B753BB"/>
    <w:rsid w:val="00B764D2"/>
    <w:rsid w:val="00B76D91"/>
    <w:rsid w:val="00B77544"/>
    <w:rsid w:val="00B7764E"/>
    <w:rsid w:val="00B776CA"/>
    <w:rsid w:val="00B80046"/>
    <w:rsid w:val="00B802D7"/>
    <w:rsid w:val="00B80379"/>
    <w:rsid w:val="00B8092D"/>
    <w:rsid w:val="00B80B65"/>
    <w:rsid w:val="00B81063"/>
    <w:rsid w:val="00B810F2"/>
    <w:rsid w:val="00B811F1"/>
    <w:rsid w:val="00B818D5"/>
    <w:rsid w:val="00B81B2B"/>
    <w:rsid w:val="00B821E5"/>
    <w:rsid w:val="00B821E8"/>
    <w:rsid w:val="00B82650"/>
    <w:rsid w:val="00B83D72"/>
    <w:rsid w:val="00B84479"/>
    <w:rsid w:val="00B84485"/>
    <w:rsid w:val="00B84A49"/>
    <w:rsid w:val="00B84C98"/>
    <w:rsid w:val="00B85300"/>
    <w:rsid w:val="00B8536B"/>
    <w:rsid w:val="00B85BA0"/>
    <w:rsid w:val="00B85BD8"/>
    <w:rsid w:val="00B85E70"/>
    <w:rsid w:val="00B8621B"/>
    <w:rsid w:val="00B86AB3"/>
    <w:rsid w:val="00B86C01"/>
    <w:rsid w:val="00B87EA2"/>
    <w:rsid w:val="00B90742"/>
    <w:rsid w:val="00B90BC1"/>
    <w:rsid w:val="00B912AA"/>
    <w:rsid w:val="00B91BAF"/>
    <w:rsid w:val="00B921EE"/>
    <w:rsid w:val="00B92AE4"/>
    <w:rsid w:val="00B92D5F"/>
    <w:rsid w:val="00B92E26"/>
    <w:rsid w:val="00B92E8C"/>
    <w:rsid w:val="00B934FA"/>
    <w:rsid w:val="00B9359B"/>
    <w:rsid w:val="00B93711"/>
    <w:rsid w:val="00B93D17"/>
    <w:rsid w:val="00B94038"/>
    <w:rsid w:val="00B9433C"/>
    <w:rsid w:val="00B94422"/>
    <w:rsid w:val="00B94796"/>
    <w:rsid w:val="00B94D4A"/>
    <w:rsid w:val="00B94E73"/>
    <w:rsid w:val="00B95764"/>
    <w:rsid w:val="00B96000"/>
    <w:rsid w:val="00B96552"/>
    <w:rsid w:val="00B966ED"/>
    <w:rsid w:val="00B96A43"/>
    <w:rsid w:val="00B96B69"/>
    <w:rsid w:val="00B96CD9"/>
    <w:rsid w:val="00B97121"/>
    <w:rsid w:val="00B979DE"/>
    <w:rsid w:val="00B97A72"/>
    <w:rsid w:val="00BA08D3"/>
    <w:rsid w:val="00BA0900"/>
    <w:rsid w:val="00BA0B28"/>
    <w:rsid w:val="00BA0BF9"/>
    <w:rsid w:val="00BA1906"/>
    <w:rsid w:val="00BA194C"/>
    <w:rsid w:val="00BA23F9"/>
    <w:rsid w:val="00BA2AD9"/>
    <w:rsid w:val="00BA3061"/>
    <w:rsid w:val="00BA31FA"/>
    <w:rsid w:val="00BA34F3"/>
    <w:rsid w:val="00BA3FC6"/>
    <w:rsid w:val="00BA419B"/>
    <w:rsid w:val="00BA43AD"/>
    <w:rsid w:val="00BA47EC"/>
    <w:rsid w:val="00BA4B73"/>
    <w:rsid w:val="00BA532A"/>
    <w:rsid w:val="00BA5550"/>
    <w:rsid w:val="00BA55D1"/>
    <w:rsid w:val="00BA5858"/>
    <w:rsid w:val="00BA5EAC"/>
    <w:rsid w:val="00BA6106"/>
    <w:rsid w:val="00BA661F"/>
    <w:rsid w:val="00BA6C80"/>
    <w:rsid w:val="00BA6DBC"/>
    <w:rsid w:val="00BA6DEA"/>
    <w:rsid w:val="00BA70D2"/>
    <w:rsid w:val="00BB0136"/>
    <w:rsid w:val="00BB06FD"/>
    <w:rsid w:val="00BB097E"/>
    <w:rsid w:val="00BB1A4B"/>
    <w:rsid w:val="00BB1ECE"/>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A0F"/>
    <w:rsid w:val="00BC1B06"/>
    <w:rsid w:val="00BC1EF0"/>
    <w:rsid w:val="00BC2132"/>
    <w:rsid w:val="00BC25F0"/>
    <w:rsid w:val="00BC2DB4"/>
    <w:rsid w:val="00BC2E1B"/>
    <w:rsid w:val="00BC2E43"/>
    <w:rsid w:val="00BC2F89"/>
    <w:rsid w:val="00BC3325"/>
    <w:rsid w:val="00BC33E3"/>
    <w:rsid w:val="00BC35A0"/>
    <w:rsid w:val="00BC3885"/>
    <w:rsid w:val="00BC480A"/>
    <w:rsid w:val="00BC49EC"/>
    <w:rsid w:val="00BC4DD5"/>
    <w:rsid w:val="00BC53A7"/>
    <w:rsid w:val="00BC53B9"/>
    <w:rsid w:val="00BC5C5B"/>
    <w:rsid w:val="00BC5E90"/>
    <w:rsid w:val="00BC6232"/>
    <w:rsid w:val="00BC6D21"/>
    <w:rsid w:val="00BC7086"/>
    <w:rsid w:val="00BC7C6B"/>
    <w:rsid w:val="00BD0D73"/>
    <w:rsid w:val="00BD1398"/>
    <w:rsid w:val="00BD1E53"/>
    <w:rsid w:val="00BD1EA6"/>
    <w:rsid w:val="00BD3A87"/>
    <w:rsid w:val="00BD3C74"/>
    <w:rsid w:val="00BD44D1"/>
    <w:rsid w:val="00BD47F7"/>
    <w:rsid w:val="00BD552B"/>
    <w:rsid w:val="00BD5552"/>
    <w:rsid w:val="00BD5671"/>
    <w:rsid w:val="00BD5745"/>
    <w:rsid w:val="00BD5A63"/>
    <w:rsid w:val="00BD605C"/>
    <w:rsid w:val="00BD676D"/>
    <w:rsid w:val="00BD6891"/>
    <w:rsid w:val="00BD68F2"/>
    <w:rsid w:val="00BD6C92"/>
    <w:rsid w:val="00BD6F64"/>
    <w:rsid w:val="00BD70E4"/>
    <w:rsid w:val="00BD71C6"/>
    <w:rsid w:val="00BD7455"/>
    <w:rsid w:val="00BD7EEB"/>
    <w:rsid w:val="00BE07DC"/>
    <w:rsid w:val="00BE0D05"/>
    <w:rsid w:val="00BE1663"/>
    <w:rsid w:val="00BE188A"/>
    <w:rsid w:val="00BE1940"/>
    <w:rsid w:val="00BE21A5"/>
    <w:rsid w:val="00BE2CB5"/>
    <w:rsid w:val="00BE2D41"/>
    <w:rsid w:val="00BE3D9E"/>
    <w:rsid w:val="00BE481F"/>
    <w:rsid w:val="00BE4EAA"/>
    <w:rsid w:val="00BE4F48"/>
    <w:rsid w:val="00BE531D"/>
    <w:rsid w:val="00BE570E"/>
    <w:rsid w:val="00BE57AD"/>
    <w:rsid w:val="00BE5C6B"/>
    <w:rsid w:val="00BE5D3F"/>
    <w:rsid w:val="00BE6A0E"/>
    <w:rsid w:val="00BE7495"/>
    <w:rsid w:val="00BE7711"/>
    <w:rsid w:val="00BE7F74"/>
    <w:rsid w:val="00BF052E"/>
    <w:rsid w:val="00BF0A4D"/>
    <w:rsid w:val="00BF0B1A"/>
    <w:rsid w:val="00BF10A7"/>
    <w:rsid w:val="00BF11D0"/>
    <w:rsid w:val="00BF2598"/>
    <w:rsid w:val="00BF2C12"/>
    <w:rsid w:val="00BF2F53"/>
    <w:rsid w:val="00BF3AFD"/>
    <w:rsid w:val="00BF3C84"/>
    <w:rsid w:val="00BF3E77"/>
    <w:rsid w:val="00BF3E8F"/>
    <w:rsid w:val="00BF40CB"/>
    <w:rsid w:val="00BF4870"/>
    <w:rsid w:val="00BF522C"/>
    <w:rsid w:val="00BF5257"/>
    <w:rsid w:val="00BF52C1"/>
    <w:rsid w:val="00BF5317"/>
    <w:rsid w:val="00BF538A"/>
    <w:rsid w:val="00BF5C5F"/>
    <w:rsid w:val="00BF5D43"/>
    <w:rsid w:val="00BF5D75"/>
    <w:rsid w:val="00BF6D93"/>
    <w:rsid w:val="00BF7060"/>
    <w:rsid w:val="00BF77ED"/>
    <w:rsid w:val="00BF783D"/>
    <w:rsid w:val="00C00603"/>
    <w:rsid w:val="00C006F5"/>
    <w:rsid w:val="00C0082A"/>
    <w:rsid w:val="00C0161B"/>
    <w:rsid w:val="00C024F2"/>
    <w:rsid w:val="00C028F8"/>
    <w:rsid w:val="00C02A1A"/>
    <w:rsid w:val="00C03845"/>
    <w:rsid w:val="00C03871"/>
    <w:rsid w:val="00C038E7"/>
    <w:rsid w:val="00C03C4B"/>
    <w:rsid w:val="00C03F7E"/>
    <w:rsid w:val="00C04283"/>
    <w:rsid w:val="00C042B2"/>
    <w:rsid w:val="00C04549"/>
    <w:rsid w:val="00C04F5B"/>
    <w:rsid w:val="00C054F2"/>
    <w:rsid w:val="00C05C40"/>
    <w:rsid w:val="00C05EF7"/>
    <w:rsid w:val="00C06060"/>
    <w:rsid w:val="00C06096"/>
    <w:rsid w:val="00C062FF"/>
    <w:rsid w:val="00C0666B"/>
    <w:rsid w:val="00C06A93"/>
    <w:rsid w:val="00C06E13"/>
    <w:rsid w:val="00C10154"/>
    <w:rsid w:val="00C108D7"/>
    <w:rsid w:val="00C111B9"/>
    <w:rsid w:val="00C11EB4"/>
    <w:rsid w:val="00C11F3C"/>
    <w:rsid w:val="00C120BB"/>
    <w:rsid w:val="00C124A6"/>
    <w:rsid w:val="00C130B5"/>
    <w:rsid w:val="00C1367B"/>
    <w:rsid w:val="00C13A81"/>
    <w:rsid w:val="00C140CE"/>
    <w:rsid w:val="00C14EBA"/>
    <w:rsid w:val="00C14F3B"/>
    <w:rsid w:val="00C14F6F"/>
    <w:rsid w:val="00C15973"/>
    <w:rsid w:val="00C15B07"/>
    <w:rsid w:val="00C15B18"/>
    <w:rsid w:val="00C15B57"/>
    <w:rsid w:val="00C20C72"/>
    <w:rsid w:val="00C21833"/>
    <w:rsid w:val="00C21865"/>
    <w:rsid w:val="00C218F8"/>
    <w:rsid w:val="00C21D87"/>
    <w:rsid w:val="00C21F74"/>
    <w:rsid w:val="00C21FC8"/>
    <w:rsid w:val="00C21FCD"/>
    <w:rsid w:val="00C22B07"/>
    <w:rsid w:val="00C23035"/>
    <w:rsid w:val="00C23135"/>
    <w:rsid w:val="00C23333"/>
    <w:rsid w:val="00C2345F"/>
    <w:rsid w:val="00C23506"/>
    <w:rsid w:val="00C235E6"/>
    <w:rsid w:val="00C245EC"/>
    <w:rsid w:val="00C2479E"/>
    <w:rsid w:val="00C24A74"/>
    <w:rsid w:val="00C24AD0"/>
    <w:rsid w:val="00C24AE3"/>
    <w:rsid w:val="00C24B7D"/>
    <w:rsid w:val="00C24B9F"/>
    <w:rsid w:val="00C25047"/>
    <w:rsid w:val="00C250F1"/>
    <w:rsid w:val="00C25242"/>
    <w:rsid w:val="00C25325"/>
    <w:rsid w:val="00C25492"/>
    <w:rsid w:val="00C25966"/>
    <w:rsid w:val="00C25D25"/>
    <w:rsid w:val="00C261D1"/>
    <w:rsid w:val="00C26ADB"/>
    <w:rsid w:val="00C26D07"/>
    <w:rsid w:val="00C2705E"/>
    <w:rsid w:val="00C273C8"/>
    <w:rsid w:val="00C27626"/>
    <w:rsid w:val="00C278DC"/>
    <w:rsid w:val="00C3044A"/>
    <w:rsid w:val="00C310F2"/>
    <w:rsid w:val="00C31889"/>
    <w:rsid w:val="00C3189C"/>
    <w:rsid w:val="00C321FA"/>
    <w:rsid w:val="00C32701"/>
    <w:rsid w:val="00C32EB5"/>
    <w:rsid w:val="00C339EC"/>
    <w:rsid w:val="00C33BA5"/>
    <w:rsid w:val="00C33D8E"/>
    <w:rsid w:val="00C33EFC"/>
    <w:rsid w:val="00C34B62"/>
    <w:rsid w:val="00C34D68"/>
    <w:rsid w:val="00C35374"/>
    <w:rsid w:val="00C353C3"/>
    <w:rsid w:val="00C35567"/>
    <w:rsid w:val="00C35698"/>
    <w:rsid w:val="00C358CC"/>
    <w:rsid w:val="00C35FAA"/>
    <w:rsid w:val="00C360AD"/>
    <w:rsid w:val="00C3645C"/>
    <w:rsid w:val="00C364E1"/>
    <w:rsid w:val="00C366A0"/>
    <w:rsid w:val="00C36CB2"/>
    <w:rsid w:val="00C36CCB"/>
    <w:rsid w:val="00C36FE8"/>
    <w:rsid w:val="00C37166"/>
    <w:rsid w:val="00C376E4"/>
    <w:rsid w:val="00C37A41"/>
    <w:rsid w:val="00C401D1"/>
    <w:rsid w:val="00C4024E"/>
    <w:rsid w:val="00C4054F"/>
    <w:rsid w:val="00C407B4"/>
    <w:rsid w:val="00C40C3A"/>
    <w:rsid w:val="00C40ED7"/>
    <w:rsid w:val="00C4114F"/>
    <w:rsid w:val="00C4143D"/>
    <w:rsid w:val="00C414B4"/>
    <w:rsid w:val="00C41C16"/>
    <w:rsid w:val="00C41F01"/>
    <w:rsid w:val="00C42A0A"/>
    <w:rsid w:val="00C42AA7"/>
    <w:rsid w:val="00C42F0C"/>
    <w:rsid w:val="00C439A1"/>
    <w:rsid w:val="00C43DF3"/>
    <w:rsid w:val="00C44278"/>
    <w:rsid w:val="00C44F37"/>
    <w:rsid w:val="00C45931"/>
    <w:rsid w:val="00C46709"/>
    <w:rsid w:val="00C46F65"/>
    <w:rsid w:val="00C47024"/>
    <w:rsid w:val="00C47454"/>
    <w:rsid w:val="00C47A4A"/>
    <w:rsid w:val="00C5096B"/>
    <w:rsid w:val="00C50E7F"/>
    <w:rsid w:val="00C51399"/>
    <w:rsid w:val="00C51A84"/>
    <w:rsid w:val="00C5281F"/>
    <w:rsid w:val="00C5295C"/>
    <w:rsid w:val="00C52F92"/>
    <w:rsid w:val="00C53B42"/>
    <w:rsid w:val="00C542D2"/>
    <w:rsid w:val="00C54DF6"/>
    <w:rsid w:val="00C55164"/>
    <w:rsid w:val="00C5540F"/>
    <w:rsid w:val="00C55B7E"/>
    <w:rsid w:val="00C55D58"/>
    <w:rsid w:val="00C55F8E"/>
    <w:rsid w:val="00C563AF"/>
    <w:rsid w:val="00C56E12"/>
    <w:rsid w:val="00C578BC"/>
    <w:rsid w:val="00C57921"/>
    <w:rsid w:val="00C609BE"/>
    <w:rsid w:val="00C60E33"/>
    <w:rsid w:val="00C61A74"/>
    <w:rsid w:val="00C6215A"/>
    <w:rsid w:val="00C623BB"/>
    <w:rsid w:val="00C6272B"/>
    <w:rsid w:val="00C62CE3"/>
    <w:rsid w:val="00C62F02"/>
    <w:rsid w:val="00C633AB"/>
    <w:rsid w:val="00C63598"/>
    <w:rsid w:val="00C63A3E"/>
    <w:rsid w:val="00C63EF5"/>
    <w:rsid w:val="00C64380"/>
    <w:rsid w:val="00C648AA"/>
    <w:rsid w:val="00C64B38"/>
    <w:rsid w:val="00C64BD3"/>
    <w:rsid w:val="00C64D62"/>
    <w:rsid w:val="00C65CE7"/>
    <w:rsid w:val="00C66105"/>
    <w:rsid w:val="00C66504"/>
    <w:rsid w:val="00C6659B"/>
    <w:rsid w:val="00C66830"/>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4B8"/>
    <w:rsid w:val="00C74C13"/>
    <w:rsid w:val="00C74F7E"/>
    <w:rsid w:val="00C752FF"/>
    <w:rsid w:val="00C7543E"/>
    <w:rsid w:val="00C7571C"/>
    <w:rsid w:val="00C75A97"/>
    <w:rsid w:val="00C75F72"/>
    <w:rsid w:val="00C7638D"/>
    <w:rsid w:val="00C763BF"/>
    <w:rsid w:val="00C763D0"/>
    <w:rsid w:val="00C76819"/>
    <w:rsid w:val="00C77BA3"/>
    <w:rsid w:val="00C8061F"/>
    <w:rsid w:val="00C8094F"/>
    <w:rsid w:val="00C80961"/>
    <w:rsid w:val="00C80CEB"/>
    <w:rsid w:val="00C80ED2"/>
    <w:rsid w:val="00C831FB"/>
    <w:rsid w:val="00C8324E"/>
    <w:rsid w:val="00C832B6"/>
    <w:rsid w:val="00C83B5F"/>
    <w:rsid w:val="00C847D0"/>
    <w:rsid w:val="00C85270"/>
    <w:rsid w:val="00C8592E"/>
    <w:rsid w:val="00C859AB"/>
    <w:rsid w:val="00C85DC6"/>
    <w:rsid w:val="00C861D0"/>
    <w:rsid w:val="00C86B69"/>
    <w:rsid w:val="00C86D38"/>
    <w:rsid w:val="00C87524"/>
    <w:rsid w:val="00C87B55"/>
    <w:rsid w:val="00C903C8"/>
    <w:rsid w:val="00C90BFB"/>
    <w:rsid w:val="00C9137D"/>
    <w:rsid w:val="00C917DC"/>
    <w:rsid w:val="00C9189E"/>
    <w:rsid w:val="00C91C13"/>
    <w:rsid w:val="00C920CD"/>
    <w:rsid w:val="00C92450"/>
    <w:rsid w:val="00C925DA"/>
    <w:rsid w:val="00C92974"/>
    <w:rsid w:val="00C9399A"/>
    <w:rsid w:val="00C95193"/>
    <w:rsid w:val="00C95597"/>
    <w:rsid w:val="00C95AA7"/>
    <w:rsid w:val="00C95BE2"/>
    <w:rsid w:val="00C96343"/>
    <w:rsid w:val="00C97214"/>
    <w:rsid w:val="00C97F6E"/>
    <w:rsid w:val="00CA0066"/>
    <w:rsid w:val="00CA02ED"/>
    <w:rsid w:val="00CA15A8"/>
    <w:rsid w:val="00CA17B7"/>
    <w:rsid w:val="00CA1D96"/>
    <w:rsid w:val="00CA2EA9"/>
    <w:rsid w:val="00CA30AD"/>
    <w:rsid w:val="00CA3306"/>
    <w:rsid w:val="00CA339E"/>
    <w:rsid w:val="00CA361F"/>
    <w:rsid w:val="00CA3B35"/>
    <w:rsid w:val="00CA3F2F"/>
    <w:rsid w:val="00CA3F37"/>
    <w:rsid w:val="00CA4993"/>
    <w:rsid w:val="00CA4EDD"/>
    <w:rsid w:val="00CA5B85"/>
    <w:rsid w:val="00CA68FD"/>
    <w:rsid w:val="00CA6F9D"/>
    <w:rsid w:val="00CB01D8"/>
    <w:rsid w:val="00CB04FB"/>
    <w:rsid w:val="00CB08DC"/>
    <w:rsid w:val="00CB098F"/>
    <w:rsid w:val="00CB176C"/>
    <w:rsid w:val="00CB1C9D"/>
    <w:rsid w:val="00CB2260"/>
    <w:rsid w:val="00CB2386"/>
    <w:rsid w:val="00CB25C8"/>
    <w:rsid w:val="00CB2BDE"/>
    <w:rsid w:val="00CB2BEA"/>
    <w:rsid w:val="00CB2C92"/>
    <w:rsid w:val="00CB2DB6"/>
    <w:rsid w:val="00CB2F89"/>
    <w:rsid w:val="00CB42BC"/>
    <w:rsid w:val="00CB42C9"/>
    <w:rsid w:val="00CB4C54"/>
    <w:rsid w:val="00CB588D"/>
    <w:rsid w:val="00CB5976"/>
    <w:rsid w:val="00CB6542"/>
    <w:rsid w:val="00CB6B10"/>
    <w:rsid w:val="00CB6C6B"/>
    <w:rsid w:val="00CB720A"/>
    <w:rsid w:val="00CB7C0E"/>
    <w:rsid w:val="00CC1000"/>
    <w:rsid w:val="00CC15A6"/>
    <w:rsid w:val="00CC1B17"/>
    <w:rsid w:val="00CC1CAD"/>
    <w:rsid w:val="00CC2082"/>
    <w:rsid w:val="00CC2715"/>
    <w:rsid w:val="00CC2F9B"/>
    <w:rsid w:val="00CC30BB"/>
    <w:rsid w:val="00CC3232"/>
    <w:rsid w:val="00CC35F9"/>
    <w:rsid w:val="00CC3623"/>
    <w:rsid w:val="00CC3AC9"/>
    <w:rsid w:val="00CC4182"/>
    <w:rsid w:val="00CC4219"/>
    <w:rsid w:val="00CC44A4"/>
    <w:rsid w:val="00CC4681"/>
    <w:rsid w:val="00CC4A08"/>
    <w:rsid w:val="00CC4A61"/>
    <w:rsid w:val="00CC4BB5"/>
    <w:rsid w:val="00CC5604"/>
    <w:rsid w:val="00CC5987"/>
    <w:rsid w:val="00CC6514"/>
    <w:rsid w:val="00CC65D8"/>
    <w:rsid w:val="00CC6675"/>
    <w:rsid w:val="00CC70F8"/>
    <w:rsid w:val="00CC7226"/>
    <w:rsid w:val="00CC7B90"/>
    <w:rsid w:val="00CD0822"/>
    <w:rsid w:val="00CD14B6"/>
    <w:rsid w:val="00CD18D2"/>
    <w:rsid w:val="00CD1D32"/>
    <w:rsid w:val="00CD1E94"/>
    <w:rsid w:val="00CD2576"/>
    <w:rsid w:val="00CD2B9A"/>
    <w:rsid w:val="00CD2FE1"/>
    <w:rsid w:val="00CD30A4"/>
    <w:rsid w:val="00CD30DF"/>
    <w:rsid w:val="00CD3615"/>
    <w:rsid w:val="00CD399E"/>
    <w:rsid w:val="00CD3CEC"/>
    <w:rsid w:val="00CD3D11"/>
    <w:rsid w:val="00CD3F0B"/>
    <w:rsid w:val="00CD41DA"/>
    <w:rsid w:val="00CD4205"/>
    <w:rsid w:val="00CD4365"/>
    <w:rsid w:val="00CD46C2"/>
    <w:rsid w:val="00CD4BBB"/>
    <w:rsid w:val="00CD54FA"/>
    <w:rsid w:val="00CD5822"/>
    <w:rsid w:val="00CD5D92"/>
    <w:rsid w:val="00CD64FD"/>
    <w:rsid w:val="00CD6604"/>
    <w:rsid w:val="00CD6DB2"/>
    <w:rsid w:val="00CD6EAD"/>
    <w:rsid w:val="00CD75E7"/>
    <w:rsid w:val="00CD76F9"/>
    <w:rsid w:val="00CD79FD"/>
    <w:rsid w:val="00CD7D24"/>
    <w:rsid w:val="00CD7E3D"/>
    <w:rsid w:val="00CE08AE"/>
    <w:rsid w:val="00CE0900"/>
    <w:rsid w:val="00CE0FAC"/>
    <w:rsid w:val="00CE1203"/>
    <w:rsid w:val="00CE1521"/>
    <w:rsid w:val="00CE1C50"/>
    <w:rsid w:val="00CE1FE6"/>
    <w:rsid w:val="00CE202C"/>
    <w:rsid w:val="00CE22C5"/>
    <w:rsid w:val="00CE32DA"/>
    <w:rsid w:val="00CE3942"/>
    <w:rsid w:val="00CE3A85"/>
    <w:rsid w:val="00CE3DEE"/>
    <w:rsid w:val="00CE3EC6"/>
    <w:rsid w:val="00CE3F09"/>
    <w:rsid w:val="00CE415A"/>
    <w:rsid w:val="00CE45F8"/>
    <w:rsid w:val="00CE4927"/>
    <w:rsid w:val="00CE55E4"/>
    <w:rsid w:val="00CE5CD9"/>
    <w:rsid w:val="00CE5E74"/>
    <w:rsid w:val="00CE668F"/>
    <w:rsid w:val="00CE677D"/>
    <w:rsid w:val="00CE6A39"/>
    <w:rsid w:val="00CE6E2B"/>
    <w:rsid w:val="00CE74D2"/>
    <w:rsid w:val="00CE77AF"/>
    <w:rsid w:val="00CE7D01"/>
    <w:rsid w:val="00CF02A1"/>
    <w:rsid w:val="00CF0494"/>
    <w:rsid w:val="00CF07FF"/>
    <w:rsid w:val="00CF083F"/>
    <w:rsid w:val="00CF090C"/>
    <w:rsid w:val="00CF146E"/>
    <w:rsid w:val="00CF1E63"/>
    <w:rsid w:val="00CF1FEE"/>
    <w:rsid w:val="00CF258F"/>
    <w:rsid w:val="00CF26E4"/>
    <w:rsid w:val="00CF29E0"/>
    <w:rsid w:val="00CF2E36"/>
    <w:rsid w:val="00CF2F3D"/>
    <w:rsid w:val="00CF31E9"/>
    <w:rsid w:val="00CF31FF"/>
    <w:rsid w:val="00CF33E6"/>
    <w:rsid w:val="00CF3E85"/>
    <w:rsid w:val="00CF4366"/>
    <w:rsid w:val="00CF45B9"/>
    <w:rsid w:val="00CF4983"/>
    <w:rsid w:val="00CF4A69"/>
    <w:rsid w:val="00CF4DA8"/>
    <w:rsid w:val="00CF5163"/>
    <w:rsid w:val="00CF5164"/>
    <w:rsid w:val="00CF5E52"/>
    <w:rsid w:val="00CF6B89"/>
    <w:rsid w:val="00CF7255"/>
    <w:rsid w:val="00CF753F"/>
    <w:rsid w:val="00CF7740"/>
    <w:rsid w:val="00CF7B14"/>
    <w:rsid w:val="00CF7D7D"/>
    <w:rsid w:val="00CF7DB9"/>
    <w:rsid w:val="00CF7E43"/>
    <w:rsid w:val="00CF7EA1"/>
    <w:rsid w:val="00D005D8"/>
    <w:rsid w:val="00D00B8E"/>
    <w:rsid w:val="00D00D40"/>
    <w:rsid w:val="00D00D5A"/>
    <w:rsid w:val="00D014B7"/>
    <w:rsid w:val="00D01826"/>
    <w:rsid w:val="00D02DC0"/>
    <w:rsid w:val="00D03149"/>
    <w:rsid w:val="00D0332D"/>
    <w:rsid w:val="00D04826"/>
    <w:rsid w:val="00D04C47"/>
    <w:rsid w:val="00D04CC4"/>
    <w:rsid w:val="00D04F77"/>
    <w:rsid w:val="00D05673"/>
    <w:rsid w:val="00D056D8"/>
    <w:rsid w:val="00D060BD"/>
    <w:rsid w:val="00D063CA"/>
    <w:rsid w:val="00D06647"/>
    <w:rsid w:val="00D06C13"/>
    <w:rsid w:val="00D06CA1"/>
    <w:rsid w:val="00D06E09"/>
    <w:rsid w:val="00D07170"/>
    <w:rsid w:val="00D072C6"/>
    <w:rsid w:val="00D1088B"/>
    <w:rsid w:val="00D111FA"/>
    <w:rsid w:val="00D11512"/>
    <w:rsid w:val="00D11C2A"/>
    <w:rsid w:val="00D12224"/>
    <w:rsid w:val="00D123EC"/>
    <w:rsid w:val="00D135ED"/>
    <w:rsid w:val="00D13778"/>
    <w:rsid w:val="00D1382B"/>
    <w:rsid w:val="00D13A44"/>
    <w:rsid w:val="00D140CA"/>
    <w:rsid w:val="00D1450E"/>
    <w:rsid w:val="00D14819"/>
    <w:rsid w:val="00D14EE9"/>
    <w:rsid w:val="00D15389"/>
    <w:rsid w:val="00D157FC"/>
    <w:rsid w:val="00D15984"/>
    <w:rsid w:val="00D16135"/>
    <w:rsid w:val="00D1645D"/>
    <w:rsid w:val="00D16982"/>
    <w:rsid w:val="00D16996"/>
    <w:rsid w:val="00D17303"/>
    <w:rsid w:val="00D17313"/>
    <w:rsid w:val="00D17375"/>
    <w:rsid w:val="00D17475"/>
    <w:rsid w:val="00D17549"/>
    <w:rsid w:val="00D17622"/>
    <w:rsid w:val="00D177BC"/>
    <w:rsid w:val="00D17971"/>
    <w:rsid w:val="00D17991"/>
    <w:rsid w:val="00D2001C"/>
    <w:rsid w:val="00D20118"/>
    <w:rsid w:val="00D202C6"/>
    <w:rsid w:val="00D20391"/>
    <w:rsid w:val="00D20A80"/>
    <w:rsid w:val="00D20CEA"/>
    <w:rsid w:val="00D214A8"/>
    <w:rsid w:val="00D216CB"/>
    <w:rsid w:val="00D219A0"/>
    <w:rsid w:val="00D21A4D"/>
    <w:rsid w:val="00D23125"/>
    <w:rsid w:val="00D2360A"/>
    <w:rsid w:val="00D238E6"/>
    <w:rsid w:val="00D245E7"/>
    <w:rsid w:val="00D24A1E"/>
    <w:rsid w:val="00D24A5E"/>
    <w:rsid w:val="00D24CE7"/>
    <w:rsid w:val="00D24E90"/>
    <w:rsid w:val="00D25195"/>
    <w:rsid w:val="00D251FF"/>
    <w:rsid w:val="00D255B4"/>
    <w:rsid w:val="00D2598F"/>
    <w:rsid w:val="00D25C7C"/>
    <w:rsid w:val="00D26530"/>
    <w:rsid w:val="00D268C3"/>
    <w:rsid w:val="00D26D4D"/>
    <w:rsid w:val="00D27142"/>
    <w:rsid w:val="00D2716B"/>
    <w:rsid w:val="00D277F5"/>
    <w:rsid w:val="00D27928"/>
    <w:rsid w:val="00D3021C"/>
    <w:rsid w:val="00D30360"/>
    <w:rsid w:val="00D304E1"/>
    <w:rsid w:val="00D30D8D"/>
    <w:rsid w:val="00D313A5"/>
    <w:rsid w:val="00D3148B"/>
    <w:rsid w:val="00D3175C"/>
    <w:rsid w:val="00D31B0F"/>
    <w:rsid w:val="00D31C71"/>
    <w:rsid w:val="00D3246C"/>
    <w:rsid w:val="00D32AE2"/>
    <w:rsid w:val="00D32EC0"/>
    <w:rsid w:val="00D32F50"/>
    <w:rsid w:val="00D33647"/>
    <w:rsid w:val="00D33CB9"/>
    <w:rsid w:val="00D342E5"/>
    <w:rsid w:val="00D34B80"/>
    <w:rsid w:val="00D3532D"/>
    <w:rsid w:val="00D354A9"/>
    <w:rsid w:val="00D358D9"/>
    <w:rsid w:val="00D35C5D"/>
    <w:rsid w:val="00D36700"/>
    <w:rsid w:val="00D3694B"/>
    <w:rsid w:val="00D36A52"/>
    <w:rsid w:val="00D3744B"/>
    <w:rsid w:val="00D37C37"/>
    <w:rsid w:val="00D40286"/>
    <w:rsid w:val="00D40499"/>
    <w:rsid w:val="00D410DC"/>
    <w:rsid w:val="00D4138B"/>
    <w:rsid w:val="00D4178D"/>
    <w:rsid w:val="00D41A7A"/>
    <w:rsid w:val="00D42BA4"/>
    <w:rsid w:val="00D42C88"/>
    <w:rsid w:val="00D43111"/>
    <w:rsid w:val="00D43491"/>
    <w:rsid w:val="00D43727"/>
    <w:rsid w:val="00D4375F"/>
    <w:rsid w:val="00D44B77"/>
    <w:rsid w:val="00D4543F"/>
    <w:rsid w:val="00D4602E"/>
    <w:rsid w:val="00D4618F"/>
    <w:rsid w:val="00D465B1"/>
    <w:rsid w:val="00D46823"/>
    <w:rsid w:val="00D46A93"/>
    <w:rsid w:val="00D46B99"/>
    <w:rsid w:val="00D4764A"/>
    <w:rsid w:val="00D47C4F"/>
    <w:rsid w:val="00D502C7"/>
    <w:rsid w:val="00D50924"/>
    <w:rsid w:val="00D51726"/>
    <w:rsid w:val="00D51CE9"/>
    <w:rsid w:val="00D5264E"/>
    <w:rsid w:val="00D52657"/>
    <w:rsid w:val="00D53278"/>
    <w:rsid w:val="00D534E9"/>
    <w:rsid w:val="00D536AE"/>
    <w:rsid w:val="00D541E8"/>
    <w:rsid w:val="00D5536B"/>
    <w:rsid w:val="00D55654"/>
    <w:rsid w:val="00D55F24"/>
    <w:rsid w:val="00D563AE"/>
    <w:rsid w:val="00D56435"/>
    <w:rsid w:val="00D564AB"/>
    <w:rsid w:val="00D564C3"/>
    <w:rsid w:val="00D56B46"/>
    <w:rsid w:val="00D5772D"/>
    <w:rsid w:val="00D57958"/>
    <w:rsid w:val="00D57BBA"/>
    <w:rsid w:val="00D57C0D"/>
    <w:rsid w:val="00D57D0E"/>
    <w:rsid w:val="00D600BB"/>
    <w:rsid w:val="00D60494"/>
    <w:rsid w:val="00D60A43"/>
    <w:rsid w:val="00D60C8C"/>
    <w:rsid w:val="00D60E36"/>
    <w:rsid w:val="00D61731"/>
    <w:rsid w:val="00D618DE"/>
    <w:rsid w:val="00D619F7"/>
    <w:rsid w:val="00D62848"/>
    <w:rsid w:val="00D6289B"/>
    <w:rsid w:val="00D62954"/>
    <w:rsid w:val="00D6299A"/>
    <w:rsid w:val="00D62A28"/>
    <w:rsid w:val="00D63332"/>
    <w:rsid w:val="00D6338E"/>
    <w:rsid w:val="00D6341F"/>
    <w:rsid w:val="00D64890"/>
    <w:rsid w:val="00D64BBC"/>
    <w:rsid w:val="00D65059"/>
    <w:rsid w:val="00D651EA"/>
    <w:rsid w:val="00D6547D"/>
    <w:rsid w:val="00D657F0"/>
    <w:rsid w:val="00D66003"/>
    <w:rsid w:val="00D66D7D"/>
    <w:rsid w:val="00D66DA7"/>
    <w:rsid w:val="00D6759D"/>
    <w:rsid w:val="00D67623"/>
    <w:rsid w:val="00D67703"/>
    <w:rsid w:val="00D67AED"/>
    <w:rsid w:val="00D67C16"/>
    <w:rsid w:val="00D705B7"/>
    <w:rsid w:val="00D7060B"/>
    <w:rsid w:val="00D71829"/>
    <w:rsid w:val="00D7237C"/>
    <w:rsid w:val="00D72653"/>
    <w:rsid w:val="00D727D3"/>
    <w:rsid w:val="00D72B0F"/>
    <w:rsid w:val="00D72DBF"/>
    <w:rsid w:val="00D73D10"/>
    <w:rsid w:val="00D74F06"/>
    <w:rsid w:val="00D757B3"/>
    <w:rsid w:val="00D76686"/>
    <w:rsid w:val="00D76786"/>
    <w:rsid w:val="00D7689D"/>
    <w:rsid w:val="00D76D66"/>
    <w:rsid w:val="00D76F9A"/>
    <w:rsid w:val="00D7724E"/>
    <w:rsid w:val="00D773AC"/>
    <w:rsid w:val="00D77DDC"/>
    <w:rsid w:val="00D80263"/>
    <w:rsid w:val="00D8039F"/>
    <w:rsid w:val="00D80853"/>
    <w:rsid w:val="00D809BC"/>
    <w:rsid w:val="00D80F1F"/>
    <w:rsid w:val="00D80FA8"/>
    <w:rsid w:val="00D8126F"/>
    <w:rsid w:val="00D812EB"/>
    <w:rsid w:val="00D81C75"/>
    <w:rsid w:val="00D81DBB"/>
    <w:rsid w:val="00D81F9B"/>
    <w:rsid w:val="00D8358B"/>
    <w:rsid w:val="00D83F4E"/>
    <w:rsid w:val="00D84667"/>
    <w:rsid w:val="00D84B68"/>
    <w:rsid w:val="00D84B72"/>
    <w:rsid w:val="00D856A3"/>
    <w:rsid w:val="00D85E41"/>
    <w:rsid w:val="00D86040"/>
    <w:rsid w:val="00D86404"/>
    <w:rsid w:val="00D86AB4"/>
    <w:rsid w:val="00D86ADB"/>
    <w:rsid w:val="00D86BEE"/>
    <w:rsid w:val="00D900BC"/>
    <w:rsid w:val="00D90BA6"/>
    <w:rsid w:val="00D90BF0"/>
    <w:rsid w:val="00D90D81"/>
    <w:rsid w:val="00D90E7B"/>
    <w:rsid w:val="00D91123"/>
    <w:rsid w:val="00D91761"/>
    <w:rsid w:val="00D91850"/>
    <w:rsid w:val="00D91A4B"/>
    <w:rsid w:val="00D91AC5"/>
    <w:rsid w:val="00D91DDD"/>
    <w:rsid w:val="00D921DA"/>
    <w:rsid w:val="00D92A35"/>
    <w:rsid w:val="00D92B89"/>
    <w:rsid w:val="00D92F59"/>
    <w:rsid w:val="00D93818"/>
    <w:rsid w:val="00D93D6F"/>
    <w:rsid w:val="00D93D9F"/>
    <w:rsid w:val="00D94308"/>
    <w:rsid w:val="00D94659"/>
    <w:rsid w:val="00D9492A"/>
    <w:rsid w:val="00D95376"/>
    <w:rsid w:val="00D95461"/>
    <w:rsid w:val="00D96337"/>
    <w:rsid w:val="00D96566"/>
    <w:rsid w:val="00D965BA"/>
    <w:rsid w:val="00D9688D"/>
    <w:rsid w:val="00D971F9"/>
    <w:rsid w:val="00D97B12"/>
    <w:rsid w:val="00DA0287"/>
    <w:rsid w:val="00DA0412"/>
    <w:rsid w:val="00DA082B"/>
    <w:rsid w:val="00DA0AFB"/>
    <w:rsid w:val="00DA0B24"/>
    <w:rsid w:val="00DA1301"/>
    <w:rsid w:val="00DA2037"/>
    <w:rsid w:val="00DA204B"/>
    <w:rsid w:val="00DA2538"/>
    <w:rsid w:val="00DA2A95"/>
    <w:rsid w:val="00DA2B71"/>
    <w:rsid w:val="00DA3310"/>
    <w:rsid w:val="00DA35B5"/>
    <w:rsid w:val="00DA3615"/>
    <w:rsid w:val="00DA36AB"/>
    <w:rsid w:val="00DA3A7E"/>
    <w:rsid w:val="00DA3E0C"/>
    <w:rsid w:val="00DA4589"/>
    <w:rsid w:val="00DA49A6"/>
    <w:rsid w:val="00DA57FD"/>
    <w:rsid w:val="00DA5D74"/>
    <w:rsid w:val="00DA68C1"/>
    <w:rsid w:val="00DA6946"/>
    <w:rsid w:val="00DA7454"/>
    <w:rsid w:val="00DB01DE"/>
    <w:rsid w:val="00DB0616"/>
    <w:rsid w:val="00DB0C9B"/>
    <w:rsid w:val="00DB0F75"/>
    <w:rsid w:val="00DB1062"/>
    <w:rsid w:val="00DB1479"/>
    <w:rsid w:val="00DB1FF2"/>
    <w:rsid w:val="00DB23CD"/>
    <w:rsid w:val="00DB2769"/>
    <w:rsid w:val="00DB2E10"/>
    <w:rsid w:val="00DB3310"/>
    <w:rsid w:val="00DB3443"/>
    <w:rsid w:val="00DB3AF4"/>
    <w:rsid w:val="00DB3B01"/>
    <w:rsid w:val="00DB4190"/>
    <w:rsid w:val="00DB516C"/>
    <w:rsid w:val="00DB5B2B"/>
    <w:rsid w:val="00DB5E7A"/>
    <w:rsid w:val="00DB5FC0"/>
    <w:rsid w:val="00DB6116"/>
    <w:rsid w:val="00DB6626"/>
    <w:rsid w:val="00DC11F2"/>
    <w:rsid w:val="00DC13F6"/>
    <w:rsid w:val="00DC20A5"/>
    <w:rsid w:val="00DC20E7"/>
    <w:rsid w:val="00DC2259"/>
    <w:rsid w:val="00DC28D6"/>
    <w:rsid w:val="00DC2DFA"/>
    <w:rsid w:val="00DC351C"/>
    <w:rsid w:val="00DC36CF"/>
    <w:rsid w:val="00DC3E13"/>
    <w:rsid w:val="00DC4055"/>
    <w:rsid w:val="00DC40EC"/>
    <w:rsid w:val="00DC4568"/>
    <w:rsid w:val="00DC4641"/>
    <w:rsid w:val="00DC46C9"/>
    <w:rsid w:val="00DC4792"/>
    <w:rsid w:val="00DC4D24"/>
    <w:rsid w:val="00DC4D9A"/>
    <w:rsid w:val="00DC4DE2"/>
    <w:rsid w:val="00DC4EF0"/>
    <w:rsid w:val="00DC5072"/>
    <w:rsid w:val="00DC5AC9"/>
    <w:rsid w:val="00DC623C"/>
    <w:rsid w:val="00DC71B5"/>
    <w:rsid w:val="00DC77FC"/>
    <w:rsid w:val="00DC7C17"/>
    <w:rsid w:val="00DC7E0D"/>
    <w:rsid w:val="00DC7EE8"/>
    <w:rsid w:val="00DC7FFD"/>
    <w:rsid w:val="00DD0503"/>
    <w:rsid w:val="00DD08BD"/>
    <w:rsid w:val="00DD1DA7"/>
    <w:rsid w:val="00DD1E6D"/>
    <w:rsid w:val="00DD2CEC"/>
    <w:rsid w:val="00DD2E90"/>
    <w:rsid w:val="00DD2EAE"/>
    <w:rsid w:val="00DD303D"/>
    <w:rsid w:val="00DD3DCA"/>
    <w:rsid w:val="00DD41BD"/>
    <w:rsid w:val="00DD43F4"/>
    <w:rsid w:val="00DD464E"/>
    <w:rsid w:val="00DD46D4"/>
    <w:rsid w:val="00DD4777"/>
    <w:rsid w:val="00DD4AFE"/>
    <w:rsid w:val="00DD4E4D"/>
    <w:rsid w:val="00DD5139"/>
    <w:rsid w:val="00DD51CE"/>
    <w:rsid w:val="00DD5C22"/>
    <w:rsid w:val="00DD5FE4"/>
    <w:rsid w:val="00DD68D9"/>
    <w:rsid w:val="00DD6FD2"/>
    <w:rsid w:val="00DD79D7"/>
    <w:rsid w:val="00DE015A"/>
    <w:rsid w:val="00DE0357"/>
    <w:rsid w:val="00DE0D0F"/>
    <w:rsid w:val="00DE158B"/>
    <w:rsid w:val="00DE16CE"/>
    <w:rsid w:val="00DE1BAC"/>
    <w:rsid w:val="00DE1E3A"/>
    <w:rsid w:val="00DE217D"/>
    <w:rsid w:val="00DE225D"/>
    <w:rsid w:val="00DE23E4"/>
    <w:rsid w:val="00DE23EC"/>
    <w:rsid w:val="00DE2A14"/>
    <w:rsid w:val="00DE32A7"/>
    <w:rsid w:val="00DE3EF1"/>
    <w:rsid w:val="00DE4025"/>
    <w:rsid w:val="00DE407A"/>
    <w:rsid w:val="00DE41E1"/>
    <w:rsid w:val="00DE4797"/>
    <w:rsid w:val="00DE4AEA"/>
    <w:rsid w:val="00DE5973"/>
    <w:rsid w:val="00DE5A6C"/>
    <w:rsid w:val="00DE5EA4"/>
    <w:rsid w:val="00DE6336"/>
    <w:rsid w:val="00DE672F"/>
    <w:rsid w:val="00DE6757"/>
    <w:rsid w:val="00DE6A5A"/>
    <w:rsid w:val="00DE6BD9"/>
    <w:rsid w:val="00DE6C07"/>
    <w:rsid w:val="00DE6F6F"/>
    <w:rsid w:val="00DE7E54"/>
    <w:rsid w:val="00DF00A1"/>
    <w:rsid w:val="00DF011E"/>
    <w:rsid w:val="00DF089D"/>
    <w:rsid w:val="00DF0A71"/>
    <w:rsid w:val="00DF0FE4"/>
    <w:rsid w:val="00DF134E"/>
    <w:rsid w:val="00DF13F0"/>
    <w:rsid w:val="00DF148B"/>
    <w:rsid w:val="00DF206D"/>
    <w:rsid w:val="00DF2293"/>
    <w:rsid w:val="00DF26CE"/>
    <w:rsid w:val="00DF2720"/>
    <w:rsid w:val="00DF2738"/>
    <w:rsid w:val="00DF2F05"/>
    <w:rsid w:val="00DF2FD3"/>
    <w:rsid w:val="00DF34A7"/>
    <w:rsid w:val="00DF41D7"/>
    <w:rsid w:val="00DF4378"/>
    <w:rsid w:val="00DF4AFA"/>
    <w:rsid w:val="00DF4C58"/>
    <w:rsid w:val="00DF4D29"/>
    <w:rsid w:val="00DF52C5"/>
    <w:rsid w:val="00DF564F"/>
    <w:rsid w:val="00DF56F0"/>
    <w:rsid w:val="00DF5B10"/>
    <w:rsid w:val="00DF64E3"/>
    <w:rsid w:val="00DF6561"/>
    <w:rsid w:val="00DF69F6"/>
    <w:rsid w:val="00DF6D82"/>
    <w:rsid w:val="00DF6D9A"/>
    <w:rsid w:val="00DF70D4"/>
    <w:rsid w:val="00DF747F"/>
    <w:rsid w:val="00DF7A4B"/>
    <w:rsid w:val="00DF7C14"/>
    <w:rsid w:val="00DF7FE0"/>
    <w:rsid w:val="00E00054"/>
    <w:rsid w:val="00E00337"/>
    <w:rsid w:val="00E00E4E"/>
    <w:rsid w:val="00E01082"/>
    <w:rsid w:val="00E0186B"/>
    <w:rsid w:val="00E01D5B"/>
    <w:rsid w:val="00E02169"/>
    <w:rsid w:val="00E02BD2"/>
    <w:rsid w:val="00E02DAF"/>
    <w:rsid w:val="00E02E60"/>
    <w:rsid w:val="00E030D7"/>
    <w:rsid w:val="00E0375E"/>
    <w:rsid w:val="00E03C75"/>
    <w:rsid w:val="00E04188"/>
    <w:rsid w:val="00E04F3A"/>
    <w:rsid w:val="00E0610F"/>
    <w:rsid w:val="00E070BE"/>
    <w:rsid w:val="00E071C9"/>
    <w:rsid w:val="00E07393"/>
    <w:rsid w:val="00E07597"/>
    <w:rsid w:val="00E07AB8"/>
    <w:rsid w:val="00E07D47"/>
    <w:rsid w:val="00E10B7F"/>
    <w:rsid w:val="00E10C88"/>
    <w:rsid w:val="00E115C3"/>
    <w:rsid w:val="00E11857"/>
    <w:rsid w:val="00E11B91"/>
    <w:rsid w:val="00E11C93"/>
    <w:rsid w:val="00E121FB"/>
    <w:rsid w:val="00E1230A"/>
    <w:rsid w:val="00E1277C"/>
    <w:rsid w:val="00E128B4"/>
    <w:rsid w:val="00E131B1"/>
    <w:rsid w:val="00E134AB"/>
    <w:rsid w:val="00E136F7"/>
    <w:rsid w:val="00E13705"/>
    <w:rsid w:val="00E1390F"/>
    <w:rsid w:val="00E13F59"/>
    <w:rsid w:val="00E14663"/>
    <w:rsid w:val="00E147B2"/>
    <w:rsid w:val="00E14BED"/>
    <w:rsid w:val="00E1518C"/>
    <w:rsid w:val="00E156AC"/>
    <w:rsid w:val="00E1604C"/>
    <w:rsid w:val="00E1637B"/>
    <w:rsid w:val="00E164CA"/>
    <w:rsid w:val="00E1691D"/>
    <w:rsid w:val="00E16C7F"/>
    <w:rsid w:val="00E17377"/>
    <w:rsid w:val="00E174E3"/>
    <w:rsid w:val="00E17A2F"/>
    <w:rsid w:val="00E17DA1"/>
    <w:rsid w:val="00E17EC0"/>
    <w:rsid w:val="00E202CF"/>
    <w:rsid w:val="00E2036A"/>
    <w:rsid w:val="00E20718"/>
    <w:rsid w:val="00E2087A"/>
    <w:rsid w:val="00E211B1"/>
    <w:rsid w:val="00E211D2"/>
    <w:rsid w:val="00E2184A"/>
    <w:rsid w:val="00E2272A"/>
    <w:rsid w:val="00E228FE"/>
    <w:rsid w:val="00E22A8A"/>
    <w:rsid w:val="00E23C9E"/>
    <w:rsid w:val="00E24704"/>
    <w:rsid w:val="00E25AFD"/>
    <w:rsid w:val="00E265B0"/>
    <w:rsid w:val="00E269D7"/>
    <w:rsid w:val="00E26CCE"/>
    <w:rsid w:val="00E26E85"/>
    <w:rsid w:val="00E27429"/>
    <w:rsid w:val="00E277F0"/>
    <w:rsid w:val="00E278DF"/>
    <w:rsid w:val="00E3018C"/>
    <w:rsid w:val="00E30363"/>
    <w:rsid w:val="00E320AD"/>
    <w:rsid w:val="00E32279"/>
    <w:rsid w:val="00E322BE"/>
    <w:rsid w:val="00E327A2"/>
    <w:rsid w:val="00E32F91"/>
    <w:rsid w:val="00E336D4"/>
    <w:rsid w:val="00E33711"/>
    <w:rsid w:val="00E3435F"/>
    <w:rsid w:val="00E346FA"/>
    <w:rsid w:val="00E34E54"/>
    <w:rsid w:val="00E35965"/>
    <w:rsid w:val="00E35BAE"/>
    <w:rsid w:val="00E372E2"/>
    <w:rsid w:val="00E372F8"/>
    <w:rsid w:val="00E37B28"/>
    <w:rsid w:val="00E40131"/>
    <w:rsid w:val="00E4044F"/>
    <w:rsid w:val="00E406BC"/>
    <w:rsid w:val="00E40709"/>
    <w:rsid w:val="00E40769"/>
    <w:rsid w:val="00E407C1"/>
    <w:rsid w:val="00E40A3F"/>
    <w:rsid w:val="00E40C92"/>
    <w:rsid w:val="00E40D97"/>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F79"/>
    <w:rsid w:val="00E45FC6"/>
    <w:rsid w:val="00E4633A"/>
    <w:rsid w:val="00E46B10"/>
    <w:rsid w:val="00E46E8C"/>
    <w:rsid w:val="00E476F0"/>
    <w:rsid w:val="00E478B7"/>
    <w:rsid w:val="00E502CA"/>
    <w:rsid w:val="00E50396"/>
    <w:rsid w:val="00E5055D"/>
    <w:rsid w:val="00E5078F"/>
    <w:rsid w:val="00E51130"/>
    <w:rsid w:val="00E51260"/>
    <w:rsid w:val="00E51528"/>
    <w:rsid w:val="00E51966"/>
    <w:rsid w:val="00E51A4D"/>
    <w:rsid w:val="00E51AB0"/>
    <w:rsid w:val="00E52338"/>
    <w:rsid w:val="00E5296F"/>
    <w:rsid w:val="00E52C26"/>
    <w:rsid w:val="00E53136"/>
    <w:rsid w:val="00E533E4"/>
    <w:rsid w:val="00E5341C"/>
    <w:rsid w:val="00E53451"/>
    <w:rsid w:val="00E537C6"/>
    <w:rsid w:val="00E53AA8"/>
    <w:rsid w:val="00E53CA3"/>
    <w:rsid w:val="00E54042"/>
    <w:rsid w:val="00E54172"/>
    <w:rsid w:val="00E546C3"/>
    <w:rsid w:val="00E54CF3"/>
    <w:rsid w:val="00E54DAA"/>
    <w:rsid w:val="00E54F8B"/>
    <w:rsid w:val="00E55091"/>
    <w:rsid w:val="00E55805"/>
    <w:rsid w:val="00E5643C"/>
    <w:rsid w:val="00E5692F"/>
    <w:rsid w:val="00E56D79"/>
    <w:rsid w:val="00E57119"/>
    <w:rsid w:val="00E578E6"/>
    <w:rsid w:val="00E57AC7"/>
    <w:rsid w:val="00E57AE3"/>
    <w:rsid w:val="00E57B20"/>
    <w:rsid w:val="00E6015B"/>
    <w:rsid w:val="00E60590"/>
    <w:rsid w:val="00E60DBC"/>
    <w:rsid w:val="00E60F9E"/>
    <w:rsid w:val="00E60FE4"/>
    <w:rsid w:val="00E612AE"/>
    <w:rsid w:val="00E614C2"/>
    <w:rsid w:val="00E61583"/>
    <w:rsid w:val="00E62234"/>
    <w:rsid w:val="00E6253F"/>
    <w:rsid w:val="00E63362"/>
    <w:rsid w:val="00E636CD"/>
    <w:rsid w:val="00E639C3"/>
    <w:rsid w:val="00E63EEC"/>
    <w:rsid w:val="00E64BC7"/>
    <w:rsid w:val="00E65034"/>
    <w:rsid w:val="00E65500"/>
    <w:rsid w:val="00E657A1"/>
    <w:rsid w:val="00E65A84"/>
    <w:rsid w:val="00E70645"/>
    <w:rsid w:val="00E70714"/>
    <w:rsid w:val="00E70B94"/>
    <w:rsid w:val="00E70D72"/>
    <w:rsid w:val="00E716A5"/>
    <w:rsid w:val="00E71F56"/>
    <w:rsid w:val="00E7201B"/>
    <w:rsid w:val="00E72688"/>
    <w:rsid w:val="00E72A5E"/>
    <w:rsid w:val="00E72B1F"/>
    <w:rsid w:val="00E72D1B"/>
    <w:rsid w:val="00E72D21"/>
    <w:rsid w:val="00E730B5"/>
    <w:rsid w:val="00E7311C"/>
    <w:rsid w:val="00E75111"/>
    <w:rsid w:val="00E75135"/>
    <w:rsid w:val="00E758FA"/>
    <w:rsid w:val="00E7591F"/>
    <w:rsid w:val="00E75BCE"/>
    <w:rsid w:val="00E75D36"/>
    <w:rsid w:val="00E765DA"/>
    <w:rsid w:val="00E76830"/>
    <w:rsid w:val="00E768FD"/>
    <w:rsid w:val="00E7727F"/>
    <w:rsid w:val="00E772AC"/>
    <w:rsid w:val="00E77511"/>
    <w:rsid w:val="00E77AE4"/>
    <w:rsid w:val="00E8123C"/>
    <w:rsid w:val="00E812F4"/>
    <w:rsid w:val="00E813E4"/>
    <w:rsid w:val="00E81BD5"/>
    <w:rsid w:val="00E81C6B"/>
    <w:rsid w:val="00E8307B"/>
    <w:rsid w:val="00E83D23"/>
    <w:rsid w:val="00E83E89"/>
    <w:rsid w:val="00E84742"/>
    <w:rsid w:val="00E84E96"/>
    <w:rsid w:val="00E8533A"/>
    <w:rsid w:val="00E85345"/>
    <w:rsid w:val="00E85B4E"/>
    <w:rsid w:val="00E86CF4"/>
    <w:rsid w:val="00E87798"/>
    <w:rsid w:val="00E87983"/>
    <w:rsid w:val="00E87EEE"/>
    <w:rsid w:val="00E900D9"/>
    <w:rsid w:val="00E9018C"/>
    <w:rsid w:val="00E9088E"/>
    <w:rsid w:val="00E90C18"/>
    <w:rsid w:val="00E9122A"/>
    <w:rsid w:val="00E91E5A"/>
    <w:rsid w:val="00E92654"/>
    <w:rsid w:val="00E93000"/>
    <w:rsid w:val="00E93078"/>
    <w:rsid w:val="00E93A13"/>
    <w:rsid w:val="00E93C7C"/>
    <w:rsid w:val="00E94066"/>
    <w:rsid w:val="00E94A62"/>
    <w:rsid w:val="00E94B05"/>
    <w:rsid w:val="00E94C47"/>
    <w:rsid w:val="00E950F5"/>
    <w:rsid w:val="00E95278"/>
    <w:rsid w:val="00E954B8"/>
    <w:rsid w:val="00E955AC"/>
    <w:rsid w:val="00E95BB9"/>
    <w:rsid w:val="00E95EBA"/>
    <w:rsid w:val="00E9689B"/>
    <w:rsid w:val="00E96926"/>
    <w:rsid w:val="00E97682"/>
    <w:rsid w:val="00EA101A"/>
    <w:rsid w:val="00EA24FD"/>
    <w:rsid w:val="00EA2738"/>
    <w:rsid w:val="00EA2F8D"/>
    <w:rsid w:val="00EA30C8"/>
    <w:rsid w:val="00EA310B"/>
    <w:rsid w:val="00EA35B4"/>
    <w:rsid w:val="00EA3B27"/>
    <w:rsid w:val="00EA4E99"/>
    <w:rsid w:val="00EA4EAC"/>
    <w:rsid w:val="00EA4EE0"/>
    <w:rsid w:val="00EA517B"/>
    <w:rsid w:val="00EA5AB0"/>
    <w:rsid w:val="00EA5DDD"/>
    <w:rsid w:val="00EA670E"/>
    <w:rsid w:val="00EA6AB7"/>
    <w:rsid w:val="00EA731D"/>
    <w:rsid w:val="00EA73A1"/>
    <w:rsid w:val="00EB0034"/>
    <w:rsid w:val="00EB0587"/>
    <w:rsid w:val="00EB07F3"/>
    <w:rsid w:val="00EB0B25"/>
    <w:rsid w:val="00EB0D1B"/>
    <w:rsid w:val="00EB182B"/>
    <w:rsid w:val="00EB1BBD"/>
    <w:rsid w:val="00EB2A4C"/>
    <w:rsid w:val="00EB2BE3"/>
    <w:rsid w:val="00EB2CB3"/>
    <w:rsid w:val="00EB3030"/>
    <w:rsid w:val="00EB3183"/>
    <w:rsid w:val="00EB35AA"/>
    <w:rsid w:val="00EB373B"/>
    <w:rsid w:val="00EB42B0"/>
    <w:rsid w:val="00EB5256"/>
    <w:rsid w:val="00EB55F0"/>
    <w:rsid w:val="00EB5D56"/>
    <w:rsid w:val="00EB5E88"/>
    <w:rsid w:val="00EB63FB"/>
    <w:rsid w:val="00EB6607"/>
    <w:rsid w:val="00EB6DCD"/>
    <w:rsid w:val="00EB7099"/>
    <w:rsid w:val="00EB7374"/>
    <w:rsid w:val="00EB75D7"/>
    <w:rsid w:val="00EB7C95"/>
    <w:rsid w:val="00EB7E9F"/>
    <w:rsid w:val="00EC00B9"/>
    <w:rsid w:val="00EC0559"/>
    <w:rsid w:val="00EC07A2"/>
    <w:rsid w:val="00EC0E44"/>
    <w:rsid w:val="00EC122A"/>
    <w:rsid w:val="00EC16CD"/>
    <w:rsid w:val="00EC1E41"/>
    <w:rsid w:val="00EC1EB0"/>
    <w:rsid w:val="00EC2E4A"/>
    <w:rsid w:val="00EC2FBC"/>
    <w:rsid w:val="00EC4262"/>
    <w:rsid w:val="00EC42FC"/>
    <w:rsid w:val="00EC45EC"/>
    <w:rsid w:val="00EC50C3"/>
    <w:rsid w:val="00EC54D3"/>
    <w:rsid w:val="00EC54FF"/>
    <w:rsid w:val="00EC551A"/>
    <w:rsid w:val="00EC5637"/>
    <w:rsid w:val="00EC56AC"/>
    <w:rsid w:val="00EC5B94"/>
    <w:rsid w:val="00EC64FA"/>
    <w:rsid w:val="00EC6E92"/>
    <w:rsid w:val="00EC73C7"/>
    <w:rsid w:val="00EC7969"/>
    <w:rsid w:val="00EC79F2"/>
    <w:rsid w:val="00EC7DD6"/>
    <w:rsid w:val="00EC7F74"/>
    <w:rsid w:val="00EC7F96"/>
    <w:rsid w:val="00ED0E33"/>
    <w:rsid w:val="00ED1C09"/>
    <w:rsid w:val="00ED1DA7"/>
    <w:rsid w:val="00ED1F8E"/>
    <w:rsid w:val="00ED325D"/>
    <w:rsid w:val="00ED351D"/>
    <w:rsid w:val="00ED43B8"/>
    <w:rsid w:val="00ED4718"/>
    <w:rsid w:val="00ED4812"/>
    <w:rsid w:val="00ED5429"/>
    <w:rsid w:val="00ED55E9"/>
    <w:rsid w:val="00ED588C"/>
    <w:rsid w:val="00ED5C3A"/>
    <w:rsid w:val="00ED6021"/>
    <w:rsid w:val="00ED7248"/>
    <w:rsid w:val="00ED7597"/>
    <w:rsid w:val="00EE0578"/>
    <w:rsid w:val="00EE091A"/>
    <w:rsid w:val="00EE0CA8"/>
    <w:rsid w:val="00EE148C"/>
    <w:rsid w:val="00EE169F"/>
    <w:rsid w:val="00EE17D8"/>
    <w:rsid w:val="00EE17E7"/>
    <w:rsid w:val="00EE2945"/>
    <w:rsid w:val="00EE2979"/>
    <w:rsid w:val="00EE385F"/>
    <w:rsid w:val="00EE3C5A"/>
    <w:rsid w:val="00EE427C"/>
    <w:rsid w:val="00EE4D35"/>
    <w:rsid w:val="00EE4E22"/>
    <w:rsid w:val="00EE4E74"/>
    <w:rsid w:val="00EE51C6"/>
    <w:rsid w:val="00EE5ABF"/>
    <w:rsid w:val="00EE5CCB"/>
    <w:rsid w:val="00EE5F21"/>
    <w:rsid w:val="00EE653F"/>
    <w:rsid w:val="00EE6C14"/>
    <w:rsid w:val="00EE777C"/>
    <w:rsid w:val="00EE784F"/>
    <w:rsid w:val="00EE7973"/>
    <w:rsid w:val="00EE7980"/>
    <w:rsid w:val="00EF026D"/>
    <w:rsid w:val="00EF04B4"/>
    <w:rsid w:val="00EF1AF1"/>
    <w:rsid w:val="00EF1E2B"/>
    <w:rsid w:val="00EF23B4"/>
    <w:rsid w:val="00EF2939"/>
    <w:rsid w:val="00EF3267"/>
    <w:rsid w:val="00EF3BF6"/>
    <w:rsid w:val="00EF458C"/>
    <w:rsid w:val="00EF48CF"/>
    <w:rsid w:val="00EF52DE"/>
    <w:rsid w:val="00EF684E"/>
    <w:rsid w:val="00EF6E2A"/>
    <w:rsid w:val="00EF7CEB"/>
    <w:rsid w:val="00EF7D80"/>
    <w:rsid w:val="00F001F9"/>
    <w:rsid w:val="00F0025E"/>
    <w:rsid w:val="00F0058A"/>
    <w:rsid w:val="00F0088A"/>
    <w:rsid w:val="00F01240"/>
    <w:rsid w:val="00F01466"/>
    <w:rsid w:val="00F01941"/>
    <w:rsid w:val="00F01C5E"/>
    <w:rsid w:val="00F01E77"/>
    <w:rsid w:val="00F0201C"/>
    <w:rsid w:val="00F022E9"/>
    <w:rsid w:val="00F02CA4"/>
    <w:rsid w:val="00F02DB2"/>
    <w:rsid w:val="00F02F05"/>
    <w:rsid w:val="00F032C2"/>
    <w:rsid w:val="00F0343D"/>
    <w:rsid w:val="00F04088"/>
    <w:rsid w:val="00F041CD"/>
    <w:rsid w:val="00F0457A"/>
    <w:rsid w:val="00F04775"/>
    <w:rsid w:val="00F04C99"/>
    <w:rsid w:val="00F059C7"/>
    <w:rsid w:val="00F0604A"/>
    <w:rsid w:val="00F0631B"/>
    <w:rsid w:val="00F06B3D"/>
    <w:rsid w:val="00F07173"/>
    <w:rsid w:val="00F075DD"/>
    <w:rsid w:val="00F1111B"/>
    <w:rsid w:val="00F11513"/>
    <w:rsid w:val="00F11B7D"/>
    <w:rsid w:val="00F125EE"/>
    <w:rsid w:val="00F12ACB"/>
    <w:rsid w:val="00F12CD8"/>
    <w:rsid w:val="00F133B7"/>
    <w:rsid w:val="00F1423F"/>
    <w:rsid w:val="00F142B8"/>
    <w:rsid w:val="00F143B8"/>
    <w:rsid w:val="00F143CB"/>
    <w:rsid w:val="00F14B22"/>
    <w:rsid w:val="00F15EFC"/>
    <w:rsid w:val="00F16090"/>
    <w:rsid w:val="00F169CB"/>
    <w:rsid w:val="00F17676"/>
    <w:rsid w:val="00F17C60"/>
    <w:rsid w:val="00F17E5C"/>
    <w:rsid w:val="00F207DF"/>
    <w:rsid w:val="00F217E8"/>
    <w:rsid w:val="00F21849"/>
    <w:rsid w:val="00F21B30"/>
    <w:rsid w:val="00F220BA"/>
    <w:rsid w:val="00F222E9"/>
    <w:rsid w:val="00F23107"/>
    <w:rsid w:val="00F2426F"/>
    <w:rsid w:val="00F24455"/>
    <w:rsid w:val="00F24CFD"/>
    <w:rsid w:val="00F2572B"/>
    <w:rsid w:val="00F25CE4"/>
    <w:rsid w:val="00F25F9D"/>
    <w:rsid w:val="00F26AFA"/>
    <w:rsid w:val="00F275A1"/>
    <w:rsid w:val="00F279A2"/>
    <w:rsid w:val="00F27B79"/>
    <w:rsid w:val="00F27F65"/>
    <w:rsid w:val="00F27FF4"/>
    <w:rsid w:val="00F30721"/>
    <w:rsid w:val="00F3074A"/>
    <w:rsid w:val="00F308F1"/>
    <w:rsid w:val="00F30F99"/>
    <w:rsid w:val="00F319EE"/>
    <w:rsid w:val="00F326C4"/>
    <w:rsid w:val="00F3288A"/>
    <w:rsid w:val="00F32FE6"/>
    <w:rsid w:val="00F33E0C"/>
    <w:rsid w:val="00F33E55"/>
    <w:rsid w:val="00F34278"/>
    <w:rsid w:val="00F3469F"/>
    <w:rsid w:val="00F34D39"/>
    <w:rsid w:val="00F34E3C"/>
    <w:rsid w:val="00F35682"/>
    <w:rsid w:val="00F35737"/>
    <w:rsid w:val="00F36235"/>
    <w:rsid w:val="00F36A53"/>
    <w:rsid w:val="00F36B92"/>
    <w:rsid w:val="00F3743B"/>
    <w:rsid w:val="00F37906"/>
    <w:rsid w:val="00F37B8C"/>
    <w:rsid w:val="00F40141"/>
    <w:rsid w:val="00F402D1"/>
    <w:rsid w:val="00F408D3"/>
    <w:rsid w:val="00F40A00"/>
    <w:rsid w:val="00F41164"/>
    <w:rsid w:val="00F416AC"/>
    <w:rsid w:val="00F41B01"/>
    <w:rsid w:val="00F41C24"/>
    <w:rsid w:val="00F42C00"/>
    <w:rsid w:val="00F42FD5"/>
    <w:rsid w:val="00F43238"/>
    <w:rsid w:val="00F434E8"/>
    <w:rsid w:val="00F43916"/>
    <w:rsid w:val="00F43EC8"/>
    <w:rsid w:val="00F44072"/>
    <w:rsid w:val="00F4496A"/>
    <w:rsid w:val="00F44A79"/>
    <w:rsid w:val="00F44AB9"/>
    <w:rsid w:val="00F451EF"/>
    <w:rsid w:val="00F4577D"/>
    <w:rsid w:val="00F471C8"/>
    <w:rsid w:val="00F4783F"/>
    <w:rsid w:val="00F47A9F"/>
    <w:rsid w:val="00F50AEB"/>
    <w:rsid w:val="00F50ECE"/>
    <w:rsid w:val="00F5182F"/>
    <w:rsid w:val="00F51A6F"/>
    <w:rsid w:val="00F51BAC"/>
    <w:rsid w:val="00F52203"/>
    <w:rsid w:val="00F52480"/>
    <w:rsid w:val="00F527A8"/>
    <w:rsid w:val="00F52874"/>
    <w:rsid w:val="00F5291F"/>
    <w:rsid w:val="00F529C0"/>
    <w:rsid w:val="00F52A0F"/>
    <w:rsid w:val="00F53D11"/>
    <w:rsid w:val="00F5417E"/>
    <w:rsid w:val="00F54909"/>
    <w:rsid w:val="00F54936"/>
    <w:rsid w:val="00F55417"/>
    <w:rsid w:val="00F55443"/>
    <w:rsid w:val="00F56427"/>
    <w:rsid w:val="00F56AA7"/>
    <w:rsid w:val="00F56D9D"/>
    <w:rsid w:val="00F56ED6"/>
    <w:rsid w:val="00F572A5"/>
    <w:rsid w:val="00F575C3"/>
    <w:rsid w:val="00F57694"/>
    <w:rsid w:val="00F579C6"/>
    <w:rsid w:val="00F57C4F"/>
    <w:rsid w:val="00F6047A"/>
    <w:rsid w:val="00F605D2"/>
    <w:rsid w:val="00F61324"/>
    <w:rsid w:val="00F6142C"/>
    <w:rsid w:val="00F61A7D"/>
    <w:rsid w:val="00F61B9B"/>
    <w:rsid w:val="00F62315"/>
    <w:rsid w:val="00F62380"/>
    <w:rsid w:val="00F627C4"/>
    <w:rsid w:val="00F62CAE"/>
    <w:rsid w:val="00F633A2"/>
    <w:rsid w:val="00F638A6"/>
    <w:rsid w:val="00F638EE"/>
    <w:rsid w:val="00F63AAF"/>
    <w:rsid w:val="00F64036"/>
    <w:rsid w:val="00F6410E"/>
    <w:rsid w:val="00F641EF"/>
    <w:rsid w:val="00F64398"/>
    <w:rsid w:val="00F64A80"/>
    <w:rsid w:val="00F64AC7"/>
    <w:rsid w:val="00F64F8A"/>
    <w:rsid w:val="00F654C0"/>
    <w:rsid w:val="00F654D6"/>
    <w:rsid w:val="00F65D4C"/>
    <w:rsid w:val="00F66E68"/>
    <w:rsid w:val="00F673F1"/>
    <w:rsid w:val="00F70A47"/>
    <w:rsid w:val="00F70DD4"/>
    <w:rsid w:val="00F71ECD"/>
    <w:rsid w:val="00F72BAA"/>
    <w:rsid w:val="00F72D5C"/>
    <w:rsid w:val="00F73124"/>
    <w:rsid w:val="00F73358"/>
    <w:rsid w:val="00F73C1B"/>
    <w:rsid w:val="00F74623"/>
    <w:rsid w:val="00F7492D"/>
    <w:rsid w:val="00F74E60"/>
    <w:rsid w:val="00F7538D"/>
    <w:rsid w:val="00F755B7"/>
    <w:rsid w:val="00F75FA2"/>
    <w:rsid w:val="00F76070"/>
    <w:rsid w:val="00F7649B"/>
    <w:rsid w:val="00F764FC"/>
    <w:rsid w:val="00F76897"/>
    <w:rsid w:val="00F76EE5"/>
    <w:rsid w:val="00F77473"/>
    <w:rsid w:val="00F77BAB"/>
    <w:rsid w:val="00F77EDF"/>
    <w:rsid w:val="00F80291"/>
    <w:rsid w:val="00F802AD"/>
    <w:rsid w:val="00F802EF"/>
    <w:rsid w:val="00F80CB9"/>
    <w:rsid w:val="00F81237"/>
    <w:rsid w:val="00F8128F"/>
    <w:rsid w:val="00F81AF8"/>
    <w:rsid w:val="00F8284C"/>
    <w:rsid w:val="00F82A6D"/>
    <w:rsid w:val="00F83358"/>
    <w:rsid w:val="00F834E7"/>
    <w:rsid w:val="00F834F2"/>
    <w:rsid w:val="00F835F2"/>
    <w:rsid w:val="00F836F3"/>
    <w:rsid w:val="00F839F4"/>
    <w:rsid w:val="00F83C5C"/>
    <w:rsid w:val="00F841A2"/>
    <w:rsid w:val="00F84722"/>
    <w:rsid w:val="00F84997"/>
    <w:rsid w:val="00F85A33"/>
    <w:rsid w:val="00F85D02"/>
    <w:rsid w:val="00F85DA8"/>
    <w:rsid w:val="00F86394"/>
    <w:rsid w:val="00F86B23"/>
    <w:rsid w:val="00F87161"/>
    <w:rsid w:val="00F876D0"/>
    <w:rsid w:val="00F87FDE"/>
    <w:rsid w:val="00F906B4"/>
    <w:rsid w:val="00F907DE"/>
    <w:rsid w:val="00F9104E"/>
    <w:rsid w:val="00F910D3"/>
    <w:rsid w:val="00F912CA"/>
    <w:rsid w:val="00F91565"/>
    <w:rsid w:val="00F9180C"/>
    <w:rsid w:val="00F91D2E"/>
    <w:rsid w:val="00F91DC3"/>
    <w:rsid w:val="00F92145"/>
    <w:rsid w:val="00F92710"/>
    <w:rsid w:val="00F92961"/>
    <w:rsid w:val="00F92EF4"/>
    <w:rsid w:val="00F93572"/>
    <w:rsid w:val="00F93C6C"/>
    <w:rsid w:val="00F9402F"/>
    <w:rsid w:val="00F945E8"/>
    <w:rsid w:val="00F9482D"/>
    <w:rsid w:val="00F94934"/>
    <w:rsid w:val="00F94D6B"/>
    <w:rsid w:val="00F95096"/>
    <w:rsid w:val="00F951BE"/>
    <w:rsid w:val="00F96212"/>
    <w:rsid w:val="00F96AA9"/>
    <w:rsid w:val="00F978F4"/>
    <w:rsid w:val="00F97936"/>
    <w:rsid w:val="00FA000F"/>
    <w:rsid w:val="00FA02AC"/>
    <w:rsid w:val="00FA0452"/>
    <w:rsid w:val="00FA0754"/>
    <w:rsid w:val="00FA0B2D"/>
    <w:rsid w:val="00FA1B0A"/>
    <w:rsid w:val="00FA1E3D"/>
    <w:rsid w:val="00FA2701"/>
    <w:rsid w:val="00FA289A"/>
    <w:rsid w:val="00FA2AB6"/>
    <w:rsid w:val="00FA3581"/>
    <w:rsid w:val="00FA3ACD"/>
    <w:rsid w:val="00FA3D4D"/>
    <w:rsid w:val="00FA43A9"/>
    <w:rsid w:val="00FA4671"/>
    <w:rsid w:val="00FA4DC9"/>
    <w:rsid w:val="00FA63A0"/>
    <w:rsid w:val="00FA79E7"/>
    <w:rsid w:val="00FA7D10"/>
    <w:rsid w:val="00FA7EED"/>
    <w:rsid w:val="00FA7F02"/>
    <w:rsid w:val="00FB003E"/>
    <w:rsid w:val="00FB00A6"/>
    <w:rsid w:val="00FB010C"/>
    <w:rsid w:val="00FB0DF4"/>
    <w:rsid w:val="00FB1009"/>
    <w:rsid w:val="00FB25EF"/>
    <w:rsid w:val="00FB27AA"/>
    <w:rsid w:val="00FB28BD"/>
    <w:rsid w:val="00FB2C33"/>
    <w:rsid w:val="00FB3916"/>
    <w:rsid w:val="00FB3A3C"/>
    <w:rsid w:val="00FB3F61"/>
    <w:rsid w:val="00FB4EC9"/>
    <w:rsid w:val="00FB50CC"/>
    <w:rsid w:val="00FB53AE"/>
    <w:rsid w:val="00FB5A15"/>
    <w:rsid w:val="00FB5DE1"/>
    <w:rsid w:val="00FB604B"/>
    <w:rsid w:val="00FB60AD"/>
    <w:rsid w:val="00FB63B6"/>
    <w:rsid w:val="00FB6898"/>
    <w:rsid w:val="00FB6AAA"/>
    <w:rsid w:val="00FB7053"/>
    <w:rsid w:val="00FB72B5"/>
    <w:rsid w:val="00FB749F"/>
    <w:rsid w:val="00FB7E62"/>
    <w:rsid w:val="00FC0198"/>
    <w:rsid w:val="00FC049B"/>
    <w:rsid w:val="00FC0B0E"/>
    <w:rsid w:val="00FC1330"/>
    <w:rsid w:val="00FC139B"/>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E00"/>
    <w:rsid w:val="00FC6824"/>
    <w:rsid w:val="00FC6D0E"/>
    <w:rsid w:val="00FC710D"/>
    <w:rsid w:val="00FC72E5"/>
    <w:rsid w:val="00FC77EB"/>
    <w:rsid w:val="00FD00C0"/>
    <w:rsid w:val="00FD0225"/>
    <w:rsid w:val="00FD023E"/>
    <w:rsid w:val="00FD065F"/>
    <w:rsid w:val="00FD12F9"/>
    <w:rsid w:val="00FD132F"/>
    <w:rsid w:val="00FD147D"/>
    <w:rsid w:val="00FD17E8"/>
    <w:rsid w:val="00FD1CCA"/>
    <w:rsid w:val="00FD23CB"/>
    <w:rsid w:val="00FD25B1"/>
    <w:rsid w:val="00FD2BFD"/>
    <w:rsid w:val="00FD2E59"/>
    <w:rsid w:val="00FD3297"/>
    <w:rsid w:val="00FD39DC"/>
    <w:rsid w:val="00FD3DB9"/>
    <w:rsid w:val="00FD43DC"/>
    <w:rsid w:val="00FD4E03"/>
    <w:rsid w:val="00FD54AE"/>
    <w:rsid w:val="00FD66A3"/>
    <w:rsid w:val="00FD6E20"/>
    <w:rsid w:val="00FD7676"/>
    <w:rsid w:val="00FD7BFA"/>
    <w:rsid w:val="00FD7D29"/>
    <w:rsid w:val="00FE0485"/>
    <w:rsid w:val="00FE0873"/>
    <w:rsid w:val="00FE0FE8"/>
    <w:rsid w:val="00FE175B"/>
    <w:rsid w:val="00FE18A4"/>
    <w:rsid w:val="00FE18E1"/>
    <w:rsid w:val="00FE1EDD"/>
    <w:rsid w:val="00FE221E"/>
    <w:rsid w:val="00FE23E3"/>
    <w:rsid w:val="00FE2698"/>
    <w:rsid w:val="00FE2991"/>
    <w:rsid w:val="00FE2EE2"/>
    <w:rsid w:val="00FE2F04"/>
    <w:rsid w:val="00FE3036"/>
    <w:rsid w:val="00FE31C1"/>
    <w:rsid w:val="00FE3726"/>
    <w:rsid w:val="00FE3730"/>
    <w:rsid w:val="00FE407B"/>
    <w:rsid w:val="00FE4D66"/>
    <w:rsid w:val="00FE4E20"/>
    <w:rsid w:val="00FE5CF6"/>
    <w:rsid w:val="00FE6913"/>
    <w:rsid w:val="00FE698D"/>
    <w:rsid w:val="00FE6F7B"/>
    <w:rsid w:val="00FE764F"/>
    <w:rsid w:val="00FE768C"/>
    <w:rsid w:val="00FF03E6"/>
    <w:rsid w:val="00FF09C1"/>
    <w:rsid w:val="00FF270A"/>
    <w:rsid w:val="00FF2AAA"/>
    <w:rsid w:val="00FF2C66"/>
    <w:rsid w:val="00FF2FB6"/>
    <w:rsid w:val="00FF358E"/>
    <w:rsid w:val="00FF40AD"/>
    <w:rsid w:val="00FF411F"/>
    <w:rsid w:val="00FF46A5"/>
    <w:rsid w:val="00FF4C47"/>
    <w:rsid w:val="00FF5239"/>
    <w:rsid w:val="00FF6BDE"/>
    <w:rsid w:val="00FF6E0E"/>
    <w:rsid w:val="00FF79C0"/>
    <w:rsid w:val="00FF7FAB"/>
    <w:rsid w:val="2A482131"/>
    <w:rsid w:val="3FE406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F8418A"/>
  <w15:docId w15:val="{49D39AB4-1815-4B48-BFF5-5A3C8417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661F"/>
    <w:pPr>
      <w:spacing w:after="120" w:line="360" w:lineRule="auto"/>
      <w:jc w:val="both"/>
    </w:pPr>
    <w:rPr>
      <w:rFonts w:asciiTheme="minorHAnsi" w:hAnsiTheme="minorHAnsi"/>
      <w:sz w:val="22"/>
      <w:szCs w:val="24"/>
      <w:lang w:eastAsia="en-US"/>
    </w:rPr>
  </w:style>
  <w:style w:type="paragraph" w:styleId="Titre1">
    <w:name w:val="heading 1"/>
    <w:basedOn w:val="Normal"/>
    <w:next w:val="Normal"/>
    <w:link w:val="Titre1Car"/>
    <w:uiPriority w:val="9"/>
    <w:qFormat/>
    <w:rsid w:val="00C609BE"/>
    <w:pPr>
      <w:keepNext/>
      <w:keepLines/>
      <w:numPr>
        <w:numId w:val="27"/>
      </w:numPr>
      <w:spacing w:before="480" w:after="240" w:line="240" w:lineRule="auto"/>
      <w:ind w:left="567" w:hanging="567"/>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8F0FAB"/>
    <w:pPr>
      <w:numPr>
        <w:ilvl w:val="1"/>
      </w:numPr>
      <w:spacing w:before="240"/>
      <w:ind w:left="567" w:hanging="567"/>
      <w:outlineLvl w:val="1"/>
    </w:pPr>
    <w:rPr>
      <w:sz w:val="32"/>
    </w:rPr>
  </w:style>
  <w:style w:type="paragraph" w:styleId="Titre3">
    <w:name w:val="heading 3"/>
    <w:basedOn w:val="Normal"/>
    <w:next w:val="Normal"/>
    <w:link w:val="Titre3Car"/>
    <w:unhideWhenUsed/>
    <w:qFormat/>
    <w:rsid w:val="008F0FAB"/>
    <w:pPr>
      <w:keepNext/>
      <w:keepLines/>
      <w:numPr>
        <w:ilvl w:val="2"/>
        <w:numId w:val="27"/>
      </w:numPr>
      <w:spacing w:before="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C609BE"/>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8F0FAB"/>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8F0FAB"/>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21560C"/>
    <w:pPr>
      <w:tabs>
        <w:tab w:val="right" w:pos="8647"/>
      </w:tabs>
      <w:spacing w:after="100" w:line="240" w:lineRule="auto"/>
    </w:pPr>
    <w:rPr>
      <w:rFonts w:eastAsiaTheme="majorEastAsia"/>
      <w:b/>
      <w:noProof/>
      <w:sz w:val="26"/>
    </w:rPr>
  </w:style>
  <w:style w:type="paragraph" w:styleId="TM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BA661F"/>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table" w:styleId="Tableausimple1">
    <w:name w:val="Plain Table 1"/>
    <w:basedOn w:val="TableauNormal"/>
    <w:uiPriority w:val="41"/>
    <w:rsid w:val="00BA661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sanstable">
    <w:name w:val="Heading sans table"/>
    <w:qFormat/>
    <w:rsid w:val="0021560C"/>
    <w:pPr>
      <w:keepNext/>
      <w:keepLines/>
      <w:spacing w:before="240" w:after="240"/>
    </w:pPr>
    <w:rPr>
      <w:rFonts w:asciiTheme="majorHAnsi" w:hAnsiTheme="majorHAnsi"/>
      <w:b/>
      <w:smallCaps/>
      <w:sz w:val="4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68769632">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15039485">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61833039">
      <w:bodyDiv w:val="1"/>
      <w:marLeft w:val="0"/>
      <w:marRight w:val="0"/>
      <w:marTop w:val="0"/>
      <w:marBottom w:val="0"/>
      <w:divBdr>
        <w:top w:val="none" w:sz="0" w:space="0" w:color="auto"/>
        <w:left w:val="none" w:sz="0" w:space="0" w:color="auto"/>
        <w:bottom w:val="none" w:sz="0" w:space="0" w:color="auto"/>
        <w:right w:val="none" w:sz="0" w:space="0" w:color="auto"/>
      </w:divBdr>
    </w:div>
    <w:div w:id="385377904">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83664303">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69675082">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2376555">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14694448">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090928325">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0684186">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54643284">
      <w:bodyDiv w:val="1"/>
      <w:marLeft w:val="0"/>
      <w:marRight w:val="0"/>
      <w:marTop w:val="0"/>
      <w:marBottom w:val="0"/>
      <w:divBdr>
        <w:top w:val="none" w:sz="0" w:space="0" w:color="auto"/>
        <w:left w:val="none" w:sz="0" w:space="0" w:color="auto"/>
        <w:bottom w:val="none" w:sz="0" w:space="0" w:color="auto"/>
        <w:right w:val="none" w:sz="0" w:space="0" w:color="auto"/>
      </w:divBdr>
    </w:div>
    <w:div w:id="1159465383">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0235371">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2465009">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8258423">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479763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55329337">
      <w:bodyDiv w:val="1"/>
      <w:marLeft w:val="0"/>
      <w:marRight w:val="0"/>
      <w:marTop w:val="0"/>
      <w:marBottom w:val="0"/>
      <w:divBdr>
        <w:top w:val="none" w:sz="0" w:space="0" w:color="auto"/>
        <w:left w:val="none" w:sz="0" w:space="0" w:color="auto"/>
        <w:bottom w:val="none" w:sz="0" w:space="0" w:color="auto"/>
        <w:right w:val="none" w:sz="0" w:space="0" w:color="auto"/>
      </w:divBdr>
    </w:div>
    <w:div w:id="1661538326">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695688729">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37862082">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26343116">
      <w:bodyDiv w:val="1"/>
      <w:marLeft w:val="0"/>
      <w:marRight w:val="0"/>
      <w:marTop w:val="0"/>
      <w:marBottom w:val="0"/>
      <w:divBdr>
        <w:top w:val="none" w:sz="0" w:space="0" w:color="auto"/>
        <w:left w:val="none" w:sz="0" w:space="0" w:color="auto"/>
        <w:bottom w:val="none" w:sz="0" w:space="0" w:color="auto"/>
        <w:right w:val="none" w:sz="0" w:space="0" w:color="auto"/>
      </w:divBdr>
    </w:div>
    <w:div w:id="212854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usherbrooke-my.sharepoint.com/personal/desm1210_usherbrooke_ca/Documents/S2/APP4/Chiffriers%20Excel/Data%20Center%20Q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sherbrooke-my.sharepoint.com/personal/desm1210_usherbrooke_ca/Documents/S2/APP4/Chiffriers%20Excel/Data%20Center%20Q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sherbrooke-my.sharepoint.com/personal/desm1210_usherbrooke_ca/Documents/S2/APP4/Chiffriers%20Excel/Data%20Center%20A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sherbrooke-my.sharepoint.com/personal/desm1210_usherbrooke_ca/Documents/S2/APP4/Chiffriers%20Excel/Data%20Center%20QC.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Comparaison des deux centres de données avec l'électricité</a:t>
            </a:r>
            <a:r>
              <a:rPr lang="fr-CA" baseline="0"/>
              <a:t> provinciale</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stacked"/>
        <c:varyColors val="0"/>
        <c:ser>
          <c:idx val="0"/>
          <c:order val="0"/>
          <c:tx>
            <c:strRef>
              <c:f>'Annexe 2'!$A$33</c:f>
              <c:strCache>
                <c:ptCount val="1"/>
                <c:pt idx="0">
                  <c:v>Production</c:v>
                </c:pt>
              </c:strCache>
            </c:strRef>
          </c:tx>
          <c:spPr>
            <a:solidFill>
              <a:schemeClr val="accent1"/>
            </a:solidFill>
            <a:ln>
              <a:noFill/>
            </a:ln>
            <a:effectLst/>
          </c:spPr>
          <c:invertIfNegative val="0"/>
          <c:cat>
            <c:multiLvlStrRef>
              <c:f>'Annexe 2'!$B$31:$I$32</c:f>
              <c:multiLvlStrCache>
                <c:ptCount val="8"/>
                <c:lvl>
                  <c:pt idx="0">
                    <c:v>QC</c:v>
                  </c:pt>
                  <c:pt idx="1">
                    <c:v>AB</c:v>
                  </c:pt>
                  <c:pt idx="2">
                    <c:v>QC</c:v>
                  </c:pt>
                  <c:pt idx="3">
                    <c:v>AB</c:v>
                  </c:pt>
                  <c:pt idx="4">
                    <c:v>QC</c:v>
                  </c:pt>
                  <c:pt idx="5">
                    <c:v>AB</c:v>
                  </c:pt>
                  <c:pt idx="6">
                    <c:v>QC</c:v>
                  </c:pt>
                  <c:pt idx="7">
                    <c:v>AB</c:v>
                  </c:pt>
                </c:lvl>
                <c:lvl>
                  <c:pt idx="0">
                    <c:v>Santé Humaine</c:v>
                  </c:pt>
                  <c:pt idx="2">
                    <c:v>Qualité des écosystèmes</c:v>
                  </c:pt>
                  <c:pt idx="4">
                    <c:v>Changements climatiques</c:v>
                  </c:pt>
                  <c:pt idx="6">
                    <c:v>Ressources</c:v>
                  </c:pt>
                </c:lvl>
              </c:multiLvlStrCache>
            </c:multiLvlStrRef>
          </c:cat>
          <c:val>
            <c:numRef>
              <c:f>'Annexe 2'!$B$33:$I$33</c:f>
              <c:numCache>
                <c:formatCode>0.00%</c:formatCode>
                <c:ptCount val="8"/>
                <c:pt idx="0">
                  <c:v>3.2468023841782115E-2</c:v>
                </c:pt>
                <c:pt idx="1">
                  <c:v>2.9633809561170836E-2</c:v>
                </c:pt>
                <c:pt idx="2">
                  <c:v>8.7744101208526201E-2</c:v>
                </c:pt>
                <c:pt idx="3">
                  <c:v>7.6863243548267374E-2</c:v>
                </c:pt>
                <c:pt idx="4">
                  <c:v>7.1567981819524885E-4</c:v>
                </c:pt>
                <c:pt idx="5">
                  <c:v>2.1205967938386104E-2</c:v>
                </c:pt>
                <c:pt idx="6">
                  <c:v>4.9839251255628433E-3</c:v>
                </c:pt>
                <c:pt idx="7">
                  <c:v>5.2346021802613775E-3</c:v>
                </c:pt>
              </c:numCache>
            </c:numRef>
          </c:val>
          <c:extLst>
            <c:ext xmlns:c16="http://schemas.microsoft.com/office/drawing/2014/chart" uri="{C3380CC4-5D6E-409C-BE32-E72D297353CC}">
              <c16:uniqueId val="{00000000-D4D8-8149-B4C6-208F716103DE}"/>
            </c:ext>
          </c:extLst>
        </c:ser>
        <c:ser>
          <c:idx val="1"/>
          <c:order val="1"/>
          <c:tx>
            <c:strRef>
              <c:f>'Annexe 2'!$A$34</c:f>
              <c:strCache>
                <c:ptCount val="1"/>
                <c:pt idx="0">
                  <c:v>Utilisation</c:v>
                </c:pt>
              </c:strCache>
            </c:strRef>
          </c:tx>
          <c:spPr>
            <a:solidFill>
              <a:schemeClr val="accent2"/>
            </a:solidFill>
            <a:ln>
              <a:noFill/>
            </a:ln>
            <a:effectLst/>
          </c:spPr>
          <c:invertIfNegative val="0"/>
          <c:cat>
            <c:multiLvlStrRef>
              <c:f>'Annexe 2'!$B$31:$I$32</c:f>
              <c:multiLvlStrCache>
                <c:ptCount val="8"/>
                <c:lvl>
                  <c:pt idx="0">
                    <c:v>QC</c:v>
                  </c:pt>
                  <c:pt idx="1">
                    <c:v>AB</c:v>
                  </c:pt>
                  <c:pt idx="2">
                    <c:v>QC</c:v>
                  </c:pt>
                  <c:pt idx="3">
                    <c:v>AB</c:v>
                  </c:pt>
                  <c:pt idx="4">
                    <c:v>QC</c:v>
                  </c:pt>
                  <c:pt idx="5">
                    <c:v>AB</c:v>
                  </c:pt>
                  <c:pt idx="6">
                    <c:v>QC</c:v>
                  </c:pt>
                  <c:pt idx="7">
                    <c:v>AB</c:v>
                  </c:pt>
                </c:lvl>
                <c:lvl>
                  <c:pt idx="0">
                    <c:v>Santé Humaine</c:v>
                  </c:pt>
                  <c:pt idx="2">
                    <c:v>Qualité des écosystèmes</c:v>
                  </c:pt>
                  <c:pt idx="4">
                    <c:v>Changements climatiques</c:v>
                  </c:pt>
                  <c:pt idx="6">
                    <c:v>Ressources</c:v>
                  </c:pt>
                </c:lvl>
              </c:multiLvlStrCache>
            </c:multiLvlStrRef>
          </c:cat>
          <c:val>
            <c:numRef>
              <c:f>'Annexe 2'!$B$34:$I$34</c:f>
              <c:numCache>
                <c:formatCode>0.00%</c:formatCode>
                <c:ptCount val="8"/>
                <c:pt idx="0">
                  <c:v>3.5316617735702063E-2</c:v>
                </c:pt>
                <c:pt idx="1">
                  <c:v>0.97033328319409839</c:v>
                </c:pt>
                <c:pt idx="2">
                  <c:v>0.21589418596206811</c:v>
                </c:pt>
                <c:pt idx="3">
                  <c:v>0.92277088949932973</c:v>
                </c:pt>
                <c:pt idx="4">
                  <c:v>3.3528188917903183E-3</c:v>
                </c:pt>
                <c:pt idx="5">
                  <c:v>0.97874987311525763</c:v>
                </c:pt>
                <c:pt idx="6">
                  <c:v>1.789471769631662E-2</c:v>
                </c:pt>
                <c:pt idx="7">
                  <c:v>0.99474378744783309</c:v>
                </c:pt>
              </c:numCache>
            </c:numRef>
          </c:val>
          <c:extLst>
            <c:ext xmlns:c16="http://schemas.microsoft.com/office/drawing/2014/chart" uri="{C3380CC4-5D6E-409C-BE32-E72D297353CC}">
              <c16:uniqueId val="{00000001-D4D8-8149-B4C6-208F716103DE}"/>
            </c:ext>
          </c:extLst>
        </c:ser>
        <c:ser>
          <c:idx val="2"/>
          <c:order val="2"/>
          <c:tx>
            <c:strRef>
              <c:f>'Annexe 2'!$A$35</c:f>
              <c:strCache>
                <c:ptCount val="1"/>
                <c:pt idx="0">
                  <c:v>Fin de vie</c:v>
                </c:pt>
              </c:strCache>
            </c:strRef>
          </c:tx>
          <c:spPr>
            <a:solidFill>
              <a:schemeClr val="accent3"/>
            </a:solidFill>
            <a:ln>
              <a:noFill/>
            </a:ln>
            <a:effectLst/>
          </c:spPr>
          <c:invertIfNegative val="0"/>
          <c:cat>
            <c:multiLvlStrRef>
              <c:f>'Annexe 2'!$B$31:$I$32</c:f>
              <c:multiLvlStrCache>
                <c:ptCount val="8"/>
                <c:lvl>
                  <c:pt idx="0">
                    <c:v>QC</c:v>
                  </c:pt>
                  <c:pt idx="1">
                    <c:v>AB</c:v>
                  </c:pt>
                  <c:pt idx="2">
                    <c:v>QC</c:v>
                  </c:pt>
                  <c:pt idx="3">
                    <c:v>AB</c:v>
                  </c:pt>
                  <c:pt idx="4">
                    <c:v>QC</c:v>
                  </c:pt>
                  <c:pt idx="5">
                    <c:v>AB</c:v>
                  </c:pt>
                  <c:pt idx="6">
                    <c:v>QC</c:v>
                  </c:pt>
                  <c:pt idx="7">
                    <c:v>AB</c:v>
                  </c:pt>
                </c:lvl>
                <c:lvl>
                  <c:pt idx="0">
                    <c:v>Santé Humaine</c:v>
                  </c:pt>
                  <c:pt idx="2">
                    <c:v>Qualité des écosystèmes</c:v>
                  </c:pt>
                  <c:pt idx="4">
                    <c:v>Changements climatiques</c:v>
                  </c:pt>
                  <c:pt idx="6">
                    <c:v>Ressources</c:v>
                  </c:pt>
                </c:lvl>
              </c:multiLvlStrCache>
            </c:multiLvlStrRef>
          </c:cat>
          <c:val>
            <c:numRef>
              <c:f>'Annexe 2'!$B$35:$I$35</c:f>
              <c:numCache>
                <c:formatCode>0.00%</c:formatCode>
                <c:ptCount val="8"/>
                <c:pt idx="0">
                  <c:v>3.6378806951009949E-5</c:v>
                </c:pt>
                <c:pt idx="1">
                  <c:v>3.2907244730721997E-5</c:v>
                </c:pt>
                <c:pt idx="2">
                  <c:v>4.1708832572334373E-4</c:v>
                </c:pt>
                <c:pt idx="3">
                  <c:v>3.658669524028898E-4</c:v>
                </c:pt>
                <c:pt idx="4">
                  <c:v>2.5498573643209533E-6</c:v>
                </c:pt>
                <c:pt idx="5">
                  <c:v>4.4158946356172469E-5</c:v>
                </c:pt>
                <c:pt idx="6">
                  <c:v>2.0529853309349164E-5</c:v>
                </c:pt>
                <c:pt idx="7">
                  <c:v>2.1610371905535778E-5</c:v>
                </c:pt>
              </c:numCache>
            </c:numRef>
          </c:val>
          <c:extLst>
            <c:ext xmlns:c16="http://schemas.microsoft.com/office/drawing/2014/chart" uri="{C3380CC4-5D6E-409C-BE32-E72D297353CC}">
              <c16:uniqueId val="{00000002-D4D8-8149-B4C6-208F716103DE}"/>
            </c:ext>
          </c:extLst>
        </c:ser>
        <c:dLbls>
          <c:showLegendKey val="0"/>
          <c:showVal val="0"/>
          <c:showCatName val="0"/>
          <c:showSerName val="0"/>
          <c:showPercent val="0"/>
          <c:showBubbleSize val="0"/>
        </c:dLbls>
        <c:gapWidth val="150"/>
        <c:overlap val="100"/>
        <c:axId val="722524655"/>
        <c:axId val="723199343"/>
      </c:barChart>
      <c:catAx>
        <c:axId val="722524655"/>
        <c:scaling>
          <c:orientation val="minMax"/>
        </c:scaling>
        <c:delete val="0"/>
        <c:axPos val="b"/>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23199343"/>
        <c:crosses val="autoZero"/>
        <c:auto val="1"/>
        <c:lblAlgn val="ctr"/>
        <c:lblOffset val="100"/>
        <c:noMultiLvlLbl val="0"/>
      </c:catAx>
      <c:valAx>
        <c:axId val="723199343"/>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22524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Graphique d</a:t>
            </a:r>
            <a:r>
              <a:rPr lang="fr-CA" baseline="0"/>
              <a:t>e pollution de gaz à effet de serre pour le Québec</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stacked"/>
        <c:varyColors val="0"/>
        <c:ser>
          <c:idx val="0"/>
          <c:order val="0"/>
          <c:tx>
            <c:strRef>
              <c:f>'Annexe 1'!$V$30</c:f>
              <c:strCache>
                <c:ptCount val="1"/>
                <c:pt idx="0">
                  <c:v>Production</c:v>
                </c:pt>
              </c:strCache>
            </c:strRef>
          </c:tx>
          <c:spPr>
            <a:solidFill>
              <a:schemeClr val="accent1"/>
            </a:solidFill>
            <a:ln>
              <a:noFill/>
            </a:ln>
            <a:effectLst/>
          </c:spPr>
          <c:invertIfNegative val="0"/>
          <c:cat>
            <c:strRef>
              <c:f>'Annexe 1'!$W$29:$AM$29</c:f>
              <c:strCache>
                <c:ptCount val="17"/>
                <c:pt idx="0">
                  <c:v>CH4</c:v>
                </c:pt>
                <c:pt idx="1">
                  <c:v>C02</c:v>
                </c:pt>
                <c:pt idx="2">
                  <c:v>N20</c:v>
                </c:pt>
                <c:pt idx="3">
                  <c:v>SF6</c:v>
                </c:pt>
                <c:pt idx="4">
                  <c:v>CO</c:v>
                </c:pt>
                <c:pt idx="5">
                  <c:v>CFC-14</c:v>
                </c:pt>
                <c:pt idx="6">
                  <c:v>HFC-116</c:v>
                </c:pt>
                <c:pt idx="7">
                  <c:v>CFC-12</c:v>
                </c:pt>
                <c:pt idx="8">
                  <c:v>CFC-114</c:v>
                </c:pt>
                <c:pt idx="9">
                  <c:v>HFC-22</c:v>
                </c:pt>
                <c:pt idx="10">
                  <c:v>HFC-23</c:v>
                </c:pt>
                <c:pt idx="11">
                  <c:v>CFC-10</c:v>
                </c:pt>
                <c:pt idx="12">
                  <c:v>CFC-113</c:v>
                </c:pt>
                <c:pt idx="13">
                  <c:v>Halon 1301</c:v>
                </c:pt>
                <c:pt idx="14">
                  <c:v>HFC-134a</c:v>
                </c:pt>
                <c:pt idx="15">
                  <c:v>HFC-152a</c:v>
                </c:pt>
                <c:pt idx="16">
                  <c:v>Halon 1211</c:v>
                </c:pt>
              </c:strCache>
            </c:strRef>
          </c:cat>
          <c:val>
            <c:numRef>
              <c:f>'Annexe 1'!$W$30:$AM$30</c:f>
              <c:numCache>
                <c:formatCode>0.00E+00</c:formatCode>
                <c:ptCount val="17"/>
                <c:pt idx="0">
                  <c:v>3711.795224667489</c:v>
                </c:pt>
                <c:pt idx="1">
                  <c:v>97067.51906980027</c:v>
                </c:pt>
                <c:pt idx="2">
                  <c:v>860.68671241999994</c:v>
                </c:pt>
                <c:pt idx="3">
                  <c:v>1149.6899407615997</c:v>
                </c:pt>
                <c:pt idx="4">
                  <c:v>803.20574695199991</c:v>
                </c:pt>
                <c:pt idx="5">
                  <c:v>555.85447901973328</c:v>
                </c:pt>
                <c:pt idx="6">
                  <c:v>94.937572829706653</c:v>
                </c:pt>
                <c:pt idx="7">
                  <c:v>167.41764302213329</c:v>
                </c:pt>
                <c:pt idx="8">
                  <c:v>7.7189004594533328</c:v>
                </c:pt>
                <c:pt idx="9">
                  <c:v>94.502818422551996</c:v>
                </c:pt>
                <c:pt idx="10">
                  <c:v>104.26942080566</c:v>
                </c:pt>
                <c:pt idx="11">
                  <c:v>3.3292028476034661</c:v>
                </c:pt>
                <c:pt idx="12">
                  <c:v>3506.4448914159357</c:v>
                </c:pt>
                <c:pt idx="13">
                  <c:v>0.84753380977333326</c:v>
                </c:pt>
                <c:pt idx="14">
                  <c:v>994.39431132845027</c:v>
                </c:pt>
                <c:pt idx="15">
                  <c:v>1.0858338783914667</c:v>
                </c:pt>
                <c:pt idx="16">
                  <c:v>5.4192633508E-2</c:v>
                </c:pt>
              </c:numCache>
            </c:numRef>
          </c:val>
          <c:extLst>
            <c:ext xmlns:c16="http://schemas.microsoft.com/office/drawing/2014/chart" uri="{C3380CC4-5D6E-409C-BE32-E72D297353CC}">
              <c16:uniqueId val="{00000000-2E30-2441-8741-D88E29121E7E}"/>
            </c:ext>
          </c:extLst>
        </c:ser>
        <c:ser>
          <c:idx val="1"/>
          <c:order val="1"/>
          <c:tx>
            <c:strRef>
              <c:f>'Annexe 1'!$V$31</c:f>
              <c:strCache>
                <c:ptCount val="1"/>
                <c:pt idx="0">
                  <c:v>Utilisation</c:v>
                </c:pt>
              </c:strCache>
            </c:strRef>
          </c:tx>
          <c:spPr>
            <a:solidFill>
              <a:schemeClr val="accent2"/>
            </a:solidFill>
            <a:ln>
              <a:noFill/>
            </a:ln>
            <a:effectLst/>
          </c:spPr>
          <c:invertIfNegative val="0"/>
          <c:cat>
            <c:strRef>
              <c:f>'Annexe 1'!$W$29:$AM$29</c:f>
              <c:strCache>
                <c:ptCount val="17"/>
                <c:pt idx="0">
                  <c:v>CH4</c:v>
                </c:pt>
                <c:pt idx="1">
                  <c:v>C02</c:v>
                </c:pt>
                <c:pt idx="2">
                  <c:v>N20</c:v>
                </c:pt>
                <c:pt idx="3">
                  <c:v>SF6</c:v>
                </c:pt>
                <c:pt idx="4">
                  <c:v>CO</c:v>
                </c:pt>
                <c:pt idx="5">
                  <c:v>CFC-14</c:v>
                </c:pt>
                <c:pt idx="6">
                  <c:v>HFC-116</c:v>
                </c:pt>
                <c:pt idx="7">
                  <c:v>CFC-12</c:v>
                </c:pt>
                <c:pt idx="8">
                  <c:v>CFC-114</c:v>
                </c:pt>
                <c:pt idx="9">
                  <c:v>HFC-22</c:v>
                </c:pt>
                <c:pt idx="10">
                  <c:v>HFC-23</c:v>
                </c:pt>
                <c:pt idx="11">
                  <c:v>CFC-10</c:v>
                </c:pt>
                <c:pt idx="12">
                  <c:v>CFC-113</c:v>
                </c:pt>
                <c:pt idx="13">
                  <c:v>Halon 1301</c:v>
                </c:pt>
                <c:pt idx="14">
                  <c:v>HFC-134a</c:v>
                </c:pt>
                <c:pt idx="15">
                  <c:v>HFC-152a</c:v>
                </c:pt>
                <c:pt idx="16">
                  <c:v>Halon 1211</c:v>
                </c:pt>
              </c:strCache>
            </c:strRef>
          </c:cat>
          <c:val>
            <c:numRef>
              <c:f>'Annexe 1'!$W$31:$AM$31</c:f>
              <c:numCache>
                <c:formatCode>0.00E+00</c:formatCode>
                <c:ptCount val="17"/>
                <c:pt idx="0">
                  <c:v>6710.9699214933335</c:v>
                </c:pt>
                <c:pt idx="1">
                  <c:v>464858.6333333333</c:v>
                </c:pt>
                <c:pt idx="2">
                  <c:v>26890.923333333336</c:v>
                </c:pt>
                <c:pt idx="3">
                  <c:v>11122.551333333333</c:v>
                </c:pt>
                <c:pt idx="4">
                  <c:v>1170.2304666666664</c:v>
                </c:pt>
                <c:pt idx="5">
                  <c:v>297.04653999999999</c:v>
                </c:pt>
                <c:pt idx="6">
                  <c:v>44.071958000000002</c:v>
                </c:pt>
                <c:pt idx="7">
                  <c:v>13.037829999999998</c:v>
                </c:pt>
                <c:pt idx="8">
                  <c:v>33.825363333333335</c:v>
                </c:pt>
                <c:pt idx="9">
                  <c:v>7.9618699999999993</c:v>
                </c:pt>
                <c:pt idx="10">
                  <c:v>2.9915121333333334</c:v>
                </c:pt>
                <c:pt idx="11">
                  <c:v>0.21497475333333332</c:v>
                </c:pt>
                <c:pt idx="12">
                  <c:v>51.773805999999993</c:v>
                </c:pt>
                <c:pt idx="13">
                  <c:v>3.6690725333333334</c:v>
                </c:pt>
                <c:pt idx="14">
                  <c:v>15.033253333333336</c:v>
                </c:pt>
                <c:pt idx="15">
                  <c:v>0.14351837999999997</c:v>
                </c:pt>
                <c:pt idx="16">
                  <c:v>0.19936164000000001</c:v>
                </c:pt>
              </c:numCache>
            </c:numRef>
          </c:val>
          <c:extLst>
            <c:ext xmlns:c16="http://schemas.microsoft.com/office/drawing/2014/chart" uri="{C3380CC4-5D6E-409C-BE32-E72D297353CC}">
              <c16:uniqueId val="{00000001-2E30-2441-8741-D88E29121E7E}"/>
            </c:ext>
          </c:extLst>
        </c:ser>
        <c:ser>
          <c:idx val="2"/>
          <c:order val="2"/>
          <c:tx>
            <c:strRef>
              <c:f>'Annexe 1'!$V$32</c:f>
              <c:strCache>
                <c:ptCount val="1"/>
                <c:pt idx="0">
                  <c:v>FIn de vie</c:v>
                </c:pt>
              </c:strCache>
            </c:strRef>
          </c:tx>
          <c:spPr>
            <a:solidFill>
              <a:schemeClr val="accent3"/>
            </a:solidFill>
            <a:ln>
              <a:noFill/>
            </a:ln>
            <a:effectLst/>
          </c:spPr>
          <c:invertIfNegative val="0"/>
          <c:cat>
            <c:strRef>
              <c:f>'Annexe 1'!$W$29:$AM$29</c:f>
              <c:strCache>
                <c:ptCount val="17"/>
                <c:pt idx="0">
                  <c:v>CH4</c:v>
                </c:pt>
                <c:pt idx="1">
                  <c:v>C02</c:v>
                </c:pt>
                <c:pt idx="2">
                  <c:v>N20</c:v>
                </c:pt>
                <c:pt idx="3">
                  <c:v>SF6</c:v>
                </c:pt>
                <c:pt idx="4">
                  <c:v>CO</c:v>
                </c:pt>
                <c:pt idx="5">
                  <c:v>CFC-14</c:v>
                </c:pt>
                <c:pt idx="6">
                  <c:v>HFC-116</c:v>
                </c:pt>
                <c:pt idx="7">
                  <c:v>CFC-12</c:v>
                </c:pt>
                <c:pt idx="8">
                  <c:v>CFC-114</c:v>
                </c:pt>
                <c:pt idx="9">
                  <c:v>HFC-22</c:v>
                </c:pt>
                <c:pt idx="10">
                  <c:v>HFC-23</c:v>
                </c:pt>
                <c:pt idx="11">
                  <c:v>CFC-10</c:v>
                </c:pt>
                <c:pt idx="12">
                  <c:v>CFC-113</c:v>
                </c:pt>
                <c:pt idx="13">
                  <c:v>Halon 1301</c:v>
                </c:pt>
                <c:pt idx="14">
                  <c:v>HFC-134a</c:v>
                </c:pt>
                <c:pt idx="15">
                  <c:v>HFC-152a</c:v>
                </c:pt>
                <c:pt idx="16">
                  <c:v>Halon 1211</c:v>
                </c:pt>
              </c:strCache>
            </c:strRef>
          </c:cat>
          <c:val>
            <c:numRef>
              <c:f>'Annexe 1'!$W$32:$AM$32</c:f>
              <c:numCache>
                <c:formatCode>0.00E+00</c:formatCode>
                <c:ptCount val="17"/>
                <c:pt idx="0">
                  <c:v>6.3507240805228333</c:v>
                </c:pt>
                <c:pt idx="1">
                  <c:v>378.14119497413992</c:v>
                </c:pt>
                <c:pt idx="2">
                  <c:v>2.5513530632000001</c:v>
                </c:pt>
                <c:pt idx="3">
                  <c:v>0.29994336359999996</c:v>
                </c:pt>
                <c:pt idx="4">
                  <c:v>1.3438875115333333</c:v>
                </c:pt>
                <c:pt idx="5">
                  <c:v>6.4382929806666656E-2</c:v>
                </c:pt>
                <c:pt idx="6">
                  <c:v>9.6450798619999983E-3</c:v>
                </c:pt>
                <c:pt idx="7">
                  <c:v>1.3048289390666665E-3</c:v>
                </c:pt>
                <c:pt idx="8">
                  <c:v>8.4144702139999986E-3</c:v>
                </c:pt>
                <c:pt idx="9">
                  <c:v>2.7685446213333333E-3</c:v>
                </c:pt>
                <c:pt idx="10">
                  <c:v>7.6507375693333341E-4</c:v>
                </c:pt>
                <c:pt idx="11">
                  <c:v>9.5224864273333329E-5</c:v>
                </c:pt>
                <c:pt idx="12">
                  <c:v>3.5623277066666661E-4</c:v>
                </c:pt>
                <c:pt idx="13">
                  <c:v>1.6027742638000001E-2</c:v>
                </c:pt>
                <c:pt idx="14">
                  <c:v>2.3151656853333334E-4</c:v>
                </c:pt>
                <c:pt idx="15">
                  <c:v>4.1828853213333325E-5</c:v>
                </c:pt>
                <c:pt idx="16">
                  <c:v>5.1154057486666677E-5</c:v>
                </c:pt>
              </c:numCache>
            </c:numRef>
          </c:val>
          <c:extLst>
            <c:ext xmlns:c16="http://schemas.microsoft.com/office/drawing/2014/chart" uri="{C3380CC4-5D6E-409C-BE32-E72D297353CC}">
              <c16:uniqueId val="{00000002-2E30-2441-8741-D88E29121E7E}"/>
            </c:ext>
          </c:extLst>
        </c:ser>
        <c:dLbls>
          <c:showLegendKey val="0"/>
          <c:showVal val="0"/>
          <c:showCatName val="0"/>
          <c:showSerName val="0"/>
          <c:showPercent val="0"/>
          <c:showBubbleSize val="0"/>
        </c:dLbls>
        <c:gapWidth val="150"/>
        <c:overlap val="100"/>
        <c:axId val="507622079"/>
        <c:axId val="526766703"/>
      </c:barChart>
      <c:catAx>
        <c:axId val="50762207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6766703"/>
        <c:crosses val="autoZero"/>
        <c:auto val="1"/>
        <c:lblAlgn val="ctr"/>
        <c:lblOffset val="100"/>
        <c:noMultiLvlLbl val="0"/>
      </c:catAx>
      <c:valAx>
        <c:axId val="52676670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7622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sz="1400" b="0" i="0" baseline="0">
                <a:effectLst/>
              </a:rPr>
              <a:t>Graphique de pollution de gaz à effet de serre pour l'Alberta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stacked"/>
        <c:varyColors val="0"/>
        <c:ser>
          <c:idx val="0"/>
          <c:order val="0"/>
          <c:tx>
            <c:strRef>
              <c:f>'Annexe 1'!$V$30</c:f>
              <c:strCache>
                <c:ptCount val="1"/>
                <c:pt idx="0">
                  <c:v>Production</c:v>
                </c:pt>
              </c:strCache>
            </c:strRef>
          </c:tx>
          <c:spPr>
            <a:solidFill>
              <a:schemeClr val="accent1"/>
            </a:solidFill>
            <a:ln>
              <a:noFill/>
            </a:ln>
            <a:effectLst/>
          </c:spPr>
          <c:invertIfNegative val="0"/>
          <c:cat>
            <c:strRef>
              <c:f>'Annexe 1'!$W$29:$AM$29</c:f>
              <c:strCache>
                <c:ptCount val="17"/>
                <c:pt idx="0">
                  <c:v>CH4</c:v>
                </c:pt>
                <c:pt idx="1">
                  <c:v>C02</c:v>
                </c:pt>
                <c:pt idx="2">
                  <c:v>N20</c:v>
                </c:pt>
                <c:pt idx="3">
                  <c:v>SF6</c:v>
                </c:pt>
                <c:pt idx="4">
                  <c:v>CO</c:v>
                </c:pt>
                <c:pt idx="5">
                  <c:v>CFC-14</c:v>
                </c:pt>
                <c:pt idx="6">
                  <c:v>HFC-116</c:v>
                </c:pt>
                <c:pt idx="7">
                  <c:v>CFC-12</c:v>
                </c:pt>
                <c:pt idx="8">
                  <c:v>CFC-114</c:v>
                </c:pt>
                <c:pt idx="9">
                  <c:v>HFC-22</c:v>
                </c:pt>
                <c:pt idx="10">
                  <c:v>HFC-23</c:v>
                </c:pt>
                <c:pt idx="11">
                  <c:v>CFC-10</c:v>
                </c:pt>
                <c:pt idx="12">
                  <c:v>CFC-113</c:v>
                </c:pt>
                <c:pt idx="13">
                  <c:v>Halon 1301</c:v>
                </c:pt>
                <c:pt idx="14">
                  <c:v>HFC-134a</c:v>
                </c:pt>
                <c:pt idx="15">
                  <c:v>HFC-152a</c:v>
                </c:pt>
                <c:pt idx="16">
                  <c:v>Halon 1211</c:v>
                </c:pt>
              </c:strCache>
            </c:strRef>
          </c:cat>
          <c:val>
            <c:numRef>
              <c:f>'Annexe 1'!$W$30:$AM$30</c:f>
              <c:numCache>
                <c:formatCode>0.00E+00</c:formatCode>
                <c:ptCount val="17"/>
                <c:pt idx="0">
                  <c:v>7077575.6402558042</c:v>
                </c:pt>
                <c:pt idx="1">
                  <c:v>185086.37110767001</c:v>
                </c:pt>
                <c:pt idx="2">
                  <c:v>962.47593607499994</c:v>
                </c:pt>
                <c:pt idx="3">
                  <c:v>390.67209705509998</c:v>
                </c:pt>
                <c:pt idx="4">
                  <c:v>1066.3032607199998</c:v>
                </c:pt>
                <c:pt idx="5">
                  <c:v>693.18262678975498</c:v>
                </c:pt>
                <c:pt idx="6">
                  <c:v>116.4431840199135</c:v>
                </c:pt>
                <c:pt idx="7">
                  <c:v>297.11701013211149</c:v>
                </c:pt>
                <c:pt idx="8">
                  <c:v>6.4041760598140671</c:v>
                </c:pt>
                <c:pt idx="9">
                  <c:v>167.07491164805359</c:v>
                </c:pt>
                <c:pt idx="10">
                  <c:v>191.62314586544571</c:v>
                </c:pt>
                <c:pt idx="11">
                  <c:v>5.4202485400186653</c:v>
                </c:pt>
                <c:pt idx="12">
                  <c:v>6684.8779481748297</c:v>
                </c:pt>
                <c:pt idx="13">
                  <c:v>0.94954319616651706</c:v>
                </c:pt>
                <c:pt idx="14">
                  <c:v>1890.2987868778371</c:v>
                </c:pt>
                <c:pt idx="15">
                  <c:v>1.5556994750747464</c:v>
                </c:pt>
                <c:pt idx="16">
                  <c:v>5.1893138901440275E-2</c:v>
                </c:pt>
              </c:numCache>
            </c:numRef>
          </c:val>
          <c:extLst>
            <c:ext xmlns:c16="http://schemas.microsoft.com/office/drawing/2014/chart" uri="{C3380CC4-5D6E-409C-BE32-E72D297353CC}">
              <c16:uniqueId val="{00000000-A277-6943-9545-9FE021E56671}"/>
            </c:ext>
          </c:extLst>
        </c:ser>
        <c:ser>
          <c:idx val="1"/>
          <c:order val="1"/>
          <c:tx>
            <c:strRef>
              <c:f>'Annexe 1'!$V$31</c:f>
              <c:strCache>
                <c:ptCount val="1"/>
                <c:pt idx="0">
                  <c:v>Utilisation</c:v>
                </c:pt>
              </c:strCache>
            </c:strRef>
          </c:tx>
          <c:spPr>
            <a:solidFill>
              <a:schemeClr val="accent2"/>
            </a:solidFill>
            <a:ln>
              <a:noFill/>
            </a:ln>
            <a:effectLst/>
          </c:spPr>
          <c:invertIfNegative val="0"/>
          <c:cat>
            <c:strRef>
              <c:f>'Annexe 1'!$W$29:$AM$29</c:f>
              <c:strCache>
                <c:ptCount val="17"/>
                <c:pt idx="0">
                  <c:v>CH4</c:v>
                </c:pt>
                <c:pt idx="1">
                  <c:v>C02</c:v>
                </c:pt>
                <c:pt idx="2">
                  <c:v>N20</c:v>
                </c:pt>
                <c:pt idx="3">
                  <c:v>SF6</c:v>
                </c:pt>
                <c:pt idx="4">
                  <c:v>CO</c:v>
                </c:pt>
                <c:pt idx="5">
                  <c:v>CFC-14</c:v>
                </c:pt>
                <c:pt idx="6">
                  <c:v>HFC-116</c:v>
                </c:pt>
                <c:pt idx="7">
                  <c:v>CFC-12</c:v>
                </c:pt>
                <c:pt idx="8">
                  <c:v>CFC-114</c:v>
                </c:pt>
                <c:pt idx="9">
                  <c:v>HFC-22</c:v>
                </c:pt>
                <c:pt idx="10">
                  <c:v>HFC-23</c:v>
                </c:pt>
                <c:pt idx="11">
                  <c:v>CFC-10</c:v>
                </c:pt>
                <c:pt idx="12">
                  <c:v>CFC-113</c:v>
                </c:pt>
                <c:pt idx="13">
                  <c:v>Halon 1301</c:v>
                </c:pt>
                <c:pt idx="14">
                  <c:v>HFC-134a</c:v>
                </c:pt>
                <c:pt idx="15">
                  <c:v>HFC-152a</c:v>
                </c:pt>
                <c:pt idx="16">
                  <c:v>Halon 1211</c:v>
                </c:pt>
              </c:strCache>
            </c:strRef>
          </c:cat>
          <c:val>
            <c:numRef>
              <c:f>'Annexe 1'!$W$31:$AM$31</c:f>
              <c:numCache>
                <c:formatCode>0.00E+00</c:formatCode>
                <c:ptCount val="17"/>
                <c:pt idx="0">
                  <c:v>284769286.27120912</c:v>
                </c:pt>
                <c:pt idx="1">
                  <c:v>50520707.561807998</c:v>
                </c:pt>
                <c:pt idx="2">
                  <c:v>185940.98160000003</c:v>
                </c:pt>
                <c:pt idx="3">
                  <c:v>263475.73559999996</c:v>
                </c:pt>
                <c:pt idx="4">
                  <c:v>36335.196479999999</c:v>
                </c:pt>
                <c:pt idx="5">
                  <c:v>2548.7569800000001</c:v>
                </c:pt>
                <c:pt idx="6">
                  <c:v>377.81990399999989</c:v>
                </c:pt>
                <c:pt idx="7">
                  <c:v>132.31520280000001</c:v>
                </c:pt>
                <c:pt idx="8">
                  <c:v>167.47650479999999</c:v>
                </c:pt>
                <c:pt idx="9">
                  <c:v>217.25398199999998</c:v>
                </c:pt>
                <c:pt idx="10">
                  <c:v>30.908404560000005</c:v>
                </c:pt>
                <c:pt idx="11">
                  <c:v>2.5321721039999998</c:v>
                </c:pt>
                <c:pt idx="12">
                  <c:v>352.99202400000007</c:v>
                </c:pt>
                <c:pt idx="13">
                  <c:v>233.38161000000002</c:v>
                </c:pt>
                <c:pt idx="14">
                  <c:v>103.27118736</c:v>
                </c:pt>
                <c:pt idx="15">
                  <c:v>1.5172864079999999</c:v>
                </c:pt>
                <c:pt idx="16">
                  <c:v>37.671951239999999</c:v>
                </c:pt>
              </c:numCache>
            </c:numRef>
          </c:val>
          <c:extLst>
            <c:ext xmlns:c16="http://schemas.microsoft.com/office/drawing/2014/chart" uri="{C3380CC4-5D6E-409C-BE32-E72D297353CC}">
              <c16:uniqueId val="{00000001-A277-6943-9545-9FE021E56671}"/>
            </c:ext>
          </c:extLst>
        </c:ser>
        <c:ser>
          <c:idx val="2"/>
          <c:order val="2"/>
          <c:tx>
            <c:strRef>
              <c:f>'Annexe 1'!$V$32</c:f>
              <c:strCache>
                <c:ptCount val="1"/>
                <c:pt idx="0">
                  <c:v>FIn de vie</c:v>
                </c:pt>
              </c:strCache>
            </c:strRef>
          </c:tx>
          <c:spPr>
            <a:solidFill>
              <a:schemeClr val="accent3"/>
            </a:solidFill>
            <a:ln>
              <a:noFill/>
            </a:ln>
            <a:effectLst/>
          </c:spPr>
          <c:invertIfNegative val="0"/>
          <c:cat>
            <c:strRef>
              <c:f>'Annexe 1'!$W$29:$AM$29</c:f>
              <c:strCache>
                <c:ptCount val="17"/>
                <c:pt idx="0">
                  <c:v>CH4</c:v>
                </c:pt>
                <c:pt idx="1">
                  <c:v>C02</c:v>
                </c:pt>
                <c:pt idx="2">
                  <c:v>N20</c:v>
                </c:pt>
                <c:pt idx="3">
                  <c:v>SF6</c:v>
                </c:pt>
                <c:pt idx="4">
                  <c:v>CO</c:v>
                </c:pt>
                <c:pt idx="5">
                  <c:v>CFC-14</c:v>
                </c:pt>
                <c:pt idx="6">
                  <c:v>HFC-116</c:v>
                </c:pt>
                <c:pt idx="7">
                  <c:v>CFC-12</c:v>
                </c:pt>
                <c:pt idx="8">
                  <c:v>CFC-114</c:v>
                </c:pt>
                <c:pt idx="9">
                  <c:v>HFC-22</c:v>
                </c:pt>
                <c:pt idx="10">
                  <c:v>HFC-23</c:v>
                </c:pt>
                <c:pt idx="11">
                  <c:v>CFC-10</c:v>
                </c:pt>
                <c:pt idx="12">
                  <c:v>CFC-113</c:v>
                </c:pt>
                <c:pt idx="13">
                  <c:v>Halon 1301</c:v>
                </c:pt>
                <c:pt idx="14">
                  <c:v>HFC-134a</c:v>
                </c:pt>
                <c:pt idx="15">
                  <c:v>HFC-152a</c:v>
                </c:pt>
                <c:pt idx="16">
                  <c:v>Halon 1211</c:v>
                </c:pt>
              </c:strCache>
            </c:strRef>
          </c:cat>
          <c:val>
            <c:numRef>
              <c:f>'Annexe 1'!$W$32:$AM$32</c:f>
              <c:numCache>
                <c:formatCode>0.00E+00</c:formatCode>
                <c:ptCount val="17"/>
                <c:pt idx="0">
                  <c:v>14289.129181176377</c:v>
                </c:pt>
                <c:pt idx="1">
                  <c:v>850.81768869181485</c:v>
                </c:pt>
                <c:pt idx="2">
                  <c:v>5.7405443922000003</c:v>
                </c:pt>
                <c:pt idx="3">
                  <c:v>0.67487256809999996</c:v>
                </c:pt>
                <c:pt idx="4">
                  <c:v>3.02374690095</c:v>
                </c:pt>
                <c:pt idx="5">
                  <c:v>0.14486159206499999</c:v>
                </c:pt>
                <c:pt idx="6">
                  <c:v>2.17014296895E-2</c:v>
                </c:pt>
                <c:pt idx="7">
                  <c:v>2.9358651128999999E-3</c:v>
                </c:pt>
                <c:pt idx="8">
                  <c:v>1.8932557981499998E-2</c:v>
                </c:pt>
                <c:pt idx="9">
                  <c:v>6.229225397999999E-3</c:v>
                </c:pt>
                <c:pt idx="10">
                  <c:v>1.7214159531E-3</c:v>
                </c:pt>
                <c:pt idx="11">
                  <c:v>2.1425594461499999E-4</c:v>
                </c:pt>
                <c:pt idx="12">
                  <c:v>8.0152373399999984E-4</c:v>
                </c:pt>
                <c:pt idx="13">
                  <c:v>3.6062420935500002E-2</c:v>
                </c:pt>
                <c:pt idx="14">
                  <c:v>5.2091227919999982E-4</c:v>
                </c:pt>
                <c:pt idx="15">
                  <c:v>9.4114919729999992E-5</c:v>
                </c:pt>
                <c:pt idx="16">
                  <c:v>1.1509662934499999E-4</c:v>
                </c:pt>
              </c:numCache>
            </c:numRef>
          </c:val>
          <c:extLst>
            <c:ext xmlns:c16="http://schemas.microsoft.com/office/drawing/2014/chart" uri="{C3380CC4-5D6E-409C-BE32-E72D297353CC}">
              <c16:uniqueId val="{00000002-A277-6943-9545-9FE021E56671}"/>
            </c:ext>
          </c:extLst>
        </c:ser>
        <c:dLbls>
          <c:showLegendKey val="0"/>
          <c:showVal val="0"/>
          <c:showCatName val="0"/>
          <c:showSerName val="0"/>
          <c:showPercent val="0"/>
          <c:showBubbleSize val="0"/>
        </c:dLbls>
        <c:gapWidth val="150"/>
        <c:overlap val="100"/>
        <c:axId val="215647567"/>
        <c:axId val="215649215"/>
      </c:barChart>
      <c:catAx>
        <c:axId val="21564756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5649215"/>
        <c:crosses val="autoZero"/>
        <c:auto val="1"/>
        <c:lblAlgn val="ctr"/>
        <c:lblOffset val="100"/>
        <c:noMultiLvlLbl val="0"/>
      </c:catAx>
      <c:valAx>
        <c:axId val="21564921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5647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sz="1800" b="0" i="0" baseline="0">
                <a:effectLst/>
              </a:rPr>
              <a:t>Graphique comparant toutes les possibilités</a:t>
            </a:r>
            <a:endParaRPr lang="fr-C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stacked"/>
        <c:varyColors val="0"/>
        <c:ser>
          <c:idx val="0"/>
          <c:order val="0"/>
          <c:tx>
            <c:strRef>
              <c:f>'Annexe 2'!$A$89</c:f>
              <c:strCache>
                <c:ptCount val="1"/>
                <c:pt idx="0">
                  <c:v>Production</c:v>
                </c:pt>
              </c:strCache>
            </c:strRef>
          </c:tx>
          <c:spPr>
            <a:solidFill>
              <a:schemeClr val="accent1"/>
            </a:solidFill>
            <a:ln>
              <a:noFill/>
            </a:ln>
            <a:effectLst/>
          </c:spPr>
          <c:invertIfNegative val="0"/>
          <c:cat>
            <c:multiLvlStrRef>
              <c:f>'Annexe 2'!$B$87:$Y$88</c:f>
              <c:multiLvlStrCache>
                <c:ptCount val="24"/>
                <c:lvl>
                  <c:pt idx="0">
                    <c:v>QC PROVINCE</c:v>
                  </c:pt>
                  <c:pt idx="1">
                    <c:v>QC PANNEAU</c:v>
                  </c:pt>
                  <c:pt idx="2">
                    <c:v>QC EOLIENNE</c:v>
                  </c:pt>
                  <c:pt idx="3">
                    <c:v>AB PROVINCE</c:v>
                  </c:pt>
                  <c:pt idx="4">
                    <c:v>AB PANNEAU</c:v>
                  </c:pt>
                  <c:pt idx="5">
                    <c:v>AB EOLIENNE</c:v>
                  </c:pt>
                  <c:pt idx="6">
                    <c:v>QC PROVINCE</c:v>
                  </c:pt>
                  <c:pt idx="7">
                    <c:v>QC PANNEAU</c:v>
                  </c:pt>
                  <c:pt idx="8">
                    <c:v>QC EOLIENNE</c:v>
                  </c:pt>
                  <c:pt idx="9">
                    <c:v>AB PROVINCE</c:v>
                  </c:pt>
                  <c:pt idx="10">
                    <c:v>AB PANNEAU</c:v>
                  </c:pt>
                  <c:pt idx="11">
                    <c:v>AB EOLIENNE</c:v>
                  </c:pt>
                  <c:pt idx="12">
                    <c:v>QC PROVINCE</c:v>
                  </c:pt>
                  <c:pt idx="13">
                    <c:v>QC PANNEAU</c:v>
                  </c:pt>
                  <c:pt idx="14">
                    <c:v>QC EOLIENNE</c:v>
                  </c:pt>
                  <c:pt idx="15">
                    <c:v>AB PROVINCE</c:v>
                  </c:pt>
                  <c:pt idx="16">
                    <c:v>AB PANNEAU</c:v>
                  </c:pt>
                  <c:pt idx="17">
                    <c:v>AB EOLIENNE</c:v>
                  </c:pt>
                  <c:pt idx="18">
                    <c:v>QC PROVINCE</c:v>
                  </c:pt>
                  <c:pt idx="19">
                    <c:v>QC PANNEAU</c:v>
                  </c:pt>
                  <c:pt idx="20">
                    <c:v>QC EOLIENNE</c:v>
                  </c:pt>
                  <c:pt idx="21">
                    <c:v>AB PROVINCE</c:v>
                  </c:pt>
                  <c:pt idx="22">
                    <c:v>AB PANNEAU</c:v>
                  </c:pt>
                  <c:pt idx="23">
                    <c:v>AB EOLIENNE</c:v>
                  </c:pt>
                </c:lvl>
                <c:lvl>
                  <c:pt idx="0">
                    <c:v>Santé Huamine</c:v>
                  </c:pt>
                  <c:pt idx="6">
                    <c:v>Qualité des écosystème</c:v>
                  </c:pt>
                  <c:pt idx="12">
                    <c:v>Changements Climatique</c:v>
                  </c:pt>
                  <c:pt idx="18">
                    <c:v>Ressources</c:v>
                  </c:pt>
                </c:lvl>
              </c:multiLvlStrCache>
            </c:multiLvlStrRef>
          </c:cat>
          <c:val>
            <c:numRef>
              <c:f>'Annexe 2'!$B$89:$Y$89</c:f>
              <c:numCache>
                <c:formatCode>0%</c:formatCode>
                <c:ptCount val="24"/>
                <c:pt idx="0">
                  <c:v>3.2468023841782115E-2</c:v>
                </c:pt>
                <c:pt idx="1">
                  <c:v>3.2468023841782115E-2</c:v>
                </c:pt>
                <c:pt idx="2">
                  <c:v>3.2468023841782115E-2</c:v>
                </c:pt>
                <c:pt idx="3">
                  <c:v>2.9633809561170836E-2</c:v>
                </c:pt>
                <c:pt idx="4">
                  <c:v>2.9633809561170836E-2</c:v>
                </c:pt>
                <c:pt idx="5">
                  <c:v>2.9633809561170836E-2</c:v>
                </c:pt>
                <c:pt idx="6">
                  <c:v>8.7744101208526201E-2</c:v>
                </c:pt>
                <c:pt idx="7">
                  <c:v>8.7744101208526201E-2</c:v>
                </c:pt>
                <c:pt idx="8">
                  <c:v>8.7744101208526201E-2</c:v>
                </c:pt>
                <c:pt idx="9">
                  <c:v>7.6863243548267374E-2</c:v>
                </c:pt>
                <c:pt idx="10">
                  <c:v>7.6863243548267374E-2</c:v>
                </c:pt>
                <c:pt idx="11">
                  <c:v>7.6863243548267374E-2</c:v>
                </c:pt>
                <c:pt idx="12">
                  <c:v>7.1567981819524885E-4</c:v>
                </c:pt>
                <c:pt idx="13">
                  <c:v>7.1567981819524885E-4</c:v>
                </c:pt>
                <c:pt idx="14">
                  <c:v>7.1567981819524885E-4</c:v>
                </c:pt>
                <c:pt idx="15">
                  <c:v>2.1205967938386104E-2</c:v>
                </c:pt>
                <c:pt idx="16">
                  <c:v>2.1205967938386104E-2</c:v>
                </c:pt>
                <c:pt idx="17">
                  <c:v>2.1205967938386104E-2</c:v>
                </c:pt>
                <c:pt idx="18">
                  <c:v>4.9839251255628433E-3</c:v>
                </c:pt>
                <c:pt idx="19">
                  <c:v>4.9839251255628433E-3</c:v>
                </c:pt>
                <c:pt idx="20">
                  <c:v>4.9839251255628433E-3</c:v>
                </c:pt>
                <c:pt idx="21">
                  <c:v>5.2346021802613775E-3</c:v>
                </c:pt>
                <c:pt idx="22">
                  <c:v>5.2346021802613775E-3</c:v>
                </c:pt>
                <c:pt idx="23">
                  <c:v>5.2346021802613775E-3</c:v>
                </c:pt>
              </c:numCache>
            </c:numRef>
          </c:val>
          <c:extLst>
            <c:ext xmlns:c16="http://schemas.microsoft.com/office/drawing/2014/chart" uri="{C3380CC4-5D6E-409C-BE32-E72D297353CC}">
              <c16:uniqueId val="{00000000-A730-5B45-A911-CF13C88DFF22}"/>
            </c:ext>
          </c:extLst>
        </c:ser>
        <c:ser>
          <c:idx val="1"/>
          <c:order val="1"/>
          <c:tx>
            <c:strRef>
              <c:f>'Annexe 2'!$A$90</c:f>
              <c:strCache>
                <c:ptCount val="1"/>
                <c:pt idx="0">
                  <c:v>Utilisation</c:v>
                </c:pt>
              </c:strCache>
            </c:strRef>
          </c:tx>
          <c:spPr>
            <a:solidFill>
              <a:schemeClr val="accent2"/>
            </a:solidFill>
            <a:ln>
              <a:noFill/>
            </a:ln>
            <a:effectLst/>
          </c:spPr>
          <c:invertIfNegative val="0"/>
          <c:cat>
            <c:multiLvlStrRef>
              <c:f>'Annexe 2'!$B$87:$Y$88</c:f>
              <c:multiLvlStrCache>
                <c:ptCount val="24"/>
                <c:lvl>
                  <c:pt idx="0">
                    <c:v>QC PROVINCE</c:v>
                  </c:pt>
                  <c:pt idx="1">
                    <c:v>QC PANNEAU</c:v>
                  </c:pt>
                  <c:pt idx="2">
                    <c:v>QC EOLIENNE</c:v>
                  </c:pt>
                  <c:pt idx="3">
                    <c:v>AB PROVINCE</c:v>
                  </c:pt>
                  <c:pt idx="4">
                    <c:v>AB PANNEAU</c:v>
                  </c:pt>
                  <c:pt idx="5">
                    <c:v>AB EOLIENNE</c:v>
                  </c:pt>
                  <c:pt idx="6">
                    <c:v>QC PROVINCE</c:v>
                  </c:pt>
                  <c:pt idx="7">
                    <c:v>QC PANNEAU</c:v>
                  </c:pt>
                  <c:pt idx="8">
                    <c:v>QC EOLIENNE</c:v>
                  </c:pt>
                  <c:pt idx="9">
                    <c:v>AB PROVINCE</c:v>
                  </c:pt>
                  <c:pt idx="10">
                    <c:v>AB PANNEAU</c:v>
                  </c:pt>
                  <c:pt idx="11">
                    <c:v>AB EOLIENNE</c:v>
                  </c:pt>
                  <c:pt idx="12">
                    <c:v>QC PROVINCE</c:v>
                  </c:pt>
                  <c:pt idx="13">
                    <c:v>QC PANNEAU</c:v>
                  </c:pt>
                  <c:pt idx="14">
                    <c:v>QC EOLIENNE</c:v>
                  </c:pt>
                  <c:pt idx="15">
                    <c:v>AB PROVINCE</c:v>
                  </c:pt>
                  <c:pt idx="16">
                    <c:v>AB PANNEAU</c:v>
                  </c:pt>
                  <c:pt idx="17">
                    <c:v>AB EOLIENNE</c:v>
                  </c:pt>
                  <c:pt idx="18">
                    <c:v>QC PROVINCE</c:v>
                  </c:pt>
                  <c:pt idx="19">
                    <c:v>QC PANNEAU</c:v>
                  </c:pt>
                  <c:pt idx="20">
                    <c:v>QC EOLIENNE</c:v>
                  </c:pt>
                  <c:pt idx="21">
                    <c:v>AB PROVINCE</c:v>
                  </c:pt>
                  <c:pt idx="22">
                    <c:v>AB PANNEAU</c:v>
                  </c:pt>
                  <c:pt idx="23">
                    <c:v>AB EOLIENNE</c:v>
                  </c:pt>
                </c:lvl>
                <c:lvl>
                  <c:pt idx="0">
                    <c:v>Santé Huamine</c:v>
                  </c:pt>
                  <c:pt idx="6">
                    <c:v>Qualité des écosystème</c:v>
                  </c:pt>
                  <c:pt idx="12">
                    <c:v>Changements Climatique</c:v>
                  </c:pt>
                  <c:pt idx="18">
                    <c:v>Ressources</c:v>
                  </c:pt>
                </c:lvl>
              </c:multiLvlStrCache>
            </c:multiLvlStrRef>
          </c:cat>
          <c:val>
            <c:numRef>
              <c:f>'Annexe 2'!$B$90:$Y$90</c:f>
              <c:numCache>
                <c:formatCode>0%</c:formatCode>
                <c:ptCount val="24"/>
                <c:pt idx="0">
                  <c:v>3.5316617735702063E-2</c:v>
                </c:pt>
                <c:pt idx="1">
                  <c:v>0.19501984830743399</c:v>
                </c:pt>
                <c:pt idx="2">
                  <c:v>8.2433571491226695E-2</c:v>
                </c:pt>
                <c:pt idx="3">
                  <c:v>0.97033328319409839</c:v>
                </c:pt>
                <c:pt idx="4">
                  <c:v>0.15601587864594721</c:v>
                </c:pt>
                <c:pt idx="5">
                  <c:v>6.5946857192981392E-2</c:v>
                </c:pt>
                <c:pt idx="6">
                  <c:v>0.21589418596206811</c:v>
                </c:pt>
                <c:pt idx="7">
                  <c:v>0.17427932459642462</c:v>
                </c:pt>
                <c:pt idx="8">
                  <c:v>0.13749094144782867</c:v>
                </c:pt>
                <c:pt idx="9">
                  <c:v>0.92277088949932973</c:v>
                </c:pt>
                <c:pt idx="10">
                  <c:v>0.13942345967713971</c:v>
                </c:pt>
                <c:pt idx="11">
                  <c:v>0.1099927531582629</c:v>
                </c:pt>
                <c:pt idx="12">
                  <c:v>3.3528188917903183E-3</c:v>
                </c:pt>
                <c:pt idx="13">
                  <c:v>8.7955152964986003E-3</c:v>
                </c:pt>
                <c:pt idx="14">
                  <c:v>3.207747518674755E-3</c:v>
                </c:pt>
                <c:pt idx="15">
                  <c:v>0.97874987311525763</c:v>
                </c:pt>
                <c:pt idx="16">
                  <c:v>7.0364122371988818E-3</c:v>
                </c:pt>
                <c:pt idx="17">
                  <c:v>2.5661980149398046E-3</c:v>
                </c:pt>
                <c:pt idx="18">
                  <c:v>1.789471769631662E-2</c:v>
                </c:pt>
                <c:pt idx="19">
                  <c:v>6.6510725517310576E-2</c:v>
                </c:pt>
                <c:pt idx="20">
                  <c:v>2.3474522540074094E-2</c:v>
                </c:pt>
                <c:pt idx="21">
                  <c:v>0.99474378744783309</c:v>
                </c:pt>
                <c:pt idx="22">
                  <c:v>5.3208580413848454E-2</c:v>
                </c:pt>
                <c:pt idx="23">
                  <c:v>1.8779618032059273E-2</c:v>
                </c:pt>
              </c:numCache>
            </c:numRef>
          </c:val>
          <c:extLst>
            <c:ext xmlns:c16="http://schemas.microsoft.com/office/drawing/2014/chart" uri="{C3380CC4-5D6E-409C-BE32-E72D297353CC}">
              <c16:uniqueId val="{00000001-A730-5B45-A911-CF13C88DFF22}"/>
            </c:ext>
          </c:extLst>
        </c:ser>
        <c:ser>
          <c:idx val="2"/>
          <c:order val="2"/>
          <c:tx>
            <c:strRef>
              <c:f>'Annexe 2'!$A$91</c:f>
              <c:strCache>
                <c:ptCount val="1"/>
                <c:pt idx="0">
                  <c:v>Fin de vie</c:v>
                </c:pt>
              </c:strCache>
            </c:strRef>
          </c:tx>
          <c:spPr>
            <a:solidFill>
              <a:schemeClr val="accent3"/>
            </a:solidFill>
            <a:ln>
              <a:noFill/>
            </a:ln>
            <a:effectLst/>
          </c:spPr>
          <c:invertIfNegative val="0"/>
          <c:cat>
            <c:multiLvlStrRef>
              <c:f>'Annexe 2'!$B$87:$Y$88</c:f>
              <c:multiLvlStrCache>
                <c:ptCount val="24"/>
                <c:lvl>
                  <c:pt idx="0">
                    <c:v>QC PROVINCE</c:v>
                  </c:pt>
                  <c:pt idx="1">
                    <c:v>QC PANNEAU</c:v>
                  </c:pt>
                  <c:pt idx="2">
                    <c:v>QC EOLIENNE</c:v>
                  </c:pt>
                  <c:pt idx="3">
                    <c:v>AB PROVINCE</c:v>
                  </c:pt>
                  <c:pt idx="4">
                    <c:v>AB PANNEAU</c:v>
                  </c:pt>
                  <c:pt idx="5">
                    <c:v>AB EOLIENNE</c:v>
                  </c:pt>
                  <c:pt idx="6">
                    <c:v>QC PROVINCE</c:v>
                  </c:pt>
                  <c:pt idx="7">
                    <c:v>QC PANNEAU</c:v>
                  </c:pt>
                  <c:pt idx="8">
                    <c:v>QC EOLIENNE</c:v>
                  </c:pt>
                  <c:pt idx="9">
                    <c:v>AB PROVINCE</c:v>
                  </c:pt>
                  <c:pt idx="10">
                    <c:v>AB PANNEAU</c:v>
                  </c:pt>
                  <c:pt idx="11">
                    <c:v>AB EOLIENNE</c:v>
                  </c:pt>
                  <c:pt idx="12">
                    <c:v>QC PROVINCE</c:v>
                  </c:pt>
                  <c:pt idx="13">
                    <c:v>QC PANNEAU</c:v>
                  </c:pt>
                  <c:pt idx="14">
                    <c:v>QC EOLIENNE</c:v>
                  </c:pt>
                  <c:pt idx="15">
                    <c:v>AB PROVINCE</c:v>
                  </c:pt>
                  <c:pt idx="16">
                    <c:v>AB PANNEAU</c:v>
                  </c:pt>
                  <c:pt idx="17">
                    <c:v>AB EOLIENNE</c:v>
                  </c:pt>
                  <c:pt idx="18">
                    <c:v>QC PROVINCE</c:v>
                  </c:pt>
                  <c:pt idx="19">
                    <c:v>QC PANNEAU</c:v>
                  </c:pt>
                  <c:pt idx="20">
                    <c:v>QC EOLIENNE</c:v>
                  </c:pt>
                  <c:pt idx="21">
                    <c:v>AB PROVINCE</c:v>
                  </c:pt>
                  <c:pt idx="22">
                    <c:v>AB PANNEAU</c:v>
                  </c:pt>
                  <c:pt idx="23">
                    <c:v>AB EOLIENNE</c:v>
                  </c:pt>
                </c:lvl>
                <c:lvl>
                  <c:pt idx="0">
                    <c:v>Santé Huamine</c:v>
                  </c:pt>
                  <c:pt idx="6">
                    <c:v>Qualité des écosystème</c:v>
                  </c:pt>
                  <c:pt idx="12">
                    <c:v>Changements Climatique</c:v>
                  </c:pt>
                  <c:pt idx="18">
                    <c:v>Ressources</c:v>
                  </c:pt>
                </c:lvl>
              </c:multiLvlStrCache>
            </c:multiLvlStrRef>
          </c:cat>
          <c:val>
            <c:numRef>
              <c:f>'Annexe 2'!$B$91:$Y$91</c:f>
              <c:numCache>
                <c:formatCode>0%</c:formatCode>
                <c:ptCount val="24"/>
                <c:pt idx="0">
                  <c:v>3.6378806951009949E-5</c:v>
                </c:pt>
                <c:pt idx="1">
                  <c:v>3.6378806951009949E-5</c:v>
                </c:pt>
                <c:pt idx="2">
                  <c:v>3.6378806951009949E-5</c:v>
                </c:pt>
                <c:pt idx="3">
                  <c:v>3.2907244730721997E-5</c:v>
                </c:pt>
                <c:pt idx="4">
                  <c:v>3.2907244730721997E-5</c:v>
                </c:pt>
                <c:pt idx="5">
                  <c:v>3.2907244730721997E-5</c:v>
                </c:pt>
                <c:pt idx="6">
                  <c:v>4.1708832572334373E-4</c:v>
                </c:pt>
                <c:pt idx="7">
                  <c:v>4.1708832572334373E-4</c:v>
                </c:pt>
                <c:pt idx="8">
                  <c:v>4.1708832572334373E-4</c:v>
                </c:pt>
                <c:pt idx="9">
                  <c:v>3.658669524028898E-4</c:v>
                </c:pt>
                <c:pt idx="10">
                  <c:v>3.658669524028898E-4</c:v>
                </c:pt>
                <c:pt idx="11">
                  <c:v>3.658669524028898E-4</c:v>
                </c:pt>
                <c:pt idx="12">
                  <c:v>2.5498573643209533E-6</c:v>
                </c:pt>
                <c:pt idx="13">
                  <c:v>2.5498573643209533E-6</c:v>
                </c:pt>
                <c:pt idx="14">
                  <c:v>2.5498573643209533E-6</c:v>
                </c:pt>
                <c:pt idx="15">
                  <c:v>4.4158946356172469E-5</c:v>
                </c:pt>
                <c:pt idx="16">
                  <c:v>4.4158946356172469E-5</c:v>
                </c:pt>
                <c:pt idx="17">
                  <c:v>4.4158946356172469E-5</c:v>
                </c:pt>
                <c:pt idx="18">
                  <c:v>2.0529853309349164E-5</c:v>
                </c:pt>
                <c:pt idx="19">
                  <c:v>2.0529853309349164E-5</c:v>
                </c:pt>
                <c:pt idx="20">
                  <c:v>2.0529853309349164E-5</c:v>
                </c:pt>
                <c:pt idx="21">
                  <c:v>2.1610371905535778E-5</c:v>
                </c:pt>
                <c:pt idx="22">
                  <c:v>2.1610371905535778E-5</c:v>
                </c:pt>
                <c:pt idx="23">
                  <c:v>2.1610371905535778E-5</c:v>
                </c:pt>
              </c:numCache>
            </c:numRef>
          </c:val>
          <c:extLst>
            <c:ext xmlns:c16="http://schemas.microsoft.com/office/drawing/2014/chart" uri="{C3380CC4-5D6E-409C-BE32-E72D297353CC}">
              <c16:uniqueId val="{00000002-A730-5B45-A911-CF13C88DFF22}"/>
            </c:ext>
          </c:extLst>
        </c:ser>
        <c:dLbls>
          <c:showLegendKey val="0"/>
          <c:showVal val="0"/>
          <c:showCatName val="0"/>
          <c:showSerName val="0"/>
          <c:showPercent val="0"/>
          <c:showBubbleSize val="0"/>
        </c:dLbls>
        <c:gapWidth val="150"/>
        <c:overlap val="100"/>
        <c:axId val="482956159"/>
        <c:axId val="482646463"/>
      </c:barChart>
      <c:catAx>
        <c:axId val="48295615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2646463"/>
        <c:crosses val="autoZero"/>
        <c:auto val="1"/>
        <c:lblAlgn val="ctr"/>
        <c:lblOffset val="100"/>
        <c:noMultiLvlLbl val="0"/>
      </c:catAx>
      <c:valAx>
        <c:axId val="482646463"/>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2956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Alb23</b:Tag>
    <b:SourceType>InternetSite</b:SourceType>
    <b:Guid>{0644443B-CBA8-334B-B8D0-055D5980F009}</b:Guid>
    <b:Title>AESO</b:Title>
    <b:Author>
      <b:Author>
        <b:Corporate>Alberta Electric System Operator</b:Corporate>
      </b:Author>
    </b:Author>
    <b:URL>https://www.aeso.ca/</b:URL>
    <b:YearAccessed>2023</b:YearAccessed>
    <b:MonthAccessed>février</b:MonthAccessed>
    <b:DayAccessed>13</b:DayAccessed>
    <b:RefOrder>1</b:RefOrder>
  </b:Source>
  <b:Source>
    <b:Tag>BRo21</b:Tag>
    <b:SourceType>Report</b:SourceType>
    <b:Guid>{FBD25B88-2B8B-7847-8141-4F5A4D1B01C1}</b:Guid>
    <b:Title>INGENIERIE DURABLE ET EVALUATION DES IMPACTS ENVIRONNEMENTAUX</b:Title>
    <b:Year>2021</b:Year>
    <b:City>Sherbrooke</b:City>
    <b:Publisher>Université de Sherbrooke</b:Publisher>
    <b:Author>
      <b:Author>
        <b:NameList>
          <b:Person>
            <b:Last>Amor</b:Last>
            <b:First>B.</b:First>
            <b:Middle>Roure et B.</b:Middle>
          </b:Person>
        </b:NameList>
      </b:Author>
    </b:Author>
    <b:RefOrder>2</b:RefOrder>
  </b:Source>
</b:Sources>
</file>

<file path=customXml/itemProps1.xml><?xml version="1.0" encoding="utf-8"?>
<ds:datastoreItem xmlns:ds="http://schemas.openxmlformats.org/officeDocument/2006/customXml" ds:itemID="{DA0A71E8-C5FC-4CF6-897B-91E2AEE5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14</Pages>
  <Words>2714</Words>
  <Characters>14931</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Manager>Jean-Philippe Gouin</Manager>
  <Company>Hewlett-Packard</Company>
  <LinksUpToDate>false</LinksUpToDate>
  <CharactersWithSpaces>17610</CharactersWithSpaces>
  <SharedDoc>false</SharedDoc>
  <HLinks>
    <vt:vector size="84" baseType="variant">
      <vt:variant>
        <vt:i4>1114175</vt:i4>
      </vt:variant>
      <vt:variant>
        <vt:i4>86</vt:i4>
      </vt:variant>
      <vt:variant>
        <vt:i4>0</vt:i4>
      </vt:variant>
      <vt:variant>
        <vt:i4>5</vt:i4>
      </vt:variant>
      <vt:variant>
        <vt:lpwstr/>
      </vt:variant>
      <vt:variant>
        <vt:lpwstr>_Toc127805996</vt:lpwstr>
      </vt:variant>
      <vt:variant>
        <vt:i4>1114175</vt:i4>
      </vt:variant>
      <vt:variant>
        <vt:i4>80</vt:i4>
      </vt:variant>
      <vt:variant>
        <vt:i4>0</vt:i4>
      </vt:variant>
      <vt:variant>
        <vt:i4>5</vt:i4>
      </vt:variant>
      <vt:variant>
        <vt:lpwstr/>
      </vt:variant>
      <vt:variant>
        <vt:lpwstr>_Toc127805995</vt:lpwstr>
      </vt:variant>
      <vt:variant>
        <vt:i4>1048639</vt:i4>
      </vt:variant>
      <vt:variant>
        <vt:i4>68</vt:i4>
      </vt:variant>
      <vt:variant>
        <vt:i4>0</vt:i4>
      </vt:variant>
      <vt:variant>
        <vt:i4>5</vt:i4>
      </vt:variant>
      <vt:variant>
        <vt:lpwstr/>
      </vt:variant>
      <vt:variant>
        <vt:lpwstr>_Toc127805982</vt:lpwstr>
      </vt:variant>
      <vt:variant>
        <vt:i4>1048639</vt:i4>
      </vt:variant>
      <vt:variant>
        <vt:i4>62</vt:i4>
      </vt:variant>
      <vt:variant>
        <vt:i4>0</vt:i4>
      </vt:variant>
      <vt:variant>
        <vt:i4>5</vt:i4>
      </vt:variant>
      <vt:variant>
        <vt:lpwstr/>
      </vt:variant>
      <vt:variant>
        <vt:lpwstr>_Toc127805981</vt:lpwstr>
      </vt:variant>
      <vt:variant>
        <vt:i4>1048639</vt:i4>
      </vt:variant>
      <vt:variant>
        <vt:i4>56</vt:i4>
      </vt:variant>
      <vt:variant>
        <vt:i4>0</vt:i4>
      </vt:variant>
      <vt:variant>
        <vt:i4>5</vt:i4>
      </vt:variant>
      <vt:variant>
        <vt:lpwstr/>
      </vt:variant>
      <vt:variant>
        <vt:lpwstr>_Toc127805980</vt:lpwstr>
      </vt:variant>
      <vt:variant>
        <vt:i4>2031679</vt:i4>
      </vt:variant>
      <vt:variant>
        <vt:i4>50</vt:i4>
      </vt:variant>
      <vt:variant>
        <vt:i4>0</vt:i4>
      </vt:variant>
      <vt:variant>
        <vt:i4>5</vt:i4>
      </vt:variant>
      <vt:variant>
        <vt:lpwstr/>
      </vt:variant>
      <vt:variant>
        <vt:lpwstr>_Toc127805979</vt:lpwstr>
      </vt:variant>
      <vt:variant>
        <vt:i4>2031679</vt:i4>
      </vt:variant>
      <vt:variant>
        <vt:i4>44</vt:i4>
      </vt:variant>
      <vt:variant>
        <vt:i4>0</vt:i4>
      </vt:variant>
      <vt:variant>
        <vt:i4>5</vt:i4>
      </vt:variant>
      <vt:variant>
        <vt:lpwstr/>
      </vt:variant>
      <vt:variant>
        <vt:lpwstr>_Toc127805978</vt:lpwstr>
      </vt:variant>
      <vt:variant>
        <vt:i4>2031679</vt:i4>
      </vt:variant>
      <vt:variant>
        <vt:i4>38</vt:i4>
      </vt:variant>
      <vt:variant>
        <vt:i4>0</vt:i4>
      </vt:variant>
      <vt:variant>
        <vt:i4>5</vt:i4>
      </vt:variant>
      <vt:variant>
        <vt:lpwstr/>
      </vt:variant>
      <vt:variant>
        <vt:lpwstr>_Toc127805977</vt:lpwstr>
      </vt:variant>
      <vt:variant>
        <vt:i4>2031679</vt:i4>
      </vt:variant>
      <vt:variant>
        <vt:i4>32</vt:i4>
      </vt:variant>
      <vt:variant>
        <vt:i4>0</vt:i4>
      </vt:variant>
      <vt:variant>
        <vt:i4>5</vt:i4>
      </vt:variant>
      <vt:variant>
        <vt:lpwstr/>
      </vt:variant>
      <vt:variant>
        <vt:lpwstr>_Toc127805976</vt:lpwstr>
      </vt:variant>
      <vt:variant>
        <vt:i4>2031679</vt:i4>
      </vt:variant>
      <vt:variant>
        <vt:i4>26</vt:i4>
      </vt:variant>
      <vt:variant>
        <vt:i4>0</vt:i4>
      </vt:variant>
      <vt:variant>
        <vt:i4>5</vt:i4>
      </vt:variant>
      <vt:variant>
        <vt:lpwstr/>
      </vt:variant>
      <vt:variant>
        <vt:lpwstr>_Toc127805975</vt:lpwstr>
      </vt:variant>
      <vt:variant>
        <vt:i4>2031679</vt:i4>
      </vt:variant>
      <vt:variant>
        <vt:i4>20</vt:i4>
      </vt:variant>
      <vt:variant>
        <vt:i4>0</vt:i4>
      </vt:variant>
      <vt:variant>
        <vt:i4>5</vt:i4>
      </vt:variant>
      <vt:variant>
        <vt:lpwstr/>
      </vt:variant>
      <vt:variant>
        <vt:lpwstr>_Toc127805974</vt:lpwstr>
      </vt:variant>
      <vt:variant>
        <vt:i4>2031679</vt:i4>
      </vt:variant>
      <vt:variant>
        <vt:i4>14</vt:i4>
      </vt:variant>
      <vt:variant>
        <vt:i4>0</vt:i4>
      </vt:variant>
      <vt:variant>
        <vt:i4>5</vt:i4>
      </vt:variant>
      <vt:variant>
        <vt:lpwstr/>
      </vt:variant>
      <vt:variant>
        <vt:lpwstr>_Toc127805973</vt:lpwstr>
      </vt:variant>
      <vt:variant>
        <vt:i4>2031679</vt:i4>
      </vt:variant>
      <vt:variant>
        <vt:i4>8</vt:i4>
      </vt:variant>
      <vt:variant>
        <vt:i4>0</vt:i4>
      </vt:variant>
      <vt:variant>
        <vt:i4>5</vt:i4>
      </vt:variant>
      <vt:variant>
        <vt:lpwstr/>
      </vt:variant>
      <vt:variant>
        <vt:lpwstr>_Toc127805972</vt:lpwstr>
      </vt:variant>
      <vt:variant>
        <vt:i4>2031679</vt:i4>
      </vt:variant>
      <vt:variant>
        <vt:i4>2</vt:i4>
      </vt:variant>
      <vt:variant>
        <vt:i4>0</vt:i4>
      </vt:variant>
      <vt:variant>
        <vt:i4>5</vt:i4>
      </vt:variant>
      <vt:variant>
        <vt:lpwstr/>
      </vt:variant>
      <vt:variant>
        <vt:lpwstr>_Toc127805971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Gouin</dc:creator>
  <cp:keywords/>
  <cp:lastModifiedBy>Félix Boivin</cp:lastModifiedBy>
  <cp:revision>417</cp:revision>
  <cp:lastPrinted>2023-02-21T18:43:00Z</cp:lastPrinted>
  <dcterms:created xsi:type="dcterms:W3CDTF">2014-09-26T17:38:00Z</dcterms:created>
  <dcterms:modified xsi:type="dcterms:W3CDTF">2023-02-21T18:43:00Z</dcterms:modified>
</cp:coreProperties>
</file>