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26EE59" w14:textId="2D3B09EA" w:rsidR="009E38E2" w:rsidRPr="00963008" w:rsidRDefault="00963008" w:rsidP="00963008">
      <w:pPr>
        <w:jc w:val="center"/>
        <w:rPr>
          <w:b/>
          <w:bCs/>
          <w:sz w:val="32"/>
          <w:szCs w:val="32"/>
        </w:rPr>
      </w:pPr>
      <w:r w:rsidRPr="00963008">
        <w:rPr>
          <w:b/>
          <w:bCs/>
          <w:sz w:val="32"/>
          <w:szCs w:val="32"/>
        </w:rPr>
        <w:t>ARMA Model</w:t>
      </w:r>
    </w:p>
    <w:p w14:paraId="4F8B442B" w14:textId="77777777" w:rsidR="00963008" w:rsidRPr="00FB63AC" w:rsidRDefault="00963008" w:rsidP="00963008">
      <w:pPr>
        <w:rPr>
          <w:b/>
          <w:bCs/>
          <w:sz w:val="24"/>
          <w:szCs w:val="24"/>
        </w:rPr>
      </w:pPr>
      <w:r w:rsidRPr="00FB63AC">
        <w:rPr>
          <w:b/>
          <w:bCs/>
          <w:sz w:val="24"/>
          <w:szCs w:val="24"/>
        </w:rPr>
        <w:t>stationary</w:t>
      </w:r>
    </w:p>
    <w:p w14:paraId="2CC2FFD6" w14:textId="45048DE7" w:rsidR="00963008" w:rsidRDefault="00963008" w:rsidP="00963008">
      <w:r>
        <w:t>• Essentially, we describe a series as stationary if there is no change in mean or variance over time</w:t>
      </w:r>
      <w:r w:rsidR="00FB63AC">
        <w:t>.</w:t>
      </w:r>
    </w:p>
    <w:p w14:paraId="7B338CF3" w14:textId="261E8631" w:rsidR="00963008" w:rsidRDefault="00963008" w:rsidP="00963008">
      <w:r>
        <w:t>• One of the initial phases of time series analysis is to identify and somehow model the seasonal component of the series, if one exists.  Then, one removes that seasonality, in order to transform the original series into a stationary one, in preparation for further analysis.</w:t>
      </w:r>
    </w:p>
    <w:p w14:paraId="2822CA0D" w14:textId="4FDD82E4" w:rsidR="005E5D0B" w:rsidRDefault="005E5D0B">
      <w:r>
        <w:t>Detrending</w:t>
      </w:r>
    </w:p>
    <w:p w14:paraId="401DCB61" w14:textId="57A0B5C3" w:rsidR="005E5D0B" w:rsidRDefault="005E5D0B">
      <w:r>
        <w:t>A Time Series is a set of observations ordered in time.</w:t>
      </w:r>
    </w:p>
    <w:p w14:paraId="47999C0A" w14:textId="6F6F616C" w:rsidR="00255153" w:rsidRDefault="00255153">
      <w:r>
        <w:t>• Most of the probability theory of time series is concerned with stationary time series</w:t>
      </w:r>
      <w:r w:rsidR="00FB63AC">
        <w:t>(remove trend or seasonality)</w:t>
      </w:r>
      <w:r>
        <w:t xml:space="preserve">. </w:t>
      </w:r>
    </w:p>
    <w:p w14:paraId="7C90175E" w14:textId="0594E8F2" w:rsidR="00255153" w:rsidRPr="00F46A06" w:rsidRDefault="00B52795" w:rsidP="00255153">
      <w:pPr>
        <w:spacing w:after="0" w:line="240" w:lineRule="auto"/>
        <w:rPr>
          <w:noProof/>
        </w:rPr>
      </w:pPr>
      <w:r w:rsidRPr="00F46A06">
        <w:t>Linear:</w:t>
      </w:r>
    </w:p>
    <w:p w14:paraId="6F896143" w14:textId="587CB2EB" w:rsidR="00255153" w:rsidRPr="00255153" w:rsidRDefault="00255153" w:rsidP="00255153">
      <w:pPr>
        <w:spacing w:after="0" w:line="240" w:lineRule="auto"/>
        <w:rPr>
          <w:rFonts w:ascii="Times New Roman" w:eastAsia="Times New Roman" w:hAnsi="Times New Roman" w:cs="Times New Roman"/>
          <w:sz w:val="24"/>
          <w:szCs w:val="24"/>
        </w:rPr>
      </w:pPr>
      <w:r w:rsidRPr="00255153">
        <w:rPr>
          <w:noProof/>
        </w:rPr>
        <w:drawing>
          <wp:inline distT="0" distB="0" distL="0" distR="0" wp14:anchorId="1DDCA91F" wp14:editId="23D8838F">
            <wp:extent cx="1927860" cy="1064848"/>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
                      <a:extLst>
                        <a:ext uri="{28A0092B-C50C-407E-A947-70E740481C1C}">
                          <a14:useLocalDpi xmlns:a14="http://schemas.microsoft.com/office/drawing/2010/main" val="0"/>
                        </a:ext>
                      </a:extLst>
                    </a:blip>
                    <a:srcRect t="18782" r="24188" b="3554"/>
                    <a:stretch/>
                  </pic:blipFill>
                  <pic:spPr bwMode="auto">
                    <a:xfrm>
                      <a:off x="0" y="0"/>
                      <a:ext cx="1933273" cy="1067838"/>
                    </a:xfrm>
                    <a:prstGeom prst="rect">
                      <a:avLst/>
                    </a:prstGeom>
                    <a:noFill/>
                    <a:ln>
                      <a:noFill/>
                    </a:ln>
                    <a:extLst>
                      <a:ext uri="{53640926-AAD7-44D8-BBD7-CCE9431645EC}">
                        <a14:shadowObscured xmlns:a14="http://schemas.microsoft.com/office/drawing/2010/main"/>
                      </a:ext>
                    </a:extLst>
                  </pic:spPr>
                </pic:pic>
              </a:graphicData>
            </a:graphic>
          </wp:inline>
        </w:drawing>
      </w:r>
      <w:r w:rsidRPr="00255153">
        <w:rPr>
          <w:noProof/>
        </w:rPr>
        <w:drawing>
          <wp:inline distT="0" distB="0" distL="0" distR="0" wp14:anchorId="00AF5BD7" wp14:editId="5D514EC7">
            <wp:extent cx="1972967" cy="1106970"/>
            <wp:effectExtent l="0" t="0" r="825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6">
                      <a:extLst>
                        <a:ext uri="{28A0092B-C50C-407E-A947-70E740481C1C}">
                          <a14:useLocalDpi xmlns:a14="http://schemas.microsoft.com/office/drawing/2010/main" val="0"/>
                        </a:ext>
                      </a:extLst>
                    </a:blip>
                    <a:srcRect t="16394" r="19959" b="3269"/>
                    <a:stretch/>
                  </pic:blipFill>
                  <pic:spPr bwMode="auto">
                    <a:xfrm>
                      <a:off x="0" y="0"/>
                      <a:ext cx="1976958" cy="1109209"/>
                    </a:xfrm>
                    <a:prstGeom prst="rect">
                      <a:avLst/>
                    </a:prstGeom>
                    <a:noFill/>
                    <a:ln>
                      <a:noFill/>
                    </a:ln>
                    <a:extLst>
                      <a:ext uri="{53640926-AAD7-44D8-BBD7-CCE9431645EC}">
                        <a14:shadowObscured xmlns:a14="http://schemas.microsoft.com/office/drawing/2010/main"/>
                      </a:ext>
                    </a:extLst>
                  </pic:spPr>
                </pic:pic>
              </a:graphicData>
            </a:graphic>
          </wp:inline>
        </w:drawing>
      </w:r>
      <w:r w:rsidRPr="00255153">
        <w:rPr>
          <w:noProof/>
        </w:rPr>
        <w:drawing>
          <wp:inline distT="0" distB="0" distL="0" distR="0" wp14:anchorId="24EB3CD4" wp14:editId="3A783D7B">
            <wp:extent cx="1945640" cy="116580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953732" cy="1170656"/>
                    </a:xfrm>
                    <a:prstGeom prst="rect">
                      <a:avLst/>
                    </a:prstGeom>
                    <a:noFill/>
                    <a:ln>
                      <a:noFill/>
                    </a:ln>
                  </pic:spPr>
                </pic:pic>
              </a:graphicData>
            </a:graphic>
          </wp:inline>
        </w:drawing>
      </w:r>
    </w:p>
    <w:p w14:paraId="3403BF85" w14:textId="07C622EA" w:rsidR="0033015C" w:rsidRDefault="0033015C" w:rsidP="0033015C"/>
    <w:p w14:paraId="7C935035" w14:textId="154AC527" w:rsidR="0033015C" w:rsidRDefault="0033015C" w:rsidP="0033015C">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Seasonality:</w:t>
      </w:r>
    </w:p>
    <w:p w14:paraId="2C1C8F83" w14:textId="77777777" w:rsidR="0033015C" w:rsidRDefault="0033015C" w:rsidP="0033015C">
      <w:pPr>
        <w:spacing w:after="0" w:line="240" w:lineRule="auto"/>
        <w:rPr>
          <w:rFonts w:ascii="Times New Roman" w:eastAsia="Times New Roman" w:hAnsi="Times New Roman" w:cs="Times New Roman"/>
          <w:sz w:val="24"/>
          <w:szCs w:val="24"/>
        </w:rPr>
      </w:pPr>
    </w:p>
    <w:p w14:paraId="507BA8C4" w14:textId="4C6A2703" w:rsidR="0033015C" w:rsidRDefault="0033015C" w:rsidP="0033015C">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If data have </w:t>
      </w:r>
      <w:r w:rsidR="00FB1387">
        <w:rPr>
          <w:rFonts w:ascii="Times New Roman" w:eastAsia="Times New Roman" w:hAnsi="Times New Roman" w:cs="Times New Roman"/>
          <w:sz w:val="24"/>
          <w:szCs w:val="24"/>
        </w:rPr>
        <w:t>seasonality,</w:t>
      </w:r>
      <w:r>
        <w:rPr>
          <w:rFonts w:ascii="Times New Roman" w:eastAsia="Times New Roman" w:hAnsi="Times New Roman" w:cs="Times New Roman"/>
          <w:sz w:val="24"/>
          <w:szCs w:val="24"/>
        </w:rPr>
        <w:t xml:space="preserve"> we can model a furrier series to deseason data.</w:t>
      </w:r>
    </w:p>
    <w:p w14:paraId="73021D7C" w14:textId="3F755C43" w:rsidR="00AF5493" w:rsidRDefault="00AF5493" w:rsidP="0033015C">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Model of original data:</w:t>
      </w:r>
    </w:p>
    <w:p w14:paraId="12C62B7D" w14:textId="77777777" w:rsidR="0033015C" w:rsidRDefault="0033015C" w:rsidP="0033015C">
      <w:pPr>
        <w:spacing w:after="0" w:line="240" w:lineRule="auto"/>
        <w:rPr>
          <w:rFonts w:ascii="Times New Roman" w:eastAsia="Times New Roman" w:hAnsi="Times New Roman" w:cs="Times New Roman"/>
          <w:sz w:val="24"/>
          <w:szCs w:val="24"/>
        </w:rPr>
      </w:pPr>
    </w:p>
    <w:p w14:paraId="6028CE46" w14:textId="579C9D5A" w:rsidR="00AF5493" w:rsidRDefault="006D2E28" w:rsidP="006D2E28">
      <w:r w:rsidRPr="006D2E28">
        <w:rPr>
          <w:rFonts w:ascii="Times New Roman" w:eastAsia="Times New Roman" w:hAnsi="Times New Roman" w:cs="Times New Roman"/>
          <w:noProof/>
          <w:sz w:val="24"/>
          <w:szCs w:val="24"/>
        </w:rPr>
        <w:drawing>
          <wp:inline distT="0" distB="0" distL="0" distR="0" wp14:anchorId="0910F595" wp14:editId="676F39B9">
            <wp:extent cx="1924343" cy="1120140"/>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36884" cy="1127440"/>
                    </a:xfrm>
                    <a:prstGeom prst="rect">
                      <a:avLst/>
                    </a:prstGeom>
                    <a:noFill/>
                    <a:ln>
                      <a:noFill/>
                    </a:ln>
                  </pic:spPr>
                </pic:pic>
              </a:graphicData>
            </a:graphic>
          </wp:inline>
        </w:drawing>
      </w:r>
    </w:p>
    <w:p w14:paraId="2E4D6E39" w14:textId="5529FC16" w:rsidR="00AF5493" w:rsidRDefault="00AF5493" w:rsidP="006D2E28">
      <w:r w:rsidRPr="00AF5493">
        <w:rPr>
          <w:b/>
          <w:bCs/>
        </w:rPr>
        <w:t>Build</w:t>
      </w:r>
      <w:r>
        <w:t xml:space="preserve"> </w:t>
      </w:r>
      <w:r w:rsidRPr="00AF5493">
        <w:rPr>
          <w:b/>
          <w:bCs/>
        </w:rPr>
        <w:t>Fourier Series</w:t>
      </w:r>
      <w:r>
        <w:rPr>
          <w:b/>
          <w:bCs/>
        </w:rPr>
        <w:t xml:space="preserve"> Model:</w:t>
      </w:r>
    </w:p>
    <w:p w14:paraId="44446493" w14:textId="45794017" w:rsidR="00AF5493" w:rsidRPr="00AF5493" w:rsidRDefault="00AF5493" w:rsidP="006D2E28">
      <w:r w:rsidRPr="00AF5493">
        <w:t>Fourier Series Representation</w:t>
      </w:r>
    </w:p>
    <w:p w14:paraId="1A0C3FB4" w14:textId="77777777" w:rsidR="00AF5493" w:rsidRDefault="00AF5493" w:rsidP="006D2E28">
      <w:r>
        <w:t xml:space="preserve">dt = a0 + </w:t>
      </w:r>
    </w:p>
    <w:p w14:paraId="5C345E54" w14:textId="3CB7FCE6" w:rsidR="00AF5493" w:rsidRDefault="00AF5493" w:rsidP="00AF5493">
      <w:pPr>
        <w:ind w:firstLine="720"/>
      </w:pPr>
      <w:r>
        <w:t>a1 cos(2π</w:t>
      </w:r>
      <w:r w:rsidR="000B0580">
        <w:t>n</w:t>
      </w:r>
      <w:r>
        <w:t>t/</w:t>
      </w:r>
      <w:r w:rsidR="00A31A68">
        <w:t>T</w:t>
      </w:r>
      <w:r>
        <w:t>) + b1 sin(2π</w:t>
      </w:r>
      <w:r w:rsidR="000B0580">
        <w:t>n</w:t>
      </w:r>
      <w:r>
        <w:t>t/</w:t>
      </w:r>
      <w:r w:rsidR="00B9149A">
        <w:t>T</w:t>
      </w:r>
      <w:r>
        <w:t xml:space="preserve">) + </w:t>
      </w:r>
    </w:p>
    <w:p w14:paraId="69AA1C2B" w14:textId="0417984C" w:rsidR="00AF5493" w:rsidRDefault="00AF5493" w:rsidP="00AF5493">
      <w:pPr>
        <w:ind w:firstLine="720"/>
      </w:pPr>
      <w:r>
        <w:t>a2 cos(</w:t>
      </w:r>
      <w:r w:rsidR="000B0580">
        <w:t>2</w:t>
      </w:r>
      <w:r>
        <w:t>π</w:t>
      </w:r>
      <w:r w:rsidR="000B0580">
        <w:t>n</w:t>
      </w:r>
      <w:r>
        <w:t>t/12) + b2 sin(</w:t>
      </w:r>
      <w:r w:rsidR="000B0580">
        <w:t>2</w:t>
      </w:r>
      <w:r>
        <w:t>π</w:t>
      </w:r>
      <w:r w:rsidR="000B0580">
        <w:t>n</w:t>
      </w:r>
      <w:r>
        <w:t xml:space="preserve">t/12) + </w:t>
      </w:r>
    </w:p>
    <w:p w14:paraId="239DF5F3" w14:textId="105D6C24" w:rsidR="00AF5493" w:rsidRDefault="00AF5493" w:rsidP="00AF5493">
      <w:pPr>
        <w:ind w:firstLine="720"/>
      </w:pPr>
      <w:r>
        <w:t>a3 cos(</w:t>
      </w:r>
      <w:r w:rsidR="000B0580">
        <w:t>2</w:t>
      </w:r>
      <w:r>
        <w:t>π</w:t>
      </w:r>
      <w:r w:rsidR="000B0580">
        <w:t>n</w:t>
      </w:r>
      <w:r>
        <w:t>t/12) + b3 sin(</w:t>
      </w:r>
      <w:r w:rsidR="000B0580">
        <w:t>2</w:t>
      </w:r>
      <w:r>
        <w:t>π</w:t>
      </w:r>
      <w:r w:rsidR="000B0580">
        <w:t>n</w:t>
      </w:r>
      <w:r>
        <w:t>t/12)</w:t>
      </w:r>
    </w:p>
    <w:p w14:paraId="4154D9B6" w14:textId="64A0DA3E" w:rsidR="00AF5493" w:rsidRDefault="00FB1387" w:rsidP="006D2E28">
      <w:r>
        <w:lastRenderedPageBreak/>
        <w:t>First f</w:t>
      </w:r>
      <w:r w:rsidR="00AF5493">
        <w:t>ind Power Spectrum</w:t>
      </w:r>
      <w:r w:rsidR="000B0580">
        <w:t xml:space="preserve"> to assign t in above formula</w:t>
      </w:r>
    </w:p>
    <w:p w14:paraId="24889779" w14:textId="77777777" w:rsidR="00881CE7" w:rsidRDefault="00881CE7" w:rsidP="006D2E28"/>
    <w:p w14:paraId="742B47EF" w14:textId="108DA1E5" w:rsidR="00AF5493" w:rsidRDefault="00AF5493" w:rsidP="006D2E28">
      <w:r>
        <w:t>• We do this by identifying the most important frequencies to include via using the so-called Power Spectrum.</w:t>
      </w:r>
      <w:r w:rsidRPr="00AF5493">
        <w:t xml:space="preserve"> </w:t>
      </w:r>
      <w:r>
        <w:t>To construct the model that fits the data best with the least number of coefficients.</w:t>
      </w:r>
    </w:p>
    <w:p w14:paraId="22F5FDC5" w14:textId="60269760" w:rsidR="000B0580" w:rsidRPr="000B0580" w:rsidRDefault="000B0580" w:rsidP="000B0580">
      <w:pPr>
        <w:spacing w:after="0" w:line="240" w:lineRule="auto"/>
        <w:rPr>
          <w:rFonts w:ascii="Times New Roman" w:eastAsia="Times New Roman" w:hAnsi="Times New Roman" w:cs="Times New Roman"/>
          <w:sz w:val="24"/>
          <w:szCs w:val="24"/>
        </w:rPr>
      </w:pPr>
      <w:r w:rsidRPr="000B0580">
        <w:rPr>
          <w:rFonts w:ascii="Times New Roman" w:eastAsia="Times New Roman" w:hAnsi="Times New Roman" w:cs="Times New Roman"/>
          <w:noProof/>
          <w:sz w:val="24"/>
          <w:szCs w:val="24"/>
        </w:rPr>
        <w:drawing>
          <wp:inline distT="0" distB="0" distL="0" distR="0" wp14:anchorId="3ECEEA0E" wp14:editId="7F1B4B70">
            <wp:extent cx="2903220" cy="1725173"/>
            <wp:effectExtent l="0" t="0" r="0" b="889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911733" cy="1730232"/>
                    </a:xfrm>
                    <a:prstGeom prst="rect">
                      <a:avLst/>
                    </a:prstGeom>
                    <a:noFill/>
                    <a:ln>
                      <a:noFill/>
                    </a:ln>
                  </pic:spPr>
                </pic:pic>
              </a:graphicData>
            </a:graphic>
          </wp:inline>
        </w:drawing>
      </w:r>
    </w:p>
    <w:p w14:paraId="41B8121D" w14:textId="2FB3529B" w:rsidR="000B0580" w:rsidRPr="000B0580" w:rsidRDefault="000B0580" w:rsidP="000B0580">
      <w:pPr>
        <w:spacing w:after="0" w:line="240" w:lineRule="auto"/>
        <w:rPr>
          <w:rFonts w:ascii="Times New Roman" w:eastAsia="Times New Roman" w:hAnsi="Times New Roman" w:cs="Times New Roman"/>
          <w:sz w:val="24"/>
          <w:szCs w:val="24"/>
        </w:rPr>
      </w:pPr>
    </w:p>
    <w:p w14:paraId="037C69FE" w14:textId="4BC37B02" w:rsidR="000B0580" w:rsidRDefault="000B0580" w:rsidP="006D2E28">
      <w:r>
        <w:t>A significant spike on 11 implies that there are 11 cycles in 11 years</w:t>
      </w:r>
      <w:r w:rsidR="00E334C8">
        <w:t>(132 months)</w:t>
      </w:r>
      <w:r>
        <w:t xml:space="preserve"> which means once a year and is a significant frequency in the data. Some smaller spike on 22 and 33 signify that there are less significant frequency 2 times a year as well as three times a year in the data.</w:t>
      </w:r>
    </w:p>
    <w:p w14:paraId="1F58A49A" w14:textId="566D553E" w:rsidR="000B0580" w:rsidRDefault="000B0580" w:rsidP="000B0580">
      <w:r>
        <w:t>We have:            n1= 1 ,   n2= 2   ,  n3=3</w:t>
      </w:r>
    </w:p>
    <w:p w14:paraId="3B6C20C9" w14:textId="14F6519E" w:rsidR="00133736" w:rsidRDefault="00133736" w:rsidP="000B0580">
      <w:r>
        <w:t>a0 is average of data</w:t>
      </w:r>
    </w:p>
    <w:p w14:paraId="48A5D897" w14:textId="2DB0B275" w:rsidR="00133736" w:rsidRDefault="00133736" w:rsidP="000B0580">
      <w:r>
        <w:t>t is time</w:t>
      </w:r>
    </w:p>
    <w:p w14:paraId="7AA22369" w14:textId="2412E87C" w:rsidR="000B0580" w:rsidRDefault="000B0580" w:rsidP="000B0580">
      <w:r>
        <w:t xml:space="preserve">dt = </w:t>
      </w:r>
      <w:r w:rsidR="007038FC">
        <w:t>0.001</w:t>
      </w:r>
      <w:r>
        <w:t xml:space="preserve">+ </w:t>
      </w:r>
    </w:p>
    <w:p w14:paraId="39357B84" w14:textId="07AAEE21" w:rsidR="000B0580" w:rsidRDefault="000B0580" w:rsidP="000B0580">
      <w:pPr>
        <w:ind w:firstLine="720"/>
      </w:pPr>
      <w:r>
        <w:t xml:space="preserve">a1 cos(2π/12) + b1 sin(2πt/12) + </w:t>
      </w:r>
    </w:p>
    <w:p w14:paraId="53D040E8" w14:textId="77777777" w:rsidR="000B0580" w:rsidRDefault="000B0580" w:rsidP="000B0580">
      <w:pPr>
        <w:ind w:firstLine="720"/>
      </w:pPr>
      <w:r>
        <w:t xml:space="preserve">a2 cos(4πt/12) + b2 sin(4πt/12) + </w:t>
      </w:r>
    </w:p>
    <w:p w14:paraId="7756E8D5" w14:textId="77777777" w:rsidR="000B0580" w:rsidRDefault="000B0580" w:rsidP="000B0580">
      <w:pPr>
        <w:ind w:firstLine="720"/>
      </w:pPr>
      <w:r>
        <w:t>a3 cos(6πt/12) + b3 sin(6πt/12)</w:t>
      </w:r>
    </w:p>
    <w:p w14:paraId="715B6F75" w14:textId="17079673" w:rsidR="000B0580" w:rsidRDefault="007038FC" w:rsidP="006D2E28">
      <w:r>
        <w:t>then calculate SSE=(real data – dt)^2 and estimate the coefficients parameters with a method of optimization/direct calculation.</w:t>
      </w:r>
    </w:p>
    <w:p w14:paraId="6A3E8369" w14:textId="65F872A2" w:rsidR="000B0580" w:rsidRDefault="00D9625A" w:rsidP="00D9625A">
      <w:r>
        <w:t>The following plots show furrier series on data and residual.</w:t>
      </w:r>
    </w:p>
    <w:p w14:paraId="0247C82C" w14:textId="77777777" w:rsidR="000B0580" w:rsidRDefault="000B0580" w:rsidP="006D2E28"/>
    <w:p w14:paraId="3B2BEF39" w14:textId="084E4F8F" w:rsidR="006D2E28" w:rsidRPr="006D2E28" w:rsidRDefault="006D2E28" w:rsidP="00D9625A">
      <w:pPr>
        <w:rPr>
          <w:rFonts w:ascii="Times New Roman" w:eastAsia="Times New Roman" w:hAnsi="Times New Roman" w:cs="Times New Roman"/>
          <w:sz w:val="24"/>
          <w:szCs w:val="24"/>
        </w:rPr>
      </w:pPr>
      <w:r w:rsidRPr="006D2E28">
        <w:rPr>
          <w:rFonts w:ascii="Times New Roman" w:eastAsia="Times New Roman" w:hAnsi="Times New Roman" w:cs="Times New Roman"/>
          <w:noProof/>
          <w:sz w:val="24"/>
          <w:szCs w:val="24"/>
        </w:rPr>
        <w:drawing>
          <wp:inline distT="0" distB="0" distL="0" distR="0" wp14:anchorId="451C2CD9" wp14:editId="15942F3C">
            <wp:extent cx="2238131" cy="130279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258650" cy="1314737"/>
                    </a:xfrm>
                    <a:prstGeom prst="rect">
                      <a:avLst/>
                    </a:prstGeom>
                    <a:noFill/>
                    <a:ln>
                      <a:noFill/>
                    </a:ln>
                  </pic:spPr>
                </pic:pic>
              </a:graphicData>
            </a:graphic>
          </wp:inline>
        </w:drawing>
      </w:r>
      <w:r w:rsidR="00D9625A">
        <w:t xml:space="preserve"> </w:t>
      </w:r>
      <w:r w:rsidRPr="006D2E28">
        <w:t xml:space="preserve"> </w:t>
      </w:r>
      <w:r w:rsidRPr="006D2E28">
        <w:rPr>
          <w:rFonts w:ascii="Times New Roman" w:eastAsia="Times New Roman" w:hAnsi="Times New Roman" w:cs="Times New Roman"/>
          <w:noProof/>
          <w:sz w:val="24"/>
          <w:szCs w:val="24"/>
        </w:rPr>
        <w:drawing>
          <wp:inline distT="0" distB="0" distL="0" distR="0" wp14:anchorId="33B4D3BE" wp14:editId="4A821997">
            <wp:extent cx="2202180" cy="1325690"/>
            <wp:effectExtent l="0" t="0" r="7620" b="825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209375" cy="1330021"/>
                    </a:xfrm>
                    <a:prstGeom prst="rect">
                      <a:avLst/>
                    </a:prstGeom>
                    <a:noFill/>
                    <a:ln>
                      <a:noFill/>
                    </a:ln>
                  </pic:spPr>
                </pic:pic>
              </a:graphicData>
            </a:graphic>
          </wp:inline>
        </w:drawing>
      </w:r>
    </w:p>
    <w:p w14:paraId="267825E3" w14:textId="0EBEFCD9" w:rsidR="006D2E28" w:rsidRPr="006D2E28" w:rsidRDefault="00F46A06" w:rsidP="006D2E28">
      <w:pPr>
        <w:spacing w:after="0" w:line="240" w:lineRule="auto"/>
        <w:rPr>
          <w:rFonts w:ascii="Times New Roman" w:eastAsia="Times New Roman" w:hAnsi="Times New Roman" w:cs="Times New Roman"/>
          <w:b/>
          <w:bCs/>
          <w:sz w:val="24"/>
          <w:szCs w:val="24"/>
        </w:rPr>
      </w:pPr>
      <w:r w:rsidRPr="00F46A06">
        <w:rPr>
          <w:b/>
          <w:bCs/>
        </w:rPr>
        <w:lastRenderedPageBreak/>
        <w:t>ARMA Modelling</w:t>
      </w:r>
    </w:p>
    <w:p w14:paraId="52A56302" w14:textId="7C6C6F97" w:rsidR="0033015C" w:rsidRPr="0033015C" w:rsidRDefault="0033015C" w:rsidP="0033015C">
      <w:pPr>
        <w:spacing w:after="0" w:line="240" w:lineRule="auto"/>
        <w:rPr>
          <w:rFonts w:ascii="Times New Roman" w:eastAsia="Times New Roman" w:hAnsi="Times New Roman" w:cs="Times New Roman"/>
          <w:sz w:val="24"/>
          <w:szCs w:val="24"/>
        </w:rPr>
      </w:pPr>
    </w:p>
    <w:p w14:paraId="57361232" w14:textId="0B1A20F5" w:rsidR="0033015C" w:rsidRDefault="00F46A06" w:rsidP="0033015C">
      <w:r>
        <w:t>Time Series analysis is concerned with data that are not independent, but serially correlated, and where the relationships between consecutive observations are of interest.</w:t>
      </w:r>
    </w:p>
    <w:p w14:paraId="4F2138F3" w14:textId="77777777" w:rsidR="00F46A06" w:rsidRDefault="00F46A06">
      <w:r>
        <w:t>After we have identified and removed trends and seasonality, we assume that the residuals thus formed are a stationary time series.</w:t>
      </w:r>
    </w:p>
    <w:p w14:paraId="399ED20A" w14:textId="77777777" w:rsidR="00F46A06" w:rsidRDefault="00F46A06">
      <w:r>
        <w:t xml:space="preserve"> • We then utilise particular methods to ascertain whether this residual series is the realisation of a purely random process, or if it contains serial correlation of some nature. </w:t>
      </w:r>
    </w:p>
    <w:p w14:paraId="01B2A8EC" w14:textId="1C589C37" w:rsidR="00255153" w:rsidRDefault="00F46A06">
      <w:r>
        <w:t xml:space="preserve">• We are going to examine the Autoregressive Moving Average ARMA Process (Box-Jenkins (BJ) Methodology). </w:t>
      </w:r>
    </w:p>
    <w:p w14:paraId="7A618E89" w14:textId="77777777" w:rsidR="001167E5" w:rsidRPr="001167E5" w:rsidRDefault="001167E5" w:rsidP="001167E5">
      <w:pPr>
        <w:shd w:val="clear" w:color="auto" w:fill="FFFFFF"/>
        <w:spacing w:after="360" w:line="240" w:lineRule="auto"/>
        <w:rPr>
          <w:rFonts w:ascii="Helvetica" w:eastAsia="Times New Roman" w:hAnsi="Helvetica" w:cs="Helvetica"/>
          <w:color w:val="575760"/>
          <w:sz w:val="21"/>
          <w:szCs w:val="21"/>
        </w:rPr>
      </w:pPr>
      <w:r w:rsidRPr="001167E5">
        <w:rPr>
          <w:rFonts w:ascii="Helvetica" w:eastAsia="Times New Roman" w:hAnsi="Helvetica" w:cs="Helvetica"/>
          <w:color w:val="575760"/>
          <w:sz w:val="21"/>
          <w:szCs w:val="21"/>
        </w:rPr>
        <w:t>Often this model is referred to as the </w:t>
      </w:r>
      <w:r w:rsidRPr="001167E5">
        <w:rPr>
          <w:rFonts w:ascii="Helvetica" w:eastAsia="Times New Roman" w:hAnsi="Helvetica" w:cs="Helvetica"/>
          <w:b/>
          <w:bCs/>
          <w:color w:val="575760"/>
          <w:sz w:val="21"/>
          <w:szCs w:val="21"/>
        </w:rPr>
        <w:t>ARMA(p,q) model</w:t>
      </w:r>
      <w:r w:rsidRPr="001167E5">
        <w:rPr>
          <w:rFonts w:ascii="Helvetica" w:eastAsia="Times New Roman" w:hAnsi="Helvetica" w:cs="Helvetica"/>
          <w:color w:val="575760"/>
          <w:sz w:val="21"/>
          <w:szCs w:val="21"/>
        </w:rPr>
        <w:t>; where:</w:t>
      </w:r>
    </w:p>
    <w:p w14:paraId="0BA623AB" w14:textId="77777777" w:rsidR="001167E5" w:rsidRPr="001167E5" w:rsidRDefault="001167E5" w:rsidP="001167E5">
      <w:pPr>
        <w:shd w:val="clear" w:color="auto" w:fill="FFFFFF"/>
        <w:spacing w:after="0" w:line="240" w:lineRule="auto"/>
        <w:rPr>
          <w:rFonts w:ascii="Helvetica" w:eastAsia="Times New Roman" w:hAnsi="Helvetica" w:cs="Helvetica"/>
          <w:color w:val="575760"/>
          <w:sz w:val="21"/>
          <w:szCs w:val="21"/>
        </w:rPr>
      </w:pPr>
      <w:r w:rsidRPr="001167E5">
        <w:rPr>
          <w:rFonts w:ascii="Helvetica" w:eastAsia="Times New Roman" w:hAnsi="Helvetica" w:cs="Helvetica"/>
          <w:color w:val="575760"/>
          <w:sz w:val="21"/>
          <w:szCs w:val="21"/>
        </w:rPr>
        <w:t>p is the order of the autoregressive polynomial,</w:t>
      </w:r>
    </w:p>
    <w:p w14:paraId="7FB3215F" w14:textId="77777777" w:rsidR="001167E5" w:rsidRPr="001167E5" w:rsidRDefault="001167E5" w:rsidP="001167E5">
      <w:pPr>
        <w:shd w:val="clear" w:color="auto" w:fill="FFFFFF"/>
        <w:spacing w:after="0" w:line="240" w:lineRule="auto"/>
        <w:rPr>
          <w:rFonts w:ascii="Helvetica" w:eastAsia="Times New Roman" w:hAnsi="Helvetica" w:cs="Helvetica"/>
          <w:color w:val="575760"/>
          <w:sz w:val="21"/>
          <w:szCs w:val="21"/>
        </w:rPr>
      </w:pPr>
      <w:r w:rsidRPr="001167E5">
        <w:rPr>
          <w:rFonts w:ascii="Helvetica" w:eastAsia="Times New Roman" w:hAnsi="Helvetica" w:cs="Helvetica"/>
          <w:color w:val="575760"/>
          <w:sz w:val="21"/>
          <w:szCs w:val="21"/>
        </w:rPr>
        <w:t>q is the order of the moving average polynomial.</w:t>
      </w:r>
    </w:p>
    <w:p w14:paraId="719F96D2" w14:textId="2E68C239" w:rsidR="00F46A06" w:rsidRDefault="001167E5">
      <w:r>
        <w:rPr>
          <w:noProof/>
        </w:rPr>
        <w:drawing>
          <wp:inline distT="0" distB="0" distL="0" distR="0" wp14:anchorId="71EFCEEE" wp14:editId="10FBFEC0">
            <wp:extent cx="2705100" cy="54102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705100" cy="541020"/>
                    </a:xfrm>
                    <a:prstGeom prst="rect">
                      <a:avLst/>
                    </a:prstGeom>
                    <a:noFill/>
                    <a:ln>
                      <a:noFill/>
                    </a:ln>
                  </pic:spPr>
                </pic:pic>
              </a:graphicData>
            </a:graphic>
          </wp:inline>
        </w:drawing>
      </w:r>
    </w:p>
    <w:p w14:paraId="063350C0" w14:textId="02DBA07E" w:rsidR="00F46A06" w:rsidRPr="002F08DF" w:rsidRDefault="002F08DF">
      <w:pPr>
        <w:rPr>
          <w:b/>
          <w:bCs/>
        </w:rPr>
      </w:pPr>
      <w:r>
        <w:rPr>
          <w:rFonts w:ascii="Arial" w:hAnsi="Arial" w:cs="Arial"/>
          <w:color w:val="141F31"/>
          <w:sz w:val="27"/>
          <w:szCs w:val="27"/>
          <w:shd w:val="clear" w:color="auto" w:fill="FFFFFF"/>
        </w:rPr>
        <w:t>AR(2,3)   -.&gt;         y</w:t>
      </w:r>
      <w:r>
        <w:rPr>
          <w:rFonts w:ascii="Arial" w:hAnsi="Arial" w:cs="Arial"/>
          <w:color w:val="141F31"/>
          <w:shd w:val="clear" w:color="auto" w:fill="FFFFFF"/>
          <w:vertAlign w:val="subscript"/>
        </w:rPr>
        <w:t>t</w:t>
      </w:r>
      <w:r>
        <w:rPr>
          <w:rFonts w:ascii="Arial" w:hAnsi="Arial" w:cs="Arial"/>
          <w:color w:val="141F31"/>
          <w:sz w:val="27"/>
          <w:szCs w:val="27"/>
          <w:shd w:val="clear" w:color="auto" w:fill="FFFFFF"/>
        </w:rPr>
        <w:t> = ϕ</w:t>
      </w:r>
      <w:r>
        <w:rPr>
          <w:rFonts w:ascii="Arial" w:hAnsi="Arial" w:cs="Arial"/>
          <w:color w:val="141F31"/>
          <w:shd w:val="clear" w:color="auto" w:fill="FFFFFF"/>
          <w:vertAlign w:val="subscript"/>
        </w:rPr>
        <w:t>1</w:t>
      </w:r>
      <w:r>
        <w:rPr>
          <w:rFonts w:ascii="Arial" w:hAnsi="Arial" w:cs="Arial"/>
          <w:color w:val="141F31"/>
          <w:sz w:val="27"/>
          <w:szCs w:val="27"/>
          <w:shd w:val="clear" w:color="auto" w:fill="FFFFFF"/>
        </w:rPr>
        <w:t> y</w:t>
      </w:r>
      <w:r>
        <w:rPr>
          <w:rFonts w:ascii="Arial" w:hAnsi="Arial" w:cs="Arial"/>
          <w:color w:val="141F31"/>
          <w:shd w:val="clear" w:color="auto" w:fill="FFFFFF"/>
          <w:vertAlign w:val="subscript"/>
        </w:rPr>
        <w:t>t-1</w:t>
      </w:r>
      <w:r>
        <w:rPr>
          <w:rFonts w:ascii="Arial" w:hAnsi="Arial" w:cs="Arial"/>
          <w:color w:val="141F31"/>
          <w:sz w:val="27"/>
          <w:szCs w:val="27"/>
          <w:shd w:val="clear" w:color="auto" w:fill="FFFFFF"/>
        </w:rPr>
        <w:t> + ϕ</w:t>
      </w:r>
      <w:r>
        <w:rPr>
          <w:rFonts w:ascii="Arial" w:hAnsi="Arial" w:cs="Arial"/>
          <w:color w:val="141F31"/>
          <w:shd w:val="clear" w:color="auto" w:fill="FFFFFF"/>
          <w:vertAlign w:val="subscript"/>
        </w:rPr>
        <w:t>2</w:t>
      </w:r>
      <w:r>
        <w:rPr>
          <w:rFonts w:ascii="Arial" w:hAnsi="Arial" w:cs="Arial"/>
          <w:color w:val="141F31"/>
          <w:sz w:val="27"/>
          <w:szCs w:val="27"/>
          <w:shd w:val="clear" w:color="auto" w:fill="FFFFFF"/>
        </w:rPr>
        <w:t> y</w:t>
      </w:r>
      <w:r>
        <w:rPr>
          <w:rFonts w:ascii="Arial" w:hAnsi="Arial" w:cs="Arial"/>
          <w:color w:val="141F31"/>
          <w:shd w:val="clear" w:color="auto" w:fill="FFFFFF"/>
          <w:vertAlign w:val="subscript"/>
        </w:rPr>
        <w:t>t-2</w:t>
      </w:r>
      <w:r>
        <w:rPr>
          <w:rFonts w:ascii="Arial" w:hAnsi="Arial" w:cs="Arial"/>
          <w:color w:val="141F31"/>
          <w:sz w:val="27"/>
          <w:szCs w:val="27"/>
          <w:shd w:val="clear" w:color="auto" w:fill="FFFFFF"/>
        </w:rPr>
        <w:t> + θ</w:t>
      </w:r>
      <w:r>
        <w:rPr>
          <w:rFonts w:ascii="Arial" w:hAnsi="Arial" w:cs="Arial"/>
          <w:color w:val="141F31"/>
          <w:shd w:val="clear" w:color="auto" w:fill="FFFFFF"/>
          <w:vertAlign w:val="subscript"/>
        </w:rPr>
        <w:t>1</w:t>
      </w:r>
      <w:r>
        <w:rPr>
          <w:rFonts w:ascii="Arial" w:hAnsi="Arial" w:cs="Arial"/>
          <w:color w:val="141F31"/>
          <w:sz w:val="27"/>
          <w:szCs w:val="27"/>
          <w:shd w:val="clear" w:color="auto" w:fill="FFFFFF"/>
        </w:rPr>
        <w:t> ϵ </w:t>
      </w:r>
      <w:r>
        <w:rPr>
          <w:rFonts w:ascii="Arial" w:hAnsi="Arial" w:cs="Arial"/>
          <w:color w:val="141F31"/>
          <w:shd w:val="clear" w:color="auto" w:fill="FFFFFF"/>
          <w:vertAlign w:val="subscript"/>
        </w:rPr>
        <w:t>t-1</w:t>
      </w:r>
      <w:r>
        <w:rPr>
          <w:rFonts w:ascii="Arial" w:hAnsi="Arial" w:cs="Arial"/>
          <w:color w:val="141F31"/>
          <w:sz w:val="27"/>
          <w:szCs w:val="27"/>
          <w:shd w:val="clear" w:color="auto" w:fill="FFFFFF"/>
        </w:rPr>
        <w:t> + + θ</w:t>
      </w:r>
      <w:r>
        <w:rPr>
          <w:rFonts w:ascii="Arial" w:hAnsi="Arial" w:cs="Arial"/>
          <w:color w:val="141F31"/>
          <w:shd w:val="clear" w:color="auto" w:fill="FFFFFF"/>
          <w:vertAlign w:val="subscript"/>
        </w:rPr>
        <w:t>2</w:t>
      </w:r>
      <w:r>
        <w:rPr>
          <w:rFonts w:ascii="Arial" w:hAnsi="Arial" w:cs="Arial"/>
          <w:color w:val="141F31"/>
          <w:sz w:val="27"/>
          <w:szCs w:val="27"/>
          <w:shd w:val="clear" w:color="auto" w:fill="FFFFFF"/>
        </w:rPr>
        <w:t> ϵ </w:t>
      </w:r>
      <w:r>
        <w:rPr>
          <w:rFonts w:ascii="Arial" w:hAnsi="Arial" w:cs="Arial"/>
          <w:color w:val="141F31"/>
          <w:shd w:val="clear" w:color="auto" w:fill="FFFFFF"/>
          <w:vertAlign w:val="subscript"/>
        </w:rPr>
        <w:t>t-2</w:t>
      </w:r>
      <w:r>
        <w:rPr>
          <w:rFonts w:ascii="Arial" w:hAnsi="Arial" w:cs="Arial"/>
          <w:color w:val="141F31"/>
          <w:sz w:val="27"/>
          <w:szCs w:val="27"/>
          <w:shd w:val="clear" w:color="auto" w:fill="FFFFFF"/>
        </w:rPr>
        <w:t> + θ</w:t>
      </w:r>
      <w:r>
        <w:rPr>
          <w:rFonts w:ascii="Arial" w:hAnsi="Arial" w:cs="Arial"/>
          <w:color w:val="141F31"/>
          <w:shd w:val="clear" w:color="auto" w:fill="FFFFFF"/>
          <w:vertAlign w:val="subscript"/>
        </w:rPr>
        <w:t>3</w:t>
      </w:r>
      <w:r>
        <w:rPr>
          <w:rFonts w:ascii="Arial" w:hAnsi="Arial" w:cs="Arial"/>
          <w:color w:val="141F31"/>
          <w:sz w:val="27"/>
          <w:szCs w:val="27"/>
          <w:shd w:val="clear" w:color="auto" w:fill="FFFFFF"/>
        </w:rPr>
        <w:t> ϵ </w:t>
      </w:r>
      <w:r>
        <w:rPr>
          <w:rFonts w:ascii="Arial" w:hAnsi="Arial" w:cs="Arial"/>
          <w:color w:val="141F31"/>
          <w:shd w:val="clear" w:color="auto" w:fill="FFFFFF"/>
          <w:vertAlign w:val="subscript"/>
        </w:rPr>
        <w:t>t-3</w:t>
      </w:r>
      <w:r>
        <w:rPr>
          <w:rFonts w:ascii="Arial" w:hAnsi="Arial" w:cs="Arial"/>
          <w:color w:val="141F31"/>
          <w:sz w:val="27"/>
          <w:szCs w:val="27"/>
          <w:shd w:val="clear" w:color="auto" w:fill="FFFFFF"/>
        </w:rPr>
        <w:t> + ϵ </w:t>
      </w:r>
      <w:r>
        <w:rPr>
          <w:rFonts w:ascii="Arial" w:hAnsi="Arial" w:cs="Arial"/>
          <w:color w:val="141F31"/>
          <w:shd w:val="clear" w:color="auto" w:fill="FFFFFF"/>
          <w:vertAlign w:val="subscript"/>
        </w:rPr>
        <w:t>t</w:t>
      </w:r>
    </w:p>
    <w:p w14:paraId="0EBBC72C" w14:textId="5268E81E" w:rsidR="00F46A06" w:rsidRPr="001E4D88" w:rsidRDefault="00F46A06">
      <w:pPr>
        <w:rPr>
          <w:b/>
          <w:bCs/>
        </w:rPr>
      </w:pPr>
      <w:r w:rsidRPr="001E4D88">
        <w:rPr>
          <w:b/>
          <w:bCs/>
        </w:rPr>
        <w:t>The Sample Autocorrelation</w:t>
      </w:r>
      <w:r w:rsidR="00881D21" w:rsidRPr="001E4D88">
        <w:rPr>
          <w:b/>
          <w:bCs/>
        </w:rPr>
        <w:t xml:space="preserve"> (SACF)</w:t>
      </w:r>
      <w:r w:rsidRPr="001E4D88">
        <w:rPr>
          <w:b/>
          <w:bCs/>
        </w:rPr>
        <w:t xml:space="preserve"> and Partial Autocorrelation Functions</w:t>
      </w:r>
      <w:r w:rsidR="00881D21" w:rsidRPr="001E4D88">
        <w:rPr>
          <w:b/>
          <w:bCs/>
        </w:rPr>
        <w:t>(PACF)</w:t>
      </w:r>
    </w:p>
    <w:p w14:paraId="7EBA5F10" w14:textId="2BF0B894" w:rsidR="00881D21" w:rsidRDefault="00881D21">
      <w:r>
        <w:t>SACF and PACF provide a useful measure of the degree of dependence between values of a time series at specific interval of separation and thus play an important role in prediction of future values of a time series.</w:t>
      </w:r>
    </w:p>
    <w:p w14:paraId="0DBAF3C4" w14:textId="77777777" w:rsidR="001E4D88" w:rsidRDefault="0070422B">
      <w:r>
        <w:t xml:space="preserve">Thus, the </w:t>
      </w:r>
      <w:r w:rsidRPr="001E4D88">
        <w:rPr>
          <w:b/>
          <w:bCs/>
        </w:rPr>
        <w:t>SACF</w:t>
      </w:r>
      <w:r>
        <w:t xml:space="preserve"> is a measure of the linear relationship between time series observations separated by some time period, denoted the lag k</w:t>
      </w:r>
      <w:r w:rsidR="001E4D88">
        <w:t xml:space="preserve">. </w:t>
      </w:r>
    </w:p>
    <w:p w14:paraId="4CE5DF87" w14:textId="45594BBA" w:rsidR="0070422B" w:rsidRDefault="001E4D88">
      <w:r>
        <w:t xml:space="preserve"> • Let’s consider a lag of 1. A value close to 1 means that there is a strong correlation between xt and xt−1, xt−1 and xt−2 and so on down to the last observation.</w:t>
      </w:r>
    </w:p>
    <w:p w14:paraId="2F6BA741" w14:textId="597AD603" w:rsidR="0070422B" w:rsidRDefault="0070422B">
      <w:r>
        <w:t xml:space="preserve">The </w:t>
      </w:r>
      <w:r w:rsidRPr="001E4D88">
        <w:rPr>
          <w:b/>
          <w:bCs/>
        </w:rPr>
        <w:t>SPACF</w:t>
      </w:r>
      <w:r>
        <w:t xml:space="preserve"> describes the correlation between observations at some time period, the lag, with the influence of the serial correlation removed.</w:t>
      </w:r>
    </w:p>
    <w:p w14:paraId="5937E0EB" w14:textId="77777777" w:rsidR="00F50E97" w:rsidRDefault="00F50E97">
      <w:r>
        <w:t>Once we have a stationary time series we can use these functions to determine whether to fit</w:t>
      </w:r>
    </w:p>
    <w:p w14:paraId="0B6B2B51" w14:textId="77777777" w:rsidR="00F50E97" w:rsidRDefault="00F50E97">
      <w:r>
        <w:t xml:space="preserve">1. A moving average process or; </w:t>
      </w:r>
    </w:p>
    <w:p w14:paraId="4C6A2146" w14:textId="77777777" w:rsidR="00F50E97" w:rsidRDefault="00F50E97">
      <w:r>
        <w:t xml:space="preserve">2. An autoregressive process or; </w:t>
      </w:r>
    </w:p>
    <w:p w14:paraId="614996F4" w14:textId="77777777" w:rsidR="00F50E97" w:rsidRDefault="00F50E97">
      <w:r>
        <w:t xml:space="preserve">3. An autoregressive moving average process </w:t>
      </w:r>
    </w:p>
    <w:p w14:paraId="750E08ED" w14:textId="77777777" w:rsidR="00F50E97" w:rsidRDefault="00F50E97">
      <w:r>
        <w:t xml:space="preserve">We use (1) when the SACF has spikes at lags 1, 2, , q and the SPACF dies down gradually. </w:t>
      </w:r>
    </w:p>
    <w:p w14:paraId="6A92FF46" w14:textId="77777777" w:rsidR="00F50E97" w:rsidRDefault="00F50E97">
      <w:r>
        <w:t>We use (2) when the SACF dies down gradually and the SPACF has spikes at lags 1, 2, , p.</w:t>
      </w:r>
    </w:p>
    <w:p w14:paraId="587110EC" w14:textId="002AA286" w:rsidR="00F50E97" w:rsidRDefault="00F50E97">
      <w:r>
        <w:t>We use (3) when we do not have either of these patterns</w:t>
      </w:r>
      <w:r w:rsidR="001167E5">
        <w:t>.</w:t>
      </w:r>
    </w:p>
    <w:p w14:paraId="7EA9A227" w14:textId="6C7B4421" w:rsidR="001167E5" w:rsidRDefault="001167E5">
      <w:r>
        <w:lastRenderedPageBreak/>
        <w:t>SACF and SPACF If we define the original data as L(t), and the quadratic trend as T(t), the next step after estimating the trend equation is to subtract it from the original data to form the residual series R(t) = L(t) − T(t). The question then is whether there is any serial correlative structure in R(t).</w:t>
      </w:r>
    </w:p>
    <w:p w14:paraId="4FF19BB3" w14:textId="390E4244" w:rsidR="00FA3B44" w:rsidRDefault="00FA3B44">
      <w:r>
        <w:t>SACF</w:t>
      </w:r>
    </w:p>
    <w:p w14:paraId="790BAFCC" w14:textId="77777777" w:rsidR="00376661" w:rsidRDefault="00376661">
      <w:r>
        <w:rPr>
          <w:noProof/>
        </w:rPr>
        <w:drawing>
          <wp:inline distT="0" distB="0" distL="0" distR="0" wp14:anchorId="48D66EA1" wp14:editId="4330155C">
            <wp:extent cx="2537460" cy="1686606"/>
            <wp:effectExtent l="0" t="0" r="0" b="889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540695" cy="1688756"/>
                    </a:xfrm>
                    <a:prstGeom prst="rect">
                      <a:avLst/>
                    </a:prstGeom>
                    <a:noFill/>
                    <a:ln>
                      <a:noFill/>
                    </a:ln>
                  </pic:spPr>
                </pic:pic>
              </a:graphicData>
            </a:graphic>
          </wp:inline>
        </w:drawing>
      </w:r>
    </w:p>
    <w:p w14:paraId="2A1860EB" w14:textId="77777777" w:rsidR="00376661" w:rsidRDefault="00376661"/>
    <w:p w14:paraId="482EAC25" w14:textId="09CC5293" w:rsidR="00376661" w:rsidRDefault="00FA3B44">
      <w:r>
        <w:t>SPACF</w:t>
      </w:r>
    </w:p>
    <w:p w14:paraId="7FE717EC" w14:textId="3DA1CCD6" w:rsidR="00376661" w:rsidRDefault="00376661">
      <w:r>
        <w:rPr>
          <w:rFonts w:ascii="Calibri" w:hAnsi="Calibri" w:cs="Calibri"/>
          <w:noProof/>
          <w:color w:val="000000"/>
          <w:shd w:val="clear" w:color="auto" w:fill="FFFFFF"/>
          <w:lang w:val="en-AU"/>
        </w:rPr>
        <w:drawing>
          <wp:inline distT="0" distB="0" distL="0" distR="0" wp14:anchorId="6C6A6389" wp14:editId="7AB321C8">
            <wp:extent cx="2362200" cy="157011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372146" cy="1576725"/>
                    </a:xfrm>
                    <a:prstGeom prst="rect">
                      <a:avLst/>
                    </a:prstGeom>
                    <a:noFill/>
                    <a:ln>
                      <a:noFill/>
                    </a:ln>
                  </pic:spPr>
                </pic:pic>
              </a:graphicData>
            </a:graphic>
          </wp:inline>
        </w:drawing>
      </w:r>
      <w:r>
        <w:rPr>
          <w:rFonts w:ascii="Calibri" w:hAnsi="Calibri" w:cs="Calibri"/>
          <w:color w:val="000000"/>
          <w:shd w:val="clear" w:color="auto" w:fill="FFFFFF"/>
          <w:lang w:val="en-AU"/>
        </w:rPr>
        <w:br/>
      </w:r>
      <w:r>
        <w:rPr>
          <w:rFonts w:ascii="Calibri" w:hAnsi="Calibri" w:cs="Calibri"/>
          <w:color w:val="000000"/>
          <w:shd w:val="clear" w:color="auto" w:fill="FFFFFF"/>
          <w:lang w:val="en-AU"/>
        </w:rPr>
        <w:br/>
      </w:r>
      <w:r w:rsidR="00FA3B44">
        <w:t>This would imply that an AR(2) model might well fit the series. The next step is to see if we can verify this conjecture or if we need to alter it. To do so, we first try overfitting, that is, we try to fit an AR(3) model with a constant term included in the specification.</w:t>
      </w:r>
    </w:p>
    <w:p w14:paraId="182F6885" w14:textId="3703255E" w:rsidR="00FA3B44" w:rsidRDefault="00FA3B44">
      <w:r>
        <w:t>The final model consists of the AR(2) part for the detrended data plus the liner model, as compared to the original series.</w:t>
      </w:r>
    </w:p>
    <w:p w14:paraId="0EBD60FE" w14:textId="77777777" w:rsidR="00AC016C" w:rsidRDefault="00AC016C"/>
    <w:sectPr w:rsidR="00AC016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C57262A"/>
    <w:multiLevelType w:val="multilevel"/>
    <w:tmpl w:val="88523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266A"/>
    <w:rsid w:val="000B0580"/>
    <w:rsid w:val="001167E5"/>
    <w:rsid w:val="00133736"/>
    <w:rsid w:val="001C5D72"/>
    <w:rsid w:val="001E4D88"/>
    <w:rsid w:val="0024544D"/>
    <w:rsid w:val="00255153"/>
    <w:rsid w:val="002F08DF"/>
    <w:rsid w:val="0033015C"/>
    <w:rsid w:val="00376661"/>
    <w:rsid w:val="00574D0F"/>
    <w:rsid w:val="005E5D0B"/>
    <w:rsid w:val="006D2E28"/>
    <w:rsid w:val="007038FC"/>
    <w:rsid w:val="0070422B"/>
    <w:rsid w:val="00881CE7"/>
    <w:rsid w:val="00881D21"/>
    <w:rsid w:val="0091266A"/>
    <w:rsid w:val="00963008"/>
    <w:rsid w:val="00971BBC"/>
    <w:rsid w:val="009E38E2"/>
    <w:rsid w:val="00A31A68"/>
    <w:rsid w:val="00AC016C"/>
    <w:rsid w:val="00AF5493"/>
    <w:rsid w:val="00B52795"/>
    <w:rsid w:val="00B9149A"/>
    <w:rsid w:val="00D9625A"/>
    <w:rsid w:val="00E334C8"/>
    <w:rsid w:val="00E813B5"/>
    <w:rsid w:val="00F46A06"/>
    <w:rsid w:val="00F50E97"/>
    <w:rsid w:val="00FA3B44"/>
    <w:rsid w:val="00FB1387"/>
    <w:rsid w:val="00FB63A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00BEB"/>
  <w15:chartTrackingRefBased/>
  <w15:docId w15:val="{E7440CB0-4F62-4621-821F-D7A8CD0AB3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1167E5"/>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1167E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9026878">
      <w:bodyDiv w:val="1"/>
      <w:marLeft w:val="0"/>
      <w:marRight w:val="0"/>
      <w:marTop w:val="0"/>
      <w:marBottom w:val="0"/>
      <w:divBdr>
        <w:top w:val="none" w:sz="0" w:space="0" w:color="auto"/>
        <w:left w:val="none" w:sz="0" w:space="0" w:color="auto"/>
        <w:bottom w:val="none" w:sz="0" w:space="0" w:color="auto"/>
        <w:right w:val="none" w:sz="0" w:space="0" w:color="auto"/>
      </w:divBdr>
    </w:div>
    <w:div w:id="365909207">
      <w:bodyDiv w:val="1"/>
      <w:marLeft w:val="0"/>
      <w:marRight w:val="0"/>
      <w:marTop w:val="0"/>
      <w:marBottom w:val="0"/>
      <w:divBdr>
        <w:top w:val="none" w:sz="0" w:space="0" w:color="auto"/>
        <w:left w:val="none" w:sz="0" w:space="0" w:color="auto"/>
        <w:bottom w:val="none" w:sz="0" w:space="0" w:color="auto"/>
        <w:right w:val="none" w:sz="0" w:space="0" w:color="auto"/>
      </w:divBdr>
      <w:divsChild>
        <w:div w:id="781219912">
          <w:marLeft w:val="0"/>
          <w:marRight w:val="0"/>
          <w:marTop w:val="0"/>
          <w:marBottom w:val="0"/>
          <w:divBdr>
            <w:top w:val="none" w:sz="0" w:space="0" w:color="auto"/>
            <w:left w:val="none" w:sz="0" w:space="0" w:color="auto"/>
            <w:bottom w:val="none" w:sz="0" w:space="0" w:color="auto"/>
            <w:right w:val="none" w:sz="0" w:space="0" w:color="auto"/>
          </w:divBdr>
        </w:div>
      </w:divsChild>
    </w:div>
    <w:div w:id="623003615">
      <w:bodyDiv w:val="1"/>
      <w:marLeft w:val="0"/>
      <w:marRight w:val="0"/>
      <w:marTop w:val="0"/>
      <w:marBottom w:val="0"/>
      <w:divBdr>
        <w:top w:val="none" w:sz="0" w:space="0" w:color="auto"/>
        <w:left w:val="none" w:sz="0" w:space="0" w:color="auto"/>
        <w:bottom w:val="none" w:sz="0" w:space="0" w:color="auto"/>
        <w:right w:val="none" w:sz="0" w:space="0" w:color="auto"/>
      </w:divBdr>
      <w:divsChild>
        <w:div w:id="927881069">
          <w:marLeft w:val="0"/>
          <w:marRight w:val="0"/>
          <w:marTop w:val="0"/>
          <w:marBottom w:val="0"/>
          <w:divBdr>
            <w:top w:val="none" w:sz="0" w:space="0" w:color="auto"/>
            <w:left w:val="none" w:sz="0" w:space="0" w:color="auto"/>
            <w:bottom w:val="none" w:sz="0" w:space="0" w:color="auto"/>
            <w:right w:val="none" w:sz="0" w:space="0" w:color="auto"/>
          </w:divBdr>
        </w:div>
      </w:divsChild>
    </w:div>
    <w:div w:id="650603024">
      <w:bodyDiv w:val="1"/>
      <w:marLeft w:val="0"/>
      <w:marRight w:val="0"/>
      <w:marTop w:val="0"/>
      <w:marBottom w:val="0"/>
      <w:divBdr>
        <w:top w:val="none" w:sz="0" w:space="0" w:color="auto"/>
        <w:left w:val="none" w:sz="0" w:space="0" w:color="auto"/>
        <w:bottom w:val="none" w:sz="0" w:space="0" w:color="auto"/>
        <w:right w:val="none" w:sz="0" w:space="0" w:color="auto"/>
      </w:divBdr>
      <w:divsChild>
        <w:div w:id="1369718359">
          <w:marLeft w:val="0"/>
          <w:marRight w:val="0"/>
          <w:marTop w:val="0"/>
          <w:marBottom w:val="0"/>
          <w:divBdr>
            <w:top w:val="none" w:sz="0" w:space="0" w:color="auto"/>
            <w:left w:val="none" w:sz="0" w:space="0" w:color="auto"/>
            <w:bottom w:val="none" w:sz="0" w:space="0" w:color="auto"/>
            <w:right w:val="none" w:sz="0" w:space="0" w:color="auto"/>
          </w:divBdr>
        </w:div>
      </w:divsChild>
    </w:div>
    <w:div w:id="789665079">
      <w:bodyDiv w:val="1"/>
      <w:marLeft w:val="0"/>
      <w:marRight w:val="0"/>
      <w:marTop w:val="0"/>
      <w:marBottom w:val="0"/>
      <w:divBdr>
        <w:top w:val="none" w:sz="0" w:space="0" w:color="auto"/>
        <w:left w:val="none" w:sz="0" w:space="0" w:color="auto"/>
        <w:bottom w:val="none" w:sz="0" w:space="0" w:color="auto"/>
        <w:right w:val="none" w:sz="0" w:space="0" w:color="auto"/>
      </w:divBdr>
      <w:divsChild>
        <w:div w:id="1049652019">
          <w:marLeft w:val="0"/>
          <w:marRight w:val="0"/>
          <w:marTop w:val="0"/>
          <w:marBottom w:val="0"/>
          <w:divBdr>
            <w:top w:val="none" w:sz="0" w:space="0" w:color="auto"/>
            <w:left w:val="none" w:sz="0" w:space="0" w:color="auto"/>
            <w:bottom w:val="none" w:sz="0" w:space="0" w:color="auto"/>
            <w:right w:val="none" w:sz="0" w:space="0" w:color="auto"/>
          </w:divBdr>
        </w:div>
      </w:divsChild>
    </w:div>
    <w:div w:id="909849249">
      <w:bodyDiv w:val="1"/>
      <w:marLeft w:val="0"/>
      <w:marRight w:val="0"/>
      <w:marTop w:val="0"/>
      <w:marBottom w:val="0"/>
      <w:divBdr>
        <w:top w:val="none" w:sz="0" w:space="0" w:color="auto"/>
        <w:left w:val="none" w:sz="0" w:space="0" w:color="auto"/>
        <w:bottom w:val="none" w:sz="0" w:space="0" w:color="auto"/>
        <w:right w:val="none" w:sz="0" w:space="0" w:color="auto"/>
      </w:divBdr>
      <w:divsChild>
        <w:div w:id="1611820351">
          <w:marLeft w:val="0"/>
          <w:marRight w:val="0"/>
          <w:marTop w:val="0"/>
          <w:marBottom w:val="0"/>
          <w:divBdr>
            <w:top w:val="none" w:sz="0" w:space="0" w:color="auto"/>
            <w:left w:val="none" w:sz="0" w:space="0" w:color="auto"/>
            <w:bottom w:val="none" w:sz="0" w:space="0" w:color="auto"/>
            <w:right w:val="none" w:sz="0" w:space="0" w:color="auto"/>
          </w:divBdr>
        </w:div>
      </w:divsChild>
    </w:div>
    <w:div w:id="938219825">
      <w:bodyDiv w:val="1"/>
      <w:marLeft w:val="0"/>
      <w:marRight w:val="0"/>
      <w:marTop w:val="0"/>
      <w:marBottom w:val="0"/>
      <w:divBdr>
        <w:top w:val="none" w:sz="0" w:space="0" w:color="auto"/>
        <w:left w:val="none" w:sz="0" w:space="0" w:color="auto"/>
        <w:bottom w:val="none" w:sz="0" w:space="0" w:color="auto"/>
        <w:right w:val="none" w:sz="0" w:space="0" w:color="auto"/>
      </w:divBdr>
      <w:divsChild>
        <w:div w:id="636422626">
          <w:marLeft w:val="0"/>
          <w:marRight w:val="0"/>
          <w:marTop w:val="0"/>
          <w:marBottom w:val="0"/>
          <w:divBdr>
            <w:top w:val="none" w:sz="0" w:space="0" w:color="auto"/>
            <w:left w:val="none" w:sz="0" w:space="0" w:color="auto"/>
            <w:bottom w:val="none" w:sz="0" w:space="0" w:color="auto"/>
            <w:right w:val="none" w:sz="0" w:space="0" w:color="auto"/>
          </w:divBdr>
        </w:div>
      </w:divsChild>
    </w:div>
    <w:div w:id="1258640883">
      <w:bodyDiv w:val="1"/>
      <w:marLeft w:val="0"/>
      <w:marRight w:val="0"/>
      <w:marTop w:val="0"/>
      <w:marBottom w:val="0"/>
      <w:divBdr>
        <w:top w:val="none" w:sz="0" w:space="0" w:color="auto"/>
        <w:left w:val="none" w:sz="0" w:space="0" w:color="auto"/>
        <w:bottom w:val="none" w:sz="0" w:space="0" w:color="auto"/>
        <w:right w:val="none" w:sz="0" w:space="0" w:color="auto"/>
      </w:divBdr>
      <w:divsChild>
        <w:div w:id="362444914">
          <w:marLeft w:val="0"/>
          <w:marRight w:val="0"/>
          <w:marTop w:val="0"/>
          <w:marBottom w:val="0"/>
          <w:divBdr>
            <w:top w:val="none" w:sz="0" w:space="0" w:color="auto"/>
            <w:left w:val="none" w:sz="0" w:space="0" w:color="auto"/>
            <w:bottom w:val="none" w:sz="0" w:space="0" w:color="auto"/>
            <w:right w:val="none" w:sz="0" w:space="0" w:color="auto"/>
          </w:divBdr>
        </w:div>
      </w:divsChild>
    </w:div>
    <w:div w:id="1282374938">
      <w:bodyDiv w:val="1"/>
      <w:marLeft w:val="0"/>
      <w:marRight w:val="0"/>
      <w:marTop w:val="0"/>
      <w:marBottom w:val="0"/>
      <w:divBdr>
        <w:top w:val="none" w:sz="0" w:space="0" w:color="auto"/>
        <w:left w:val="none" w:sz="0" w:space="0" w:color="auto"/>
        <w:bottom w:val="none" w:sz="0" w:space="0" w:color="auto"/>
        <w:right w:val="none" w:sz="0" w:space="0" w:color="auto"/>
      </w:divBdr>
      <w:divsChild>
        <w:div w:id="1443037950">
          <w:marLeft w:val="0"/>
          <w:marRight w:val="0"/>
          <w:marTop w:val="0"/>
          <w:marBottom w:val="0"/>
          <w:divBdr>
            <w:top w:val="none" w:sz="0" w:space="0" w:color="auto"/>
            <w:left w:val="none" w:sz="0" w:space="0" w:color="auto"/>
            <w:bottom w:val="none" w:sz="0" w:space="0" w:color="auto"/>
            <w:right w:val="none" w:sz="0" w:space="0" w:color="auto"/>
          </w:divBdr>
        </w:div>
      </w:divsChild>
    </w:div>
    <w:div w:id="1664696037">
      <w:bodyDiv w:val="1"/>
      <w:marLeft w:val="0"/>
      <w:marRight w:val="0"/>
      <w:marTop w:val="0"/>
      <w:marBottom w:val="0"/>
      <w:divBdr>
        <w:top w:val="none" w:sz="0" w:space="0" w:color="auto"/>
        <w:left w:val="none" w:sz="0" w:space="0" w:color="auto"/>
        <w:bottom w:val="none" w:sz="0" w:space="0" w:color="auto"/>
        <w:right w:val="none" w:sz="0" w:space="0" w:color="auto"/>
      </w:divBdr>
      <w:divsChild>
        <w:div w:id="490297509">
          <w:marLeft w:val="0"/>
          <w:marRight w:val="0"/>
          <w:marTop w:val="0"/>
          <w:marBottom w:val="0"/>
          <w:divBdr>
            <w:top w:val="none" w:sz="0" w:space="0" w:color="auto"/>
            <w:left w:val="none" w:sz="0" w:space="0" w:color="auto"/>
            <w:bottom w:val="none" w:sz="0" w:space="0" w:color="auto"/>
            <w:right w:val="none" w:sz="0" w:space="0" w:color="auto"/>
          </w:divBdr>
        </w:div>
      </w:divsChild>
    </w:div>
    <w:div w:id="1762801420">
      <w:bodyDiv w:val="1"/>
      <w:marLeft w:val="0"/>
      <w:marRight w:val="0"/>
      <w:marTop w:val="0"/>
      <w:marBottom w:val="0"/>
      <w:divBdr>
        <w:top w:val="none" w:sz="0" w:space="0" w:color="auto"/>
        <w:left w:val="none" w:sz="0" w:space="0" w:color="auto"/>
        <w:bottom w:val="none" w:sz="0" w:space="0" w:color="auto"/>
        <w:right w:val="none" w:sz="0" w:space="0" w:color="auto"/>
      </w:divBdr>
      <w:divsChild>
        <w:div w:id="1414662137">
          <w:marLeft w:val="0"/>
          <w:marRight w:val="0"/>
          <w:marTop w:val="0"/>
          <w:marBottom w:val="0"/>
          <w:divBdr>
            <w:top w:val="none" w:sz="0" w:space="0" w:color="auto"/>
            <w:left w:val="none" w:sz="0" w:space="0" w:color="auto"/>
            <w:bottom w:val="none" w:sz="0" w:space="0" w:color="auto"/>
            <w:right w:val="none" w:sz="0" w:space="0" w:color="auto"/>
          </w:divBdr>
        </w:div>
      </w:divsChild>
    </w:div>
    <w:div w:id="2117825014">
      <w:bodyDiv w:val="1"/>
      <w:marLeft w:val="0"/>
      <w:marRight w:val="0"/>
      <w:marTop w:val="0"/>
      <w:marBottom w:val="0"/>
      <w:divBdr>
        <w:top w:val="none" w:sz="0" w:space="0" w:color="auto"/>
        <w:left w:val="none" w:sz="0" w:space="0" w:color="auto"/>
        <w:bottom w:val="none" w:sz="0" w:space="0" w:color="auto"/>
        <w:right w:val="none" w:sz="0" w:space="0" w:color="auto"/>
      </w:divBdr>
      <w:divsChild>
        <w:div w:id="59088992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jpe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420</TotalTime>
  <Pages>4</Pages>
  <Words>684</Words>
  <Characters>3902</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22</cp:revision>
  <dcterms:created xsi:type="dcterms:W3CDTF">2022-10-15T15:14:00Z</dcterms:created>
  <dcterms:modified xsi:type="dcterms:W3CDTF">2022-10-16T18:52:00Z</dcterms:modified>
</cp:coreProperties>
</file>