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</w:t>
      </w:r>
    </w:p>
    <w:p>
      <w:r>
        <w:t xml:space="preserve">Autor: </w:t>
      </w:r>
    </w:p>
    <w:p>
      <w:r>
        <w:t>Mateusz Hypś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Test ditheringu na obrazach w skali odcieni szarości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Test ditheringu na obrazach kolorowych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Podsumowanie i wnioski</w:t>
      </w:r>
    </w:p>
    <w:p>
      <w:r>
        <w:t xml:space="preserve">Dithering Floyda-Steinberga zapewnia najlepszą jakość — obrazy są najbardziej zbliżone do oryginału i w większości przypadków zawierają najmniej rozmycia oraz utraty jakości. Dithering zorganizowany daje w niektórych przypadkach podobny rezultat co Floyda-Steinberga, np. dla „IMG_SMALL/SMALL_0003.png Dithering 16 kolorów” i w ditheringach bitowych, ale jednak w większości innych przypadków powoduje obniżenie jakości i dużą widoczność przejść między pikselami. Jeżeli chodzi o dithering losowy, pozostawia on dużo do życzenia — przejścia między pikselami są słabo wygładzone, widać dużo szumu. Proces kwantyzacji dobrze redukuje liczbę kolorów w większości przypadków.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