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Marzec 2026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Raport wdrożenia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D1D1B"/>
          <w:sz w:val="48"/>
          <w:szCs w:val="48"/>
        </w:rPr>
        <w:t xml:space="preserve">Server-Side Tracking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97316"/>
          <w:sz w:val="24"/>
          <w:szCs w:val="24"/>
        </w:rPr>
        <w:t xml:space="preserve">MaltaView — Inwestycja deweloperska ART-SALES Sp. z o.o.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Borders>
              <w:top w:val="none" w:sz="0"/>
              <w:left w:val="none" w:sz="0"/>
              <w:bottom w:val="none" w:sz="0"/>
              <w:right w:val="single" w:color="E5E7EB" w:sz="1"/>
            </w:tcBorders>
            <w:shd w:fill="EDE9FE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4C1D95"/>
                <w:sz w:val="40"/>
                <w:szCs w:val="40"/>
              </w:rPr>
              <w:t xml:space="preserve">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Wdrożonych integracji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single" w:color="E5E7EB" w:sz="1"/>
            </w:tcBorders>
            <w:shd w:fill="EDE9FE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4C1D95"/>
                <w:sz w:val="40"/>
                <w:szCs w:val="40"/>
              </w:rPr>
              <w:t xml:space="preserve">36%→75%+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Pokrycie CAPI (cel)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single" w:color="E5E7EB" w:sz="1"/>
            </w:tcBorders>
            <w:shd w:fill="EDE9FE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40"/>
                <w:szCs w:val="40"/>
              </w:rPr>
              <w:t xml:space="preserve">-11%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Potencjalny koszt leada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97316" w:sz="6" w:space="8"/>
        </w:pBdr>
        <w:spacing w:after="200" w:before="400"/>
      </w:pPr>
      <w:r>
        <w:rPr>
          <w:rFonts w:ascii="Arial" w:cs="Arial" w:eastAsia="Arial" w:hAnsi="Arial"/>
          <w:b/>
          <w:bCs/>
          <w:color w:val="1D1D1B"/>
          <w:sz w:val="32"/>
          <w:szCs w:val="32"/>
        </w:rPr>
        <w:t xml:space="preserve">Co zostało wdrożone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 w:sz="0"/>
              <w:left w:val="none" w:sz="0"/>
              <w:bottom w:val="none" w:sz="0"/>
              <w:right w:val="none" w:sz="0"/>
            </w:tcBorders>
            <w:shd w:fill="EDE9FE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🎯</w:t>
            </w:r>
          </w:p>
        </w:tc>
        <w:tc>
          <w:tcPr>
            <w:tcW w:type="dxa" w:w="8326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D1D1B"/>
                <w:sz w:val="22"/>
                <w:szCs w:val="22"/>
              </w:rPr>
              <w:t xml:space="preserve">Meta Pixel via GTM z event_id</w:t>
            </w: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Pixel Meta (ID: 2073661919762572) zainstalowany przez Google Tag Manager z unikalnym identyfikatorem zdarzenia. Umożliwia deduplikację między przeglądarką a serwerem — Meta nie zlicza tego samego leada dwukrotnie.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 w:sz="0"/>
              <w:left w:val="none" w:sz="0"/>
              <w:bottom w:val="none" w:sz="0"/>
              <w:right w:val="none" w:sz="0"/>
            </w:tcBorders>
            <w:shd w:fill="EDE9FE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⚡</w:t>
            </w:r>
          </w:p>
        </w:tc>
        <w:tc>
          <w:tcPr>
            <w:tcW w:type="dxa" w:w="8326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D1D1B"/>
                <w:sz w:val="22"/>
                <w:szCs w:val="22"/>
              </w:rPr>
              <w:t xml:space="preserve">Meta CAPI – Lead (serwer, real-time)</w:t>
            </w: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Każde wysłanie formularza „Zapytaj o Apartament” uruchamia webhook w n8n, który przesyła zdarzenie Lead bezpośrednio do Meta przez API konwersji. Działa niezależnie od blokad reklam i ustawień cookies. Dane wysyłane z SHA-256 (email, telefon, imię) dla najwyższej jakości dopasowania.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 w:sz="0"/>
              <w:left w:val="none" w:sz="0"/>
              <w:bottom w:val="none" w:sz="0"/>
              <w:right w:val="none" w:sz="0"/>
            </w:tcBorders>
            <w:shd w:fill="EDE9FE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📊</w:t>
            </w:r>
          </w:p>
        </w:tc>
        <w:tc>
          <w:tcPr>
            <w:tcW w:type="dxa" w:w="8326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D1D1B"/>
                <w:sz w:val="22"/>
                <w:szCs w:val="22"/>
              </w:rPr>
              <w:t xml:space="preserve">Meta CAPI – PageView (serwer)</w:t>
            </w: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Każde wejście na stronę maltaview.pl wysyła zdarzenie PageView przez n8n do Meta CAPI z parametrami fbp, fbc i event_id. Pokrycie zdarzeń wzrośnie z 36% do 70%+ w ciągu 24–48h — co bezpośrednio obniża koszt reklamy o szacowane 11%.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 w:sz="0"/>
              <w:left w:val="none" w:sz="0"/>
              <w:bottom w:val="none" w:sz="0"/>
              <w:right w:val="none" w:sz="0"/>
            </w:tcBorders>
            <w:shd w:fill="EDE9FE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📈</w:t>
            </w:r>
          </w:p>
        </w:tc>
        <w:tc>
          <w:tcPr>
            <w:tcW w:type="dxa" w:w="8326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D1D1B"/>
                <w:sz w:val="22"/>
                <w:szCs w:val="22"/>
              </w:rPr>
              <w:t xml:space="preserve">GA4 Server-Side – zdarzenie generate_lead</w:t>
            </w: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Każdy lead trafia do Google Analytics 4 przez Measurement Protocol (serwer), niezależnie od przeglądarki. Pełne dane analityczne nawet dla użytkowników z ad blockerami lub bez zgody na cookies.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 w:sz="0"/>
              <w:left w:val="none" w:sz="0"/>
              <w:bottom w:val="none" w:sz="0"/>
              <w:right w:val="none" w:sz="0"/>
            </w:tcBorders>
            <w:shd w:fill="EDE9FE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🔔</w:t>
            </w:r>
          </w:p>
        </w:tc>
        <w:tc>
          <w:tcPr>
            <w:tcW w:type="dxa" w:w="8326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D1D1B"/>
                <w:sz w:val="22"/>
                <w:szCs w:val="22"/>
              </w:rPr>
              <w:t xml:space="preserve">Monitoring błędów – powiadomienie email</w:t>
            </w: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W przypadku awarii dowolnego elementu workflow, system automatycznie wysyła alert na adres mateusz@twistedpixel.pl z nazwą błędu, node’em i linkiem do diagnostyki. Zero ręcznego monitorowania.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97316" w:sz="6" w:space="8"/>
        </w:pBdr>
        <w:spacing w:after="200" w:before="400"/>
      </w:pPr>
      <w:r>
        <w:rPr>
          <w:rFonts w:ascii="Arial" w:cs="Arial" w:eastAsia="Arial" w:hAnsi="Arial"/>
          <w:b/>
          <w:bCs/>
          <w:color w:val="1D1D1B"/>
          <w:sz w:val="32"/>
          <w:szCs w:val="32"/>
        </w:rPr>
        <w:t xml:space="preserve">Jak działa przepływ danych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00"/>
        <w:gridCol w:w="5326"/>
      </w:tblGrid>
      <w:tr>
        <w:tc>
          <w:tcPr>
            <w:tcW w:type="dxa" w:w="3200"/>
            <w:tcBorders>
              <w:top w:val="none" w:sz="0"/>
              <w:left w:val="none" w:sz="0"/>
              <w:bottom w:val="none" w:sz="0"/>
              <w:right w:val="none" w:sz="0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B"/>
                <w:sz w:val="20"/>
                <w:szCs w:val="20"/>
              </w:rPr>
              <w:t xml:space="preserve">Użytkownik wchodzi na stronę</w:t>
            </w:r>
          </w:p>
        </w:tc>
        <w:tc>
          <w:tcPr>
            <w:tcW w:type="dxa" w:w="5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C1D95"/>
                <w:sz w:val="22"/>
                <w:szCs w:val="22"/>
              </w:rPr>
              <w:t xml:space="preserve">→</w:t>
            </w:r>
          </w:p>
        </w:tc>
        <w:tc>
          <w:tcPr>
            <w:tcW w:type="dxa" w:w="5326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GTM wysyła PageView do Meta Pixel (przeglądarka) + n8n CAPI (serwer) z tym samym event_id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00"/>
        <w:gridCol w:w="5326"/>
      </w:tblGrid>
      <w:tr>
        <w:tc>
          <w:tcPr>
            <w:tcW w:type="dxa" w:w="3200"/>
            <w:tcBorders>
              <w:top w:val="none" w:sz="0"/>
              <w:left w:val="none" w:sz="0"/>
              <w:bottom w:val="none" w:sz="0"/>
              <w:right w:val="none" w:sz="0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B"/>
                <w:sz w:val="20"/>
                <w:szCs w:val="20"/>
              </w:rPr>
              <w:t xml:space="preserve">Wypełnia formularz</w:t>
            </w:r>
          </w:p>
        </w:tc>
        <w:tc>
          <w:tcPr>
            <w:tcW w:type="dxa" w:w="5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C1D95"/>
                <w:sz w:val="22"/>
                <w:szCs w:val="22"/>
              </w:rPr>
              <w:t xml:space="preserve">→</w:t>
            </w:r>
          </w:p>
        </w:tc>
        <w:tc>
          <w:tcPr>
            <w:tcW w:type="dxa" w:w="5326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Fluent Forms wysyła webhook do n8n w czasie rzeczywistym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00"/>
        <w:gridCol w:w="5326"/>
      </w:tblGrid>
      <w:tr>
        <w:tc>
          <w:tcPr>
            <w:tcW w:type="dxa" w:w="3200"/>
            <w:tcBorders>
              <w:top w:val="none" w:sz="0"/>
              <w:left w:val="none" w:sz="0"/>
              <w:bottom w:val="none" w:sz="0"/>
              <w:right w:val="none" w:sz="0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B"/>
                <w:sz w:val="20"/>
                <w:szCs w:val="20"/>
              </w:rPr>
              <w:t xml:space="preserve">n8n przetwarza dane</w:t>
            </w:r>
          </w:p>
        </w:tc>
        <w:tc>
          <w:tcPr>
            <w:tcW w:type="dxa" w:w="5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C1D95"/>
                <w:sz w:val="22"/>
                <w:szCs w:val="22"/>
              </w:rPr>
              <w:t xml:space="preserve">→</w:t>
            </w:r>
          </w:p>
        </w:tc>
        <w:tc>
          <w:tcPr>
            <w:tcW w:type="dxa" w:w="5326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Haszuje email/telefon/imię (SHA-256), generuje event_id, przygotowuje CAPI payload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00"/>
        <w:gridCol w:w="5326"/>
      </w:tblGrid>
      <w:tr>
        <w:tc>
          <w:tcPr>
            <w:tcW w:type="dxa" w:w="3200"/>
            <w:tcBorders>
              <w:top w:val="none" w:sz="0"/>
              <w:left w:val="none" w:sz="0"/>
              <w:bottom w:val="none" w:sz="0"/>
              <w:right w:val="none" w:sz="0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B"/>
                <w:sz w:val="20"/>
                <w:szCs w:val="20"/>
              </w:rPr>
              <w:t xml:space="preserve">Meta CAPI</w:t>
            </w:r>
          </w:p>
        </w:tc>
        <w:tc>
          <w:tcPr>
            <w:tcW w:type="dxa" w:w="5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C1D95"/>
                <w:sz w:val="22"/>
                <w:szCs w:val="22"/>
              </w:rPr>
              <w:t xml:space="preserve">→</w:t>
            </w:r>
          </w:p>
        </w:tc>
        <w:tc>
          <w:tcPr>
            <w:tcW w:type="dxa" w:w="5326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Zdarzenie Lead trafia do Meta — algorytm uczy się profilu klienta premium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00"/>
        <w:gridCol w:w="5326"/>
      </w:tblGrid>
      <w:tr>
        <w:tc>
          <w:tcPr>
            <w:tcW w:type="dxa" w:w="3200"/>
            <w:tcBorders>
              <w:top w:val="none" w:sz="0"/>
              <w:left w:val="none" w:sz="0"/>
              <w:bottom w:val="none" w:sz="0"/>
              <w:right w:val="none" w:sz="0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B"/>
                <w:sz w:val="20"/>
                <w:szCs w:val="20"/>
              </w:rPr>
              <w:t xml:space="preserve">GA4 Measurement Protocol</w:t>
            </w:r>
          </w:p>
        </w:tc>
        <w:tc>
          <w:tcPr>
            <w:tcW w:type="dxa" w:w="5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C1D95"/>
                <w:sz w:val="22"/>
                <w:szCs w:val="22"/>
              </w:rPr>
              <w:t xml:space="preserve">→</w:t>
            </w:r>
          </w:p>
        </w:tc>
        <w:tc>
          <w:tcPr>
            <w:tcW w:type="dxa" w:w="5326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Zdarzenie generate_lead w Google Analytics 4 — pełne dane analityczne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97316" w:sz="6" w:space="8"/>
        </w:pBdr>
        <w:spacing w:after="200" w:before="400"/>
      </w:pPr>
      <w:r>
        <w:rPr>
          <w:rFonts w:ascii="Arial" w:cs="Arial" w:eastAsia="Arial" w:hAnsi="Arial"/>
          <w:b/>
          <w:bCs/>
          <w:color w:val="1D1D1B"/>
          <w:sz w:val="32"/>
          <w:szCs w:val="32"/>
        </w:rPr>
        <w:t xml:space="preserve">Przed vs. Po wdrożeniu</w:t>
      </w:r>
    </w:p>
    <w:p>
      <w:pPr>
        <w:spacing w:after="1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0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C1D9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Obszar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C1D9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Przed wdrożeniem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C1D9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 wdrożeniu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B"/>
                <w:sz w:val="20"/>
                <w:szCs w:val="20"/>
              </w:rPr>
              <w:t xml:space="preserve">Lead z odrzuconymi cookies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❌ </w:t>
            </w:r>
            <w:r>
              <w:rPr>
                <w:rFonts w:ascii="Arial" w:cs="Arial" w:eastAsia="Arial" w:hAnsi="Arial"/>
                <w:color w:val="1D1D1B"/>
                <w:sz w:val="20"/>
                <w:szCs w:val="20"/>
              </w:rPr>
              <w:t xml:space="preserve">Nie śledzony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✅ </w:t>
            </w:r>
            <w:r>
              <w:rPr>
                <w:rFonts w:ascii="Arial" w:cs="Arial" w:eastAsia="Arial" w:hAnsi="Arial"/>
                <w:color w:val="1D1D1B"/>
                <w:sz w:val="20"/>
                <w:szCs w:val="20"/>
              </w:rPr>
              <w:t xml:space="preserve">CAPI zawsze działa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B"/>
                <w:sz w:val="20"/>
                <w:szCs w:val="20"/>
              </w:rPr>
              <w:t xml:space="preserve">Lead z ad blockerem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❌ </w:t>
            </w:r>
            <w:r>
              <w:rPr>
                <w:rFonts w:ascii="Arial" w:cs="Arial" w:eastAsia="Arial" w:hAnsi="Arial"/>
                <w:color w:val="1D1D1B"/>
                <w:sz w:val="20"/>
                <w:szCs w:val="20"/>
              </w:rPr>
              <w:t xml:space="preserve">Niewidoczny dla Meta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✅ </w:t>
            </w:r>
            <w:r>
              <w:rPr>
                <w:rFonts w:ascii="Arial" w:cs="Arial" w:eastAsia="Arial" w:hAnsi="Arial"/>
                <w:color w:val="1D1D1B"/>
                <w:sz w:val="20"/>
                <w:szCs w:val="20"/>
              </w:rPr>
              <w:t xml:space="preserve">Trafia przez serwer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B"/>
                <w:sz w:val="20"/>
                <w:szCs w:val="20"/>
              </w:rPr>
              <w:t xml:space="preserve">Pokrycie PageView CAPI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36% </w:t>
            </w:r>
            <w:r>
              <w:rPr>
                <w:rFonts w:ascii="Arial" w:cs="Arial" w:eastAsia="Arial" w:hAnsi="Arial"/>
                <w:color w:val="1D1D1B"/>
                <w:sz w:val="20"/>
                <w:szCs w:val="20"/>
              </w:rPr>
              <w:t xml:space="preserve">(PixelYourSite, co godz.)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75%+ </w:t>
            </w:r>
            <w:r>
              <w:rPr>
                <w:rFonts w:ascii="Arial" w:cs="Arial" w:eastAsia="Arial" w:hAnsi="Arial"/>
                <w:color w:val="1D1D1B"/>
                <w:sz w:val="20"/>
                <w:szCs w:val="20"/>
              </w:rPr>
              <w:t xml:space="preserve">(n8n, real-time)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B"/>
                <w:sz w:val="20"/>
                <w:szCs w:val="20"/>
              </w:rPr>
              <w:t xml:space="preserve">Jakość danych leada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B"/>
                <w:sz w:val="20"/>
                <w:szCs w:val="20"/>
              </w:rPr>
              <w:t xml:space="preserve">Tylko przeglądarka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B"/>
                <w:sz w:val="20"/>
                <w:szCs w:val="20"/>
              </w:rPr>
              <w:t xml:space="preserve">Email + telefon + imię (SHA-256)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B"/>
                <w:sz w:val="20"/>
                <w:szCs w:val="20"/>
              </w:rPr>
              <w:t xml:space="preserve">Czas dostarczenia danych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Co godzinę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W czasie rzeczywistym (&lt;1s)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B"/>
                <w:sz w:val="20"/>
                <w:szCs w:val="20"/>
              </w:rPr>
              <w:t xml:space="preserve">GA4 – leady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B"/>
                <w:sz w:val="20"/>
                <w:szCs w:val="20"/>
              </w:rPr>
              <w:t xml:space="preserve">Tylko przez przeglądarkę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B"/>
                <w:sz w:val="20"/>
                <w:szCs w:val="20"/>
              </w:rPr>
              <w:t xml:space="preserve">Serwer + przeglądarka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B"/>
                <w:sz w:val="20"/>
                <w:szCs w:val="20"/>
              </w:rPr>
              <w:t xml:space="preserve">Duplikacja zdarzeń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❌ </w:t>
            </w:r>
            <w:r>
              <w:rPr>
                <w:rFonts w:ascii="Arial" w:cs="Arial" w:eastAsia="Arial" w:hAnsi="Arial"/>
                <w:color w:val="1D1D1B"/>
                <w:sz w:val="20"/>
                <w:szCs w:val="20"/>
              </w:rPr>
              <w:t xml:space="preserve">Ryzyko podwójnego zliczania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✅ </w:t>
            </w:r>
            <w:r>
              <w:rPr>
                <w:rFonts w:ascii="Arial" w:cs="Arial" w:eastAsia="Arial" w:hAnsi="Arial"/>
                <w:color w:val="1D1D1B"/>
                <w:sz w:val="20"/>
                <w:szCs w:val="20"/>
              </w:rPr>
              <w:t xml:space="preserve">Deduplikacja przez event_id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B"/>
                <w:sz w:val="20"/>
                <w:szCs w:val="20"/>
              </w:rPr>
              <w:t xml:space="preserve">Monitoring systemu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❌ </w:t>
            </w:r>
            <w:r>
              <w:rPr>
                <w:rFonts w:ascii="Arial" w:cs="Arial" w:eastAsia="Arial" w:hAnsi="Arial"/>
                <w:color w:val="1D1D1B"/>
                <w:sz w:val="20"/>
                <w:szCs w:val="20"/>
              </w:rPr>
              <w:t xml:space="preserve">Brak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✅ </w:t>
            </w:r>
            <w:r>
              <w:rPr>
                <w:rFonts w:ascii="Arial" w:cs="Arial" w:eastAsia="Arial" w:hAnsi="Arial"/>
                <w:color w:val="1D1D1B"/>
                <w:sz w:val="20"/>
                <w:szCs w:val="20"/>
              </w:rPr>
              <w:t xml:space="preserve">Alert email przy błędzie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97316" w:sz="6" w:space="8"/>
        </w:pBdr>
        <w:spacing w:after="200" w:before="400"/>
      </w:pPr>
      <w:r>
        <w:rPr>
          <w:rFonts w:ascii="Arial" w:cs="Arial" w:eastAsia="Arial" w:hAnsi="Arial"/>
          <w:b/>
          <w:bCs/>
          <w:color w:val="1D1D1B"/>
          <w:sz w:val="32"/>
          <w:szCs w:val="32"/>
        </w:rPr>
        <w:t xml:space="preserve">Oczekiwane korzyści biznesowe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c>
          <w:tcPr>
            <w:tcW w:type="dxa" w:w="1400"/>
            <w:tcBorders>
              <w:top w:val="none" w:sz="0"/>
              <w:left w:val="none" w:sz="0"/>
              <w:bottom w:val="none" w:sz="0"/>
              <w:right w:val="none" w:sz="0"/>
            </w:tcBorders>
            <w:shd w:fill="F0FDF4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Wysoki wpływ</w:t>
            </w:r>
          </w:p>
        </w:tc>
        <w:tc>
          <w:tcPr>
            <w:tcW w:type="dxa" w:w="7626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D1D1B"/>
                <w:sz w:val="22"/>
                <w:szCs w:val="22"/>
              </w:rPr>
              <w:t xml:space="preserve">Niższy koszt pozyskania leada</w:t>
            </w: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Meta potwierdza średnio 11.4% niższy koszt wyniku przy pokryciu CAPI powyżej 75%. Przy budżecie 5 000 zł/mies. to oszczędność ~570 zł miesięcznie lub więcej leadów za tę samą kwotę.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c>
          <w:tcPr>
            <w:tcW w:type="dxa" w:w="1400"/>
            <w:tcBorders>
              <w:top w:val="none" w:sz="0"/>
              <w:left w:val="none" w:sz="0"/>
              <w:bottom w:val="none" w:sz="0"/>
              <w:right w:val="none" w:sz="0"/>
            </w:tcBorders>
            <w:shd w:fill="F0FDF4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Wysoki wpływ</w:t>
            </w:r>
          </w:p>
        </w:tc>
        <w:tc>
          <w:tcPr>
            <w:tcW w:type="dxa" w:w="7626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D1D1B"/>
                <w:sz w:val="22"/>
                <w:szCs w:val="22"/>
              </w:rPr>
              <w:t xml:space="preserve">Lepsza jakość odbiorców</w:t>
            </w: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Algorytm Meta otrzymuje pełny profil klienta (email, telefon, imię) — może szukać podobnych użytkowników z większą precyzją. Kampanie lookalike będą trafiać do lepiej dopasowanych potencjalnych kupców apartamentów.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c>
          <w:tcPr>
            <w:tcW w:type="dxa" w:w="1400"/>
            <w:tcBorders>
              <w:top w:val="none" w:sz="0"/>
              <w:left w:val="none" w:sz="0"/>
              <w:bottom w:val="none" w:sz="0"/>
              <w:right w:val="none" w:sz="0"/>
            </w:tcBorders>
            <w:shd w:fill="F0FDF4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Wysoki wpływ</w:t>
            </w:r>
          </w:p>
        </w:tc>
        <w:tc>
          <w:tcPr>
            <w:tcW w:type="dxa" w:w="7626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D1D1B"/>
                <w:sz w:val="22"/>
                <w:szCs w:val="22"/>
              </w:rPr>
              <w:t xml:space="preserve">Pełne dane o leadach</w:t>
            </w: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Użytkownicy odrzucający cookies lub używający ad blockerów (15–30% ruchu) byli wcześniej „niewidzialni”. Teraz każdy lead trafia do systemu — podejmujesz decyzje na podstawie kompletnych danych.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c>
          <w:tcPr>
            <w:tcW w:type="dxa" w:w="1400"/>
            <w:tcBorders>
              <w:top w:val="none" w:sz="0"/>
              <w:left w:val="none" w:sz="0"/>
              <w:bottom w:val="none" w:sz="0"/>
              <w:right w:val="none" w:sz="0"/>
            </w:tcBorders>
            <w:shd w:fill="FFF7ED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97316"/>
                <w:sz w:val="18"/>
                <w:szCs w:val="18"/>
              </w:rPr>
              <w:t xml:space="preserve">Średni wpływ</w:t>
            </w:r>
          </w:p>
        </w:tc>
        <w:tc>
          <w:tcPr>
            <w:tcW w:type="dxa" w:w="7626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D1D1B"/>
                <w:sz w:val="22"/>
                <w:szCs w:val="22"/>
              </w:rPr>
              <w:t xml:space="preserve">Lepszy retargeting</w:t>
            </w: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PageView CAPI w czasie rzeczywistym buduje dokładniejsze grupy remarketingowe. Użytkownicy którzy oglądali konkretne apartamenty mogą być targetowani precyzyjniej, co przyspiesza proces decyzyjny.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c>
          <w:tcPr>
            <w:tcW w:type="dxa" w:w="1400"/>
            <w:tcBorders>
              <w:top w:val="none" w:sz="0"/>
              <w:left w:val="none" w:sz="0"/>
              <w:bottom w:val="none" w:sz="0"/>
              <w:right w:val="none" w:sz="0"/>
            </w:tcBorders>
            <w:shd w:fill="FFF7ED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97316"/>
                <w:sz w:val="18"/>
                <w:szCs w:val="18"/>
              </w:rPr>
              <w:t xml:space="preserve">Średni wpływ</w:t>
            </w:r>
          </w:p>
        </w:tc>
        <w:tc>
          <w:tcPr>
            <w:tcW w:type="dxa" w:w="7626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D1D1B"/>
                <w:sz w:val="22"/>
                <w:szCs w:val="22"/>
              </w:rPr>
              <w:t xml:space="preserve">Zgodność z GDPR</w:t>
            </w: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System respektuje wybory cookie użytkownika. Pixel odpala tylko za zgodą, CAPI działa na podstawie zgody RODO z formularza. Bezpieczne prawnie, bez ryzyka kar UODO.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c>
          <w:tcPr>
            <w:tcW w:type="dxa" w:w="1400"/>
            <w:tcBorders>
              <w:top w:val="none" w:sz="0"/>
              <w:left w:val="none" w:sz="0"/>
              <w:bottom w:val="none" w:sz="0"/>
              <w:right w:val="none" w:sz="0"/>
            </w:tcBorders>
            <w:shd w:fill="FFF7ED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97316"/>
                <w:sz w:val="18"/>
                <w:szCs w:val="18"/>
              </w:rPr>
              <w:t xml:space="preserve">Średni wpływ</w:t>
            </w:r>
          </w:p>
        </w:tc>
        <w:tc>
          <w:tcPr>
            <w:tcW w:type="dxa" w:w="7626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D1D1B"/>
                <w:sz w:val="22"/>
                <w:szCs w:val="22"/>
              </w:rPr>
              <w:t xml:space="preserve">Niezależność od platform</w:t>
            </w: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Dane są przechowywane na własnym serwerze n8n. Żadna zmiana algorytmu przeglądarki (iOS, Chrome) ani aktualizacja przepisów nie zablokuje śledzenia konwersji.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97316" w:sz="6" w:space="8"/>
        </w:pBdr>
        <w:spacing w:after="200" w:before="400"/>
      </w:pPr>
      <w:r>
        <w:rPr>
          <w:rFonts w:ascii="Arial" w:cs="Arial" w:eastAsia="Arial" w:hAnsi="Arial"/>
          <w:b/>
          <w:bCs/>
          <w:color w:val="1D1D1B"/>
          <w:sz w:val="32"/>
          <w:szCs w:val="32"/>
        </w:rPr>
        <w:t xml:space="preserve">Podsumowanie dla kampanii premium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sz="0"/>
              <w:left w:val="single" w:color="16A34A" w:sz="12"/>
              <w:bottom w:val="none" w:sz="0"/>
              <w:right w:val="none" w:sz="0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D1D1B"/>
                <w:sz w:val="22"/>
                <w:szCs w:val="22"/>
              </w:rPr>
              <w:t xml:space="preserve">Dla inwestycji deweloperskiej skierowanej do klientów premium, jakość sygnału reklamowego jest kluczowa — każdy lead jest wartościowy.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color w:val="1D1D1B"/>
                <w:sz w:val="22"/>
                <w:szCs w:val="22"/>
              </w:rPr>
              <w:t xml:space="preserve">Wdrożony system zapewnia, że Meta Ads otrzymuje najlepsze możliwe dane do optymalizacji kampanii, co przekłada się na wyższy ROAS i niższy koszt pozyskania klienta gotowego do zakupu apartamentu.</w:t>
            </w:r>
          </w:p>
        </w:tc>
      </w:tr>
    </w:tbl>
    <w:p>
      <w:pPr>
        <w:spacing w:before="400"/>
      </w:pPr>
    </w:p>
    <w:p>
      <w:pPr>
        <w:pBdr>
          <w:top w:val="single" w:color="E5E7EB" w:sz="1" w:space="12"/>
        </w:pBdr>
        <w:spacing w:before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4C1D95"/>
          <w:sz w:val="20"/>
          <w:szCs w:val="20"/>
        </w:rPr>
        <w:t xml:space="preserve">TwistedPixel.pl — Marketing &amp; Technologia</w:t>
      </w:r>
    </w:p>
    <w:p>
      <w:pPr>
        <w:spacing w:after="12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Wdrożenie: Marzec 2026 | Projekt: MaltaView / ART-SALES Sp. z o.o.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Kontakt techniczny: </w:t>
      </w:r>
      <w:r>
        <w:rPr>
          <w:rFonts w:ascii="Arial" w:cs="Arial" w:eastAsia="Arial" w:hAnsi="Arial"/>
          <w:b/>
          <w:bCs/>
          <w:color w:val="4C1D95"/>
          <w:sz w:val="18"/>
          <w:szCs w:val="18"/>
        </w:rPr>
        <w:t xml:space="preserve">mateusz@twistedpixel.pl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TwistedPixel.pl — Marketing &amp; Technologia | Strona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b/>
        <w:bCs/>
        <w:color w:val="4C1D95"/>
        <w:sz w:val="20"/>
        <w:szCs w:val="20"/>
      </w:rPr>
      <w:t xml:space="preserve">TwistedPixel</w:t>
    </w:r>
    <w:r>
      <w:rPr>
        <w:rFonts w:ascii="Arial" w:cs="Arial" w:eastAsia="Arial" w:hAnsi="Arial"/>
        <w:color w:val="666666"/>
        <w:sz w:val="18"/>
        <w:szCs w:val="18"/>
      </w:rPr>
      <w:t xml:space="preserve"> | Marketing &amp; Technologia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D1D1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4C1D9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2026-03-26T09:35:41.243Z</dcterms:created>
  <dcterms:modified xsi:type="dcterms:W3CDTF">2026-03-26T09:35:41.244Z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