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D1D1B"/>
          <w:sz w:val="48"/>
          <w:szCs w:val="48"/>
        </w:rPr>
        <w:t xml:space="preserve">Server-Side Tracking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jako produkt abonamentowy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Plan skalowania usługi od pierwszego klienta do 100+ — infrastruktura, marże, model przychodów i roadmap.</w:t>
      </w:r>
    </w:p>
    <w:p>
      <w:pPr>
        <w:spacing w:after="20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D1D1B"/>
          <w:sz w:val="24"/>
          <w:szCs w:val="24"/>
        </w:rPr>
        <w:t xml:space="preserve">Spis treści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Dlaczego to działa jako produkt powtarzalny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Model infrastruktury — ile kosztuje serwer przy N klientach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Struktura cenowa i marże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Projekcja przychodów — 3 scenariusze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Roadmap wdrożenia produktu (3 fazy)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Ryzyko i jak je ograniczyć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Pozycjonowanie — przewaga nad Stape i Google Cloud</w:t>
      </w:r>
    </w:p>
    <w:p>
      <w:r>
        <w:br w:type="page"/>
      </w:r>
    </w:p>
    <w:p>
      <w:pPr>
        <w:pStyle w:val="Heading1"/>
        <w:pBdr>
          <w:bottom w:val="single" w:color="F97316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D1D1B"/>
          <w:sz w:val="32"/>
          <w:szCs w:val="32"/>
        </w:rPr>
        <w:t xml:space="preserve">1. Dlaczego to działa jako produkt powtarzalny</w:t>
      </w:r>
    </w:p>
    <w:p>
      <w:pPr>
        <w:spacing w:after="12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Tradycyjne usługi agencji są rozliczane projektowo — raz wykonane, przychód się kończy. Server-Side Tracking budowany na n8n ma inną charakterystykę: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Raz skonfigurowany workflow działa bez udziału człowieka — obsługuje 1 i 1000 zdarzeń tak samo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Każdy klient to nowy workflow w tym samym n8n — czas onboardingu: 2–4h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Utrzymanie = monitoring + aktualizacje API (Meta, Google co rok zmieniają wersje)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Klient nie może „odejść” bez utraty ciągłości danych</w:t>
      </w:r>
      <w:r>
        <w:rPr>
          <w:rFonts w:ascii="Arial" w:cs="Arial" w:eastAsia="Arial" w:hAnsi="Arial"/>
          <w:color w:val="1D1D1B"/>
          <w:sz w:val="22"/>
          <w:szCs w:val="22"/>
        </w:rPr>
        <w:t xml:space="preserve"> — naturalny lock-in przez wartość, nie umowę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single" w:color="4C1D95" w:sz="12"/>
              <w:bottom w:val="none" w:sz="0"/>
              <w:right w:val="none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Kluczowy insight: </w:t>
            </w:r>
            <w:r>
              <w:rPr>
                <w:rFonts w:ascii="Arial" w:cs="Arial" w:eastAsia="Arial" w:hAnsi="Arial"/>
                <w:color w:val="1D1D1B"/>
                <w:sz w:val="22"/>
                <w:szCs w:val="22"/>
              </w:rPr>
              <w:t xml:space="preserve">Rynek płaci $20–$300/mies. za to samo co możesz zbudować za 200 zł/mies. infrastruktury. Marża operacyjna przy 20+ klientach: powyżej 90%.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316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D1D1B"/>
          <w:sz w:val="32"/>
          <w:szCs w:val="32"/>
        </w:rPr>
        <w:t xml:space="preserve">2. Model infrastruktury — koszt przy N klientach</w:t>
      </w:r>
    </w:p>
    <w:p>
      <w:pPr>
        <w:spacing w:after="12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Jeden serwer VPS z n8n obsługuje wielu klientów. Każdy klient = osobny workflow + osobny webhook URL. Dane są izolowane, nie mieszają się między klientami.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D1D1B"/>
          <w:sz w:val="22"/>
          <w:szCs w:val="22"/>
        </w:rPr>
        <w:t xml:space="preserve">Parametry serwera bazowego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D1D1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Jeden serwer n8n (VPS Hetzner CPX31 — 4 vCPU / 8GB RAM / 160GB SSD)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Koszt: ~€17/mies. = ~75 zł/mies.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Pojemność: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├── do 50 klientów    → 1 serwer  (75 zł/mies.)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├── 50–150 klientów  → 2 serwery (150 zł/mies.)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└── 150–500 klientów → load balancer + 3 serwery (~400 zł/mies.)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Każdy klient generuje ~10–200 wykonan/dzień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Hetzner CPX31 obsługuje ~50,000 wykonan/dzień bez problemu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18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Liczba klientów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Potrzebna infrastruktura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Koszt infra/mies.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Koszt / klient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1–15 klientów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1x VPS Hetzner CX22 (2 vCPU / 4GB)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~35 zł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~2,3 zł/klient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15–50 klientów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1x VPS Hetzner CPX31 (4 vCPU / 8GB)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~75 zł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~1,5 zł/klient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50–150 klientów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2x VPS CPX31 + backup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~150 zł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~1,0 zł/klient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150–500 klientów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3x VPS + load balancer + monitoring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~400 zł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~0,8 zł/klient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single" w:color="16A34A" w:sz="12"/>
              <w:bottom w:val="none" w:sz="0"/>
              <w:right w:val="none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Efekt skali: </w:t>
            </w:r>
            <w:r>
              <w:rPr>
                <w:rFonts w:ascii="Arial" w:cs="Arial" w:eastAsia="Arial" w:hAnsi="Arial"/>
                <w:color w:val="1D1D1B"/>
                <w:sz w:val="22"/>
                <w:szCs w:val="22"/>
              </w:rPr>
              <w:t xml:space="preserve">Im więcej klientów, tym niższy koszt jednostkowy. Przy 100 klientach koszt infrastruktury to mniej niż 1 zł/klient/mies. — przy abonamencie 199–299 zł/mies. marża na infrastrukturze wynosi ponad 99%.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316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D1D1B"/>
          <w:sz w:val="32"/>
          <w:szCs w:val="32"/>
        </w:rPr>
        <w:t xml:space="preserve">3. Struktura cenowa i marże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Proponowany cennik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200"/>
        <w:gridCol w:w="22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Cena/mies.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obejmuje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Dla kogo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Basic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199 zł/mies.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Meta CAPI (1 Pixel); GA4 Measurement Protocol; Monitoring + alerty email; SLA: 99% uptime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Małe firmy, single-site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349 zł/mies.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Wszystko z Basic + do 3 domen/pixeli + raport miesięczny (PDF) + aktualizacje API (Meta, Google) + priorytetowe wsparcie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Agencje, multi-site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Pro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599 zł/mies.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Wszystko ze Standard + nielimitowane domeny + integracja CRM + dedykowana instancja n8n + miesięczna konsultacja (1h) + dashboard Looker Studio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Duże agencje, deweloperzy nieruchomości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Analiza marż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2000"/>
        <w:gridCol w:w="1400"/>
        <w:gridCol w:w="100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Przychód/klient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Koszt infra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Koszt obsługi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Zysk/klient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Marża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Basic (199 zł)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199 zł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~1,5 zł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~15 zł (15 min/mies.)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~182 zł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91%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Standard (349 zł)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349 zł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~1,5 zł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~30 zł (30 min/mies.)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~317 zł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91%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Pro (599 zł)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599 zł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~20 zł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~100 zł (1h konsultacja)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~479 zł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80%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Dla porównania: Stape.io ma marżę operacyjną szacowaną na 60–70% przy cenie $20–100/mies. Twoja marża 80–91% jest wyższa, bo nie masz kosztów platformy SaaS — tylko VPS.</w:t>
      </w:r>
    </w:p>
    <w:p>
      <w:r>
        <w:br w:type="page"/>
      </w:r>
    </w:p>
    <w:p>
      <w:pPr>
        <w:pStyle w:val="Heading1"/>
        <w:pBdr>
          <w:bottom w:val="single" w:color="F97316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D1D1B"/>
          <w:sz w:val="32"/>
          <w:szCs w:val="32"/>
        </w:rPr>
        <w:t xml:space="preserve">4. Projekcja przychodów — 3 scenariusze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D1D1B"/>
          <w:sz w:val="22"/>
          <w:szCs w:val="22"/>
        </w:rPr>
        <w:t xml:space="preserve">Założenia wspólne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Średni przychód na klienta (ARPU): 320 zł/mies. (mix planów)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Churn rate: 5%/mies. (benchmark dla polskich SMB)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Pozyskanie: 3–5 nowych klientów/mies. (własna sieć + content marketing)</w:t>
      </w:r>
    </w:p>
    <w:p>
      <w:pPr>
        <w:spacing w:after="12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000"/>
        <w:gridCol w:w="16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Scenariusz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 6 mies.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 12 mies.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 24 mies.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po 24 mies.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Konserwatywny (2 nowych/mies.)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10 klientów; 3 200 zł MRR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18 klientów; 5 760 zł MRR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28 klientów; 8 960 zł MRR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~9 000 zł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Realistyczny (4 nowych/mies.)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20 klientów; 6 400 zł MRR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38 klientów; 12 160 zł MRR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62 klientów; 19 840 zł MRR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~20 000 zł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Optymistyczny (8 nowych/mies.)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42 klientów; 13 440 zł MRR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78 klientów; 24 960 zł MRR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128 klientów; 40 960 zł MRR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~41 000 zł</w:t>
            </w:r>
          </w:p>
        </w:tc>
      </w:tr>
    </w:tbl>
    <w:p>
      <w:pPr>
        <w:spacing w:after="200"/>
      </w:pP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36"/>
                <w:szCs w:val="36"/>
              </w:rPr>
              <w:t xml:space="preserve">62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klientów po 2 latach
(scenariusz realistyczny)</w:t>
            </w:r>
          </w:p>
        </w:tc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36"/>
                <w:szCs w:val="36"/>
              </w:rPr>
              <w:t xml:space="preserve">20 000 zł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MRR po 24 miesiącach
przychód pasywny</w:t>
            </w:r>
          </w:p>
        </w:tc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36"/>
                <w:szCs w:val="36"/>
              </w:rPr>
              <w:t xml:space="preserve">91%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marża operacyjna
plan Basic / Standard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single" w:color="4C1D95" w:sz="12"/>
              <w:bottom w:val="none" w:sz="0"/>
              <w:right w:val="none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Przychód jednorazowy wdrożeń (osobno): </w:t>
            </w:r>
            <w:r>
              <w:rPr>
                <w:rFonts w:ascii="Arial" w:cs="Arial" w:eastAsia="Arial" w:hAnsi="Arial"/>
                <w:color w:val="1D1D1B"/>
                <w:sz w:val="22"/>
                <w:szCs w:val="22"/>
              </w:rPr>
              <w:t xml:space="preserve">Przy 4 nowych klientach/mies. i średniej wycenie 4 000 zł za wdrożenie = dodatkowe 16 000 zł/mies. przychodów projektowych na szczycie wzrostu.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316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D1D1B"/>
          <w:sz w:val="32"/>
          <w:szCs w:val="32"/>
        </w:rPr>
        <w:t xml:space="preserve">5. Roadmap wdrożenia produktu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FAZA 1 — Miesiące 1–3: Budowa fundamentów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Standaryzacja workflow n8n (template dla każdego klienta)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Dokumentacja techniczna onboardingu (checklist: GTM, Meta, GA4)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Strona landing page z ofertą SST (twistedpixel.pl)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Pierwsze 3–5 wdrożeń z istniejących klientów (po cenie early adopter)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Zebranie case studies i wyników (% wzrost wykrytych konwersji)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FAZA 2 — Miesiące 4–9: Skalowanie sprzedaży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D1D1B"/>
          <w:sz w:val="22"/>
          <w:szCs w:val="22"/>
        </w:rPr>
        <w:t xml:space="preserve">Content marketing: </w:t>
      </w:r>
      <w:r>
        <w:rPr>
          <w:rFonts w:ascii="Arial" w:cs="Arial" w:eastAsia="Arial" w:hAnsi="Arial"/>
          <w:color w:val="1D1D1B"/>
          <w:sz w:val="22"/>
          <w:szCs w:val="22"/>
        </w:rPr>
        <w:t xml:space="preserve">artykuły SEO „server-side tracking Polska”, „Meta CAPI wdrożenie”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D1D1B"/>
          <w:sz w:val="22"/>
          <w:szCs w:val="22"/>
        </w:rPr>
        <w:t xml:space="preserve">Partnerstwa z agencjami </w:t>
      </w:r>
      <w:r>
        <w:rPr>
          <w:rFonts w:ascii="Arial" w:cs="Arial" w:eastAsia="Arial" w:hAnsi="Arial"/>
          <w:color w:val="1D1D1B"/>
          <w:sz w:val="22"/>
          <w:szCs w:val="22"/>
        </w:rPr>
        <w:t xml:space="preserve">(white-label: Ty robisz technikalia, oni sprzedają klientowi)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LinkedIn outreach do agencji marketingowych i deweloperów nieruchomości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D1D1B"/>
          <w:sz w:val="22"/>
          <w:szCs w:val="22"/>
        </w:rPr>
        <w:t xml:space="preserve">Webinar: </w:t>
      </w:r>
      <w:r>
        <w:rPr>
          <w:rFonts w:ascii="Arial" w:cs="Arial" w:eastAsia="Arial" w:hAnsi="Arial"/>
          <w:color w:val="1D1D1B"/>
          <w:sz w:val="22"/>
          <w:szCs w:val="22"/>
        </w:rPr>
        <w:t xml:space="preserve">„Jak odzyskać 30% utraconych konwersji przez AdBlock”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Cel: 20–30 aktywnych klientów abonamentowych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FAZA 3 — Miesiące 10–24: Automatyzacja i standaryzacja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Panel klienta: dashboard pokazujący statystyki zdarzeń (ile leadów złapało CAPI vs piksel)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Automatyczny onboarding (formularz → automatyczne tworzenie workflow w n8n)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SLA umowy, regulamin usługi, RODO (umowa powierzenia przetwarzania danych)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Rozszerzenie na inne platformy: TikTok CAPI, LinkedIn Insight Tag, Pinterest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Cel: 60–100 klientów, MRR 15 000–30 000 zł</w:t>
      </w:r>
    </w:p>
    <w:p>
      <w:r>
        <w:br w:type="page"/>
      </w:r>
    </w:p>
    <w:p>
      <w:pPr>
        <w:pStyle w:val="Heading1"/>
        <w:pBdr>
          <w:bottom w:val="single" w:color="F97316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D1D1B"/>
          <w:sz w:val="32"/>
          <w:szCs w:val="32"/>
        </w:rPr>
        <w:t xml:space="preserve">6. Ryzyko i jak je ograniczyć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Ryzyko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Prawdopodobieństwo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Mitygacja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Meta zmienia API CAPI (wersja/endpoint)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Wysokie — co 12–18 mies.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Monitoring changelog Meta, aktualizacja w ramach abonamentu Standard/Pro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Awaria serwera n8n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Niskie (Hetzner SLA 99.9%)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Backup serwer + automated failover; piksel GTM jako fallback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Klient rezygnuje z abonamentu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Średnie (~5%/mies.)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Roczne umowy z rabatem (-10%), onboarding report pokazujący wartość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Zmiana przepisów RODO dot. hashowania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Niskie–średnie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Śledzenie regulacji UODO/CNIL; dodanie „salt” do hashowania jako opcja Pro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Konkurencja (Stape, Google obniżają ceny)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Niskie–średnie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Przewaga: lokalna obsługa PL, brak vendor lock-in, własne dane klienta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Jeden klient generuje za dużo ruchu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Niskie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Plan Pro = dedykowana instancja; monitoring per-klient w n8n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316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D1D1B"/>
          <w:sz w:val="32"/>
          <w:szCs w:val="32"/>
        </w:rPr>
        <w:t xml:space="preserve">7. Pozycjonowanie — przewaga nad konkurencją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Vs. Stape.io ($20–100/mies.)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D1D1B"/>
          <w:sz w:val="22"/>
          <w:szCs w:val="22"/>
        </w:rPr>
        <w:t xml:space="preserve">Stape: </w:t>
      </w:r>
      <w:r>
        <w:rPr>
          <w:rFonts w:ascii="Arial" w:cs="Arial" w:eastAsia="Arial" w:hAnsi="Arial"/>
          <w:color w:val="1D1D1B"/>
          <w:sz w:val="22"/>
          <w:szCs w:val="22"/>
        </w:rPr>
        <w:t xml:space="preserve">serwery w Belgii lub USA. Twoje dane analityczne i dane klientów przechodzą przez infrastrukturę zewnętrznej firmy zarejestrowanej za granicą. Nie możesz audytować co się z nimi dzieje.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D1D1B"/>
          <w:sz w:val="22"/>
          <w:szCs w:val="22"/>
        </w:rPr>
        <w:t xml:space="preserve">Nasze rozwiązanie: </w:t>
      </w:r>
      <w:r>
        <w:rPr>
          <w:rFonts w:ascii="Arial" w:cs="Arial" w:eastAsia="Arial" w:hAnsi="Arial"/>
          <w:color w:val="1D1D1B"/>
          <w:sz w:val="22"/>
          <w:szCs w:val="22"/>
        </w:rPr>
        <w:t xml:space="preserve">n8n na serwerze klienta (lub naszym w Polsce/EU). Pełna kontrola nad danymi. Umowa powierzenia przetwarzania zgodna z RODO. Żadna firma trzecia nie ma dostępu do danych klientów klienta.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Kryterium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Stape.io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Nasze rozwiązanie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Lokalizacja serwerów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USA / Belgia (Stape)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Polska / EU (do wyboru)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Vendor lock-in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Tak — platforma Stape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Nie — n8n open-source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Wsparcie po polsku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Nie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Umowa RODO (DPA)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Standardowa (angielski)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Polska, dostosowana do klienta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Limit zdarzeń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Tak — płacisz za wolumen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Nie — nielimitowane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Cena/mies.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$20–100+ (80–400 zł)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199–599 zł (wszystko wliczone)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Integracja CRM / email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Dodatkowy koszt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Wliczone w plan Pro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Vs. Google Cloud sGTM ($120–300/mies.)</w:t>
      </w:r>
    </w:p>
    <w:p>
      <w:pPr>
        <w:spacing w:after="12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Google Cloud jest dla firm z własnym DevOps. Wymaga konfiguracji Cloud Run, load balancera, SSL, monitoringu — każdy błąd kosztuje. Nasze rozwiązanie to gotowy produkt, bez wiedzy serwerowej ze strony klienta.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Vs. Meta CAPI Gateway ($10–400/mies.)</w:t>
      </w:r>
    </w:p>
    <w:p>
      <w:pPr>
        <w:spacing w:after="12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Meta Gateway działa tylko z Meta. Nie wysyła danych do GA4, nie integruje się z CRM, nie obsługuje emaili. To jedno narzędzie do jednej platformy. Nasze rozwiązanie obsługuje Meta + Google + email + CRM jednocześnie.</w:t>
      </w:r>
    </w:p>
    <w:p>
      <w:r>
        <w:br w:type="page"/>
      </w:r>
    </w:p>
    <w:p>
      <w:pPr>
        <w:pStyle w:val="Heading1"/>
        <w:pBdr>
          <w:bottom w:val="single" w:color="F97316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D1D1B"/>
          <w:sz w:val="32"/>
          <w:szCs w:val="32"/>
        </w:rPr>
        <w:t xml:space="preserve">Podsumowanie biznesowe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D1D1B"/>
          <w:sz w:val="22"/>
          <w:szCs w:val="22"/>
        </w:rPr>
        <w:t xml:space="preserve">Koszt wejścia: </w:t>
      </w:r>
      <w:r>
        <w:rPr>
          <w:rFonts w:ascii="Arial" w:cs="Arial" w:eastAsia="Arial" w:hAnsi="Arial"/>
          <w:color w:val="1D1D1B"/>
          <w:sz w:val="22"/>
          <w:szCs w:val="22"/>
        </w:rPr>
        <w:t xml:space="preserve">~500 zł (serwer na rok) + czas wdrożenia pierwszych klientów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D1D1B"/>
          <w:sz w:val="22"/>
          <w:szCs w:val="22"/>
        </w:rPr>
        <w:t xml:space="preserve">Break-even: </w:t>
      </w:r>
      <w:r>
        <w:rPr>
          <w:rFonts w:ascii="Arial" w:cs="Arial" w:eastAsia="Arial" w:hAnsi="Arial"/>
          <w:color w:val="1D1D1B"/>
          <w:sz w:val="22"/>
          <w:szCs w:val="22"/>
        </w:rPr>
        <w:t xml:space="preserve">już przy 3 klientach Basic (3 × 199 zł = 597 zł &gt; koszt infra)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D1D1B"/>
          <w:sz w:val="22"/>
          <w:szCs w:val="22"/>
        </w:rPr>
        <w:t xml:space="preserve">Cel 12 miesięcy: </w:t>
      </w:r>
      <w:r>
        <w:rPr>
          <w:rFonts w:ascii="Arial" w:cs="Arial" w:eastAsia="Arial" w:hAnsi="Arial"/>
          <w:color w:val="1D1D1B"/>
          <w:sz w:val="22"/>
          <w:szCs w:val="22"/>
        </w:rPr>
        <w:t xml:space="preserve">40 klientów → 12 800 zł MRR → ~140 000 zł ARR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D1D1B"/>
          <w:sz w:val="22"/>
          <w:szCs w:val="22"/>
        </w:rPr>
        <w:t xml:space="preserve">Margines operacyjny: </w:t>
      </w:r>
      <w:r>
        <w:rPr>
          <w:rFonts w:ascii="Arial" w:cs="Arial" w:eastAsia="Arial" w:hAnsi="Arial"/>
          <w:color w:val="1D1D1B"/>
          <w:sz w:val="22"/>
          <w:szCs w:val="22"/>
        </w:rPr>
        <w:t xml:space="preserve">80–91% (po pokryciu infrastruktury i czasu obsługi)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D1D1B"/>
          <w:sz w:val="22"/>
          <w:szCs w:val="22"/>
        </w:rPr>
        <w:t xml:space="preserve">Przewaga kluczowa: </w:t>
      </w:r>
      <w:r>
        <w:rPr>
          <w:rFonts w:ascii="Arial" w:cs="Arial" w:eastAsia="Arial" w:hAnsi="Arial"/>
          <w:color w:val="1D1D1B"/>
          <w:sz w:val="22"/>
          <w:szCs w:val="22"/>
        </w:rPr>
        <w:t xml:space="preserve">Brak miesięcznych opłat za platformę + polskie wsparcie + pełna kontrola danych klienta</w:t>
      </w:r>
    </w:p>
    <w:p>
      <w:pPr>
        <w:spacing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single" w:color="16A34A" w:sz="12"/>
              <w:bottom w:val="none" w:sz="0"/>
              <w:right w:val="none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Podsumowanie: </w:t>
            </w:r>
            <w:r>
              <w:rPr>
                <w:rFonts w:ascii="Arial" w:cs="Arial" w:eastAsia="Arial" w:hAnsi="Arial"/>
                <w:color w:val="1D1D1B"/>
                <w:sz w:val="22"/>
                <w:szCs w:val="22"/>
              </w:rPr>
              <w:t xml:space="preserve">Server-Side Tracking na n8n to produkt o ekstremalnie niskim koszcie infrastruktury, wysokiej marży i naturalnym lock-in przez wartość. Przy 40 klientach osiągasz ~140 000 zł ARR z marżą 80–91%.</w:t>
            </w:r>
          </w:p>
        </w:tc>
      </w:tr>
    </w:tbl>
    <w:p>
      <w:pPr>
        <w:pBdr>
          <w:top w:val="single" w:color="E5E7EB" w:sz="1" w:space="12"/>
        </w:pBdr>
        <w:spacing w:before="400"/>
      </w:pP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Dokument wewnętrzny — TwistedPixel Sp. z o.o. | Marzec 2026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Projekcje finansowe są szacunkowe i oparte na danych rynkowych z Q1 2026. Dane infrastrukturalne: Hetzner Cloud, n8n Community Edition.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Dokument wewnętrzny — TwistedPixel Sp. z o.o. | 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4C1D95"/>
        <w:sz w:val="20"/>
        <w:szCs w:val="20"/>
      </w:rPr>
      <w:t xml:space="preserve">TwistedPixel</w:t>
    </w:r>
    <w:r>
      <w:rPr>
        <w:rFonts w:ascii="Arial" w:cs="Arial" w:eastAsia="Arial" w:hAnsi="Arial"/>
        <w:color w:val="666666"/>
        <w:sz w:val="18"/>
        <w:szCs w:val="18"/>
      </w:rPr>
      <w:t xml:space="preserve"> | Model biznesowy — dokument wewnętrzny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D1D1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4C1D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2026-03-25T14:56:29.765Z</dcterms:created>
  <dcterms:modified xsi:type="dcterms:W3CDTF">2026-03-25T14:56:29.766Z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