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Lora" w:cs="Lora" w:eastAsia="Lora" w:hAnsi="Lora"/>
        </w:rPr>
        <w:t xml:space="preserve">Modelo Teórico de Tarifas y Conversión (Fee &amp; Conversion Model)</w:t>
      </w:r>
    </w:p>
    <w:p>
      <w:pPr>
        <w:pStyle w:val="Normal"/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Proyecto: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Simulador de Remesas · CUBO+ Build Sprint 2026 · Equipo 4</w:t>
      </w:r>
    </w:p>
    <w:p>
      <w:pPr>
        <w:pStyle w:val="Normal"/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Carpeta: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/strategy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· Entregable estratégico (perfil Non-Dev)</w:t>
      </w:r>
    </w:p>
    <w:p>
      <w:pPr>
        <w:pStyle w:val="Normal"/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Fecha: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12 de octubre de 2026</w:t>
      </w:r>
    </w:p>
    <w:p>
      <w:pPr>
        <w:pStyle w:val="Normal"/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Conecta con: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Personas (José y María) · Modelo de datos 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transfers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· Conversion engine</w:t>
      </w:r>
    </w:p>
    <w:p>
      <w:pPr>
        <w:pBdr>
          <w:bottom w:val="single" w:color="D6D1C7" w:sz="6" w:space="1"/>
        </w:pBdr>
        <w:spacing w:before="120" w:after="240"/>
      </w:pPr>
    </w:p>
    <w:p>
      <w:pPr>
        <w:pStyle w:val="Heading2"/>
      </w:pPr>
      <w:r>
        <w:rPr>
          <w:rFonts w:ascii="Lora" w:cs="Lora" w:eastAsia="Lora" w:hAnsi="Lora"/>
        </w:rPr>
        <w:t xml:space="preserve">1. Contexto: cómo cobra el mercado hoy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En el corredor EE. UU. → El Salvador, el costo total promedio de enviar dinero es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~3.5% del monto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(Banco Mundial, Remittance Prices Worldwide). Ese costo se compone de dos piezas que los operadores suelen mezclar a propósito: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Comisión explícita (fee):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lo que el recibo muestra como "cargo por envío".</w:t>
      </w:r>
    </w:p>
    <w:p>
      <w:pPr>
        <w:pStyle w:val="ListParagraph"/>
        <w:numPr>
          <w:ilvl w:val="0"/>
          <w:numId w:val="2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Margen en el tipo de cambio (spread):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el operador aplica una tasa peor que la del mercado y se queda con la diferencia. El usuario casi nunca la ve.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Ejemplos reales de estructura: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74"/>
        <w:gridCol w:w="5786"/>
      </w:tblGrid>
      <w:tr>
        <w:trPr>
          <w:cantSplit/>
          <w:tblHeader/>
        </w:trPr>
        <w:tc>
          <w:tcPr>
            <w:tcW w:type="dxa" w:w="357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Operador</w:t>
            </w:r>
          </w:p>
        </w:tc>
        <w:tc>
          <w:tcPr>
            <w:tcW w:type="dxa" w:w="578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Estructura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Remitly (retiro en efectivo)</w:t>
            </w:r>
          </w:p>
        </w:tc>
        <w:tc>
          <w:tcPr>
            <w:tcW w:type="dxa" w:w="578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Porcentaje + fija: 1.22% + $4.99 (menos de $500); 0.7% + $4.99 ($500 o más)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Agencias tradicionales</w:t>
            </w:r>
          </w:p>
        </w:tc>
        <w:tc>
          <w:tcPr>
            <w:tcW w:type="dxa" w:w="578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Fija por rangos de monto + margen en tipo de cambio (poco visible)</w:t>
            </w:r>
          </w:p>
        </w:tc>
      </w:tr>
      <w:tr>
        <w:trPr>
          <w:cantSplit/>
        </w:trPr>
        <w:tc>
          <w:tcPr>
            <w:tcW w:type="dxa" w:w="357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Wise (referencia de transparencia)</w:t>
            </w:r>
          </w:p>
        </w:tc>
        <w:tc>
          <w:tcPr>
            <w:tcW w:type="dxa" w:w="578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Fija pequeña + porcentaje, con tipo de cambio real del mercado, todo mostrado antes de confirmar</w:t>
            </w:r>
          </w:p>
        </w:tc>
      </w:tr>
    </w:tbl>
    <w:p>
      <w:pPr>
        <w:spacing w:after="120"/>
      </w:pPr>
    </w:p>
    <w:p>
      <w:pPr>
        <w:pStyle w:val="Normal"/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El problema que ataca nuestro diseño: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la frustración #1 de José es no saber cuánto le llega a su familia. La causa técnica es exactamente esta mezcla opaca de fee + spread. Nuestro modelo se diseña para que esa opacidad sea imposible.</w:t>
      </w:r>
    </w:p>
    <w:p>
      <w:pPr>
        <w:pBdr>
          <w:bottom w:val="single" w:color="D6D1C7" w:sz="6" w:space="1"/>
        </w:pBdr>
        <w:spacing w:before="120" w:after="240"/>
      </w:pPr>
    </w:p>
    <w:p>
      <w:pPr>
        <w:pStyle w:val="Heading2"/>
      </w:pPr>
      <w:r>
        <w:rPr>
          <w:rFonts w:ascii="Lora" w:cs="Lora" w:eastAsia="Lora" w:hAnsi="Lora"/>
        </w:rPr>
        <w:t xml:space="preserve">2. Decisión: ¿comisión fija, porcentaje o ambas?</w:t>
      </w:r>
    </w:p>
    <w:p>
      <w:pPr>
        <w:pStyle w:val="Heading3"/>
      </w:pPr>
      <w:r>
        <w:rPr>
          <w:rFonts w:ascii="Lora" w:cs="Lora" w:eastAsia="Lora" w:hAnsi="Lora"/>
        </w:rPr>
        <w:t xml:space="preserve">Respuesta: </w:t>
      </w:r>
      <w:r>
        <w:rPr>
          <w:rFonts w:ascii="Lora" w:cs="Lora" w:eastAsia="Lora" w:hAnsi="Lora"/>
          <w:b/>
          <w:bCs/>
        </w:rPr>
        <w:t xml:space="preserve">ambas en el cálculo; una sola cifra en la comunicación.</w:t>
      </w:r>
    </w:p>
    <w:p>
      <w:pPr>
        <w:pStyle w:val="Heading3"/>
      </w:pPr>
      <w:r>
        <w:rPr>
          <w:rFonts w:ascii="Lora" w:cs="Lora" w:eastAsia="Lora" w:hAnsi="Lora"/>
        </w:rPr>
        <w:t xml:space="preserve">2.1 La estructura interna (para el motor de conversión)</w:t>
      </w:r>
    </w:p>
    <w:p>
      <w:pPr>
        <w:pStyle w:val="Code"/>
        <w:keepNext/>
        <w:keepLines/>
        <w:shd w:fill="F5F3ED" w:val="clear"/>
        <w:spacing w:before="120" w:after="0"/>
      </w:pPr>
      <w:r>
        <w:rPr>
          <w:rFonts w:ascii="JetBrains Mono" w:cs="JetBrains Mono" w:eastAsia="JetBrains Mono" w:hAnsi="JetBrains Mono"/>
          <w:color w:val="1A1814"/>
          <w:sz w:val="18"/>
          <w:szCs w:val="18"/>
        </w:rPr>
        <w:t xml:space="preserve">comisión = comisión_fija + (monto × porcentaje)</w:t>
      </w:r>
    </w:p>
    <w:p>
      <w:pPr>
        <w:pStyle w:val="Code"/>
        <w:keepNext w:val="false"/>
        <w:keepLines/>
        <w:shd w:fill="F5F3ED" w:val="clear"/>
        <w:spacing w:before="0" w:after="200"/>
      </w:pPr>
      <w:r>
        <w:rPr>
          <w:rFonts w:ascii="JetBrains Mono" w:cs="JetBrains Mono" w:eastAsia="JetBrains Mono" w:hAnsi="JetBrains Mono"/>
          <w:color w:val="1A1814"/>
          <w:sz w:val="18"/>
          <w:szCs w:val="18"/>
        </w:rPr>
        <w:t xml:space="preserve">monto_recibido = (monto − comisión) × tipo_de_cambio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Parámetros propuestos para el simulador (calibrados con el mercado, ~3.5% de costo total en un envío típico de $400):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7"/>
        <w:gridCol w:w="3782"/>
        <w:gridCol w:w="3891"/>
      </w:tblGrid>
      <w:tr>
        <w:trPr>
          <w:cantSplit/>
          <w:tblHeader/>
        </w:trPr>
        <w:tc>
          <w:tcPr>
            <w:tcW w:type="dxa" w:w="168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78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Valor</w:t>
            </w:r>
          </w:p>
        </w:tc>
        <w:tc>
          <w:tcPr>
            <w:tcW w:type="dxa" w:w="389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68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Comisión fija</w:t>
            </w:r>
          </w:p>
        </w:tc>
        <w:tc>
          <w:tcPr>
            <w:tcW w:type="dxa" w:w="378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$2.99</w:t>
            </w:r>
          </w:p>
        </w:tc>
        <w:tc>
          <w:tcPr>
            <w:tcW w:type="dxa" w:w="389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Cubre el costo operativo mínimo por transacción; comparable con el mercado</w:t>
            </w:r>
          </w:p>
        </w:tc>
      </w:tr>
      <w:tr>
        <w:trPr>
          <w:cantSplit/>
        </w:trPr>
        <w:tc>
          <w:tcPr>
            <w:tcW w:type="dxa" w:w="168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Porcentaje</w:t>
            </w:r>
          </w:p>
        </w:tc>
        <w:tc>
          <w:tcPr>
            <w:tcW w:type="dxa" w:w="378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1.5%</w:t>
            </w:r>
          </w:p>
        </w:tc>
        <w:tc>
          <w:tcPr>
            <w:tcW w:type="dxa" w:w="389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Escala con el monto; dentro del rango competitivo</w:t>
            </w:r>
          </w:p>
        </w:tc>
      </w:tr>
      <w:tr>
        <w:trPr>
          <w:cantSplit/>
        </w:trPr>
        <w:tc>
          <w:tcPr>
            <w:tcW w:type="dxa" w:w="168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Tipo de cambio</w:t>
            </w:r>
          </w:p>
        </w:tc>
        <w:tc>
          <w:tcPr>
            <w:tcW w:type="dxa" w:w="378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Tasa real de referencia, sin margen oculto (spread = 0)</w:t>
            </w:r>
          </w:p>
        </w:tc>
        <w:tc>
          <w:tcPr>
            <w:tcW w:type="dxa" w:w="3891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Decisión de producto deliberada: la transparencia es la propuesta de valor</w:t>
            </w:r>
          </w:p>
        </w:tc>
      </w:tr>
    </w:tbl>
    <w:p>
      <w:pPr>
        <w:spacing w:after="120"/>
      </w:pP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Costo total en el envío típico de José ($400): $2.99 + $6.00 =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$8.99 (~2.25%)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— por debajo del promedio del mercado (3.5%), lo que sostiene la narrativa de propuesta de valor frente a competidores.</w:t>
      </w:r>
    </w:p>
    <w:p>
      <w:pPr>
        <w:pStyle w:val="Heading3"/>
      </w:pPr>
      <w:r>
        <w:rPr>
          <w:rFonts w:ascii="Lora" w:cs="Lora" w:eastAsia="Lora" w:hAnsi="Lora"/>
        </w:rPr>
        <w:t xml:space="preserve">2.2 Por qué ambas componentes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Solo fija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castiga los envíos pequeños (un $50 con $5 de comisión = 10%, injusto para María, que a veces recibe montos menores entre quincenas).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Solo porcentaje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deja sin piso los envíos pequeños y el negocio simulado no cubre costos fijos.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Fija + porcentaje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es el estándar de la industria (Remitly, Wise), es defendible ante los evaluadores y permite modelar sostenibilidad en el análisis de negocio.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Spread cero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simplifica el mensaje y es lo que permite decir "el monto que ves es el monto que llega". En la documentación de arquitectura se deja el campo preparado (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rate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guardada por transferencia) por si en el futuro se modela un margen.</w:t>
      </w:r>
    </w:p>
    <w:p>
      <w:pPr>
        <w:pBdr>
          <w:bottom w:val="single" w:color="D6D1C7" w:sz="6" w:space="1"/>
        </w:pBdr>
        <w:spacing w:before="120" w:after="240"/>
      </w:pPr>
    </w:p>
    <w:p>
      <w:pPr>
        <w:pStyle w:val="Heading2"/>
      </w:pPr>
      <w:r>
        <w:rPr>
          <w:rFonts w:ascii="Lora" w:cs="Lora" w:eastAsia="Lora" w:hAnsi="Lora"/>
        </w:rPr>
        <w:t xml:space="preserve">3. Cómo comunicarlo sin confundir al usuario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Regla de oro, derivada de las personas: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José no debe hacer matemáticas y María no debe adivinar.</w:t>
      </w:r>
    </w:p>
    <w:p>
      <w:pPr>
        <w:pStyle w:val="Heading3"/>
      </w:pPr>
      <w:r>
        <w:rPr>
          <w:rFonts w:ascii="Lora" w:cs="Lora" w:eastAsia="Lora" w:hAnsi="Lora"/>
        </w:rPr>
        <w:t xml:space="preserve">Principio 1 — Una sola cifra de costo en la pantalla principal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El usuario nunca ve "2.99 + 1.5%". Ve el resultado:</w:t>
      </w:r>
    </w:p>
    <w:p>
      <w:pPr>
        <w:pStyle w:val="Quote"/>
        <w:pBdr>
          <w:left w:val="single" w:color="D6D1C7" w:sz="12" w:space="8"/>
        </w:pBdr>
      </w:pPr>
      <w:r>
        <w:rPr>
          <w:rFonts w:ascii="Work Sans" w:cs="Work Sans" w:eastAsia="Work Sans" w:hAnsi="Work Sans"/>
          <w:b/>
          <w:bCs/>
          <w:i/>
          <w:iCs/>
          <w:color w:val="8A8478"/>
          <w:sz w:val="22"/>
          <w:szCs w:val="22"/>
        </w:rPr>
        <w:t xml:space="preserve">Envías:</w:t>
      </w:r>
      <w:r>
        <w:rPr>
          <w:rFonts w:ascii="Work Sans" w:cs="Work Sans" w:eastAsia="Work Sans" w:hAnsi="Work Sans"/>
          <w:i/>
          <w:iCs/>
          <w:color w:val="8A8478"/>
          <w:sz w:val="22"/>
          <w:szCs w:val="22"/>
        </w:rPr>
        <w:t xml:space="preserve"> $400.00 </w:t>
      </w:r>
      <w:r>
        <w:rPr>
          <w:rFonts w:ascii="Work Sans" w:cs="Work Sans" w:eastAsia="Work Sans" w:hAnsi="Work Sans"/>
          <w:b/>
          <w:bCs/>
          <w:i/>
          <w:iCs/>
          <w:color w:val="8A8478"/>
          <w:sz w:val="22"/>
          <w:szCs w:val="22"/>
        </w:rPr>
        <w:t xml:space="preserve">Comisión de envío:</w:t>
      </w:r>
      <w:r>
        <w:rPr>
          <w:rFonts w:ascii="Work Sans" w:cs="Work Sans" w:eastAsia="Work Sans" w:hAnsi="Work Sans"/>
          <w:i/>
          <w:iCs/>
          <w:color w:val="8A8478"/>
          <w:sz w:val="22"/>
          <w:szCs w:val="22"/>
        </w:rPr>
        <w:t xml:space="preserve"> $8.99 </w:t>
      </w:r>
      <w:r>
        <w:rPr>
          <w:rFonts w:ascii="Work Sans" w:cs="Work Sans" w:eastAsia="Work Sans" w:hAnsi="Work Sans"/>
          <w:b/>
          <w:bCs/>
          <w:i/>
          <w:iCs/>
          <w:color w:val="8A8478"/>
          <w:sz w:val="22"/>
          <w:szCs w:val="22"/>
        </w:rPr>
        <w:t xml:space="preserve">Tipo de cambio de hoy:</w:t>
      </w:r>
      <w:r>
        <w:rPr>
          <w:rFonts w:ascii="Work Sans" w:cs="Work Sans" w:eastAsia="Work Sans" w:hAnsi="Work Sans"/>
          <w:i/>
          <w:iCs/>
          <w:color w:val="8A8478"/>
          <w:sz w:val="22"/>
          <w:szCs w:val="22"/>
        </w:rPr>
        <w:t xml:space="preserve"> 1 USD = 8.75 GTQ </w:t>
      </w:r>
      <w:r>
        <w:rPr>
          <w:rFonts w:ascii="Work Sans" w:cs="Work Sans" w:eastAsia="Work Sans" w:hAnsi="Work Sans"/>
          <w:i/>
          <w:iCs/>
          <w:color w:val="8A8478"/>
          <w:sz w:val="22"/>
          <w:szCs w:val="22"/>
        </w:rPr>
        <w:t xml:space="preserve">(ejemplo ilustrativo)</w:t>
      </w:r>
      <w:r>
        <w:rPr>
          <w:rFonts w:ascii="Work Sans" w:cs="Work Sans" w:eastAsia="Work Sans" w:hAnsi="Work Sans"/>
          <w:i/>
          <w:iCs/>
          <w:color w:val="8A8478"/>
          <w:sz w:val="22"/>
          <w:szCs w:val="22"/>
        </w:rPr>
        <w:t xml:space="preserve"> </w:t>
      </w:r>
      <w:r>
        <w:rPr>
          <w:rFonts w:ascii="Work Sans" w:cs="Work Sans" w:eastAsia="Work Sans" w:hAnsi="Work Sans"/>
          <w:b/>
          <w:bCs/>
          <w:i/>
          <w:iCs/>
          <w:color w:val="8A8478"/>
          <w:sz w:val="22"/>
          <w:szCs w:val="22"/>
        </w:rPr>
        <w:t xml:space="preserve">María recibe exactamente:</w:t>
      </w:r>
      <w:r>
        <w:rPr>
          <w:rFonts w:ascii="Work Sans" w:cs="Work Sans" w:eastAsia="Work Sans" w:hAnsi="Work Sans"/>
          <w:i/>
          <w:iCs/>
          <w:color w:val="8A8478"/>
          <w:sz w:val="22"/>
          <w:szCs w:val="22"/>
        </w:rPr>
        <w:t xml:space="preserve"> Q3,421.34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La comisión aparece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como un solo número total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, separada del tipo de cambio. La rúbrica exige mostrar ambos por separado: cumplimos mostrando "Comisión de envío" y "Tipo de cambio" como líneas distintas, sin exponer la fórmula interna.</w:t>
      </w:r>
    </w:p>
    <w:p>
      <w:pPr>
        <w:pStyle w:val="Heading3"/>
      </w:pPr>
      <w:r>
        <w:rPr>
          <w:rFonts w:ascii="Lora" w:cs="Lora" w:eastAsia="Lora" w:hAnsi="Lora"/>
        </w:rPr>
        <w:t xml:space="preserve">Principio 2 — El desglose completo está a un toque, no escondido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Para quien quiera verificar ("Don't trust, verify" aplica también al usuario), un enlace discreto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"¿Cómo calculamos esto?"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abre el desglose completo:</w:t>
      </w:r>
    </w:p>
    <w:p>
      <w:pPr>
        <w:pStyle w:val="Quote"/>
        <w:pBdr>
          <w:left w:val="single" w:color="D6D1C7" w:sz="12" w:space="8"/>
        </w:pBdr>
      </w:pPr>
      <w:r>
        <w:rPr>
          <w:rFonts w:ascii="Work Sans" w:cs="Work Sans" w:eastAsia="Work Sans" w:hAnsi="Work Sans"/>
          <w:i/>
          <w:iCs/>
          <w:color w:val="8A8478"/>
          <w:sz w:val="22"/>
          <w:szCs w:val="22"/>
        </w:rPr>
        <w:t xml:space="preserve">Comisión de envío = $2.99 (fija) + 1.5% del monto = $8.99 Tipo de cambio aplicado: tasa real del mercado, sin margen adicional $400.00 − $8.99 = $391.01 × 8.75 = Q3,421.34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Transparencia total sin saturar la pantalla principal.</w:t>
      </w:r>
    </w:p>
    <w:p>
      <w:pPr>
        <w:pStyle w:val="Heading3"/>
      </w:pPr>
      <w:r>
        <w:rPr>
          <w:rFonts w:ascii="Lora" w:cs="Lora" w:eastAsia="Lora" w:hAnsi="Lora"/>
        </w:rPr>
        <w:t xml:space="preserve">Principio 3 — El monto final es una promesa, no una estimación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En la app, "recibe" es exacto. La cotización congela la tasa al crear la transferencia (</w:t>
      </w: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exchange_rate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se guarda en el registro) y el monto recibido </w:t>
      </w: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nunca se recalcula después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. Si la tasa del mercado se mueve, eso no cambia un envío ya confirmado.</w:t>
      </w:r>
    </w:p>
    <w:p>
      <w:pPr>
        <w:pStyle w:val="Heading3"/>
      </w:pPr>
      <w:r>
        <w:rPr>
          <w:rFonts w:ascii="Lora" w:cs="Lora" w:eastAsia="Lora" w:hAnsi="Lora"/>
        </w:rPr>
        <w:t xml:space="preserve">Principio 4 — Lenguaje de José y María, no de la industria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52"/>
        <w:gridCol w:w="5708"/>
      </w:tblGrid>
      <w:tr>
        <w:trPr>
          <w:cantSplit/>
          <w:tblHeader/>
        </w:trPr>
        <w:tc>
          <w:tcPr>
            <w:tcW w:type="dxa" w:w="365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En vez de</w:t>
            </w:r>
          </w:p>
        </w:tc>
        <w:tc>
          <w:tcPr>
            <w:tcW w:type="dxa" w:w="5708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Decimos</w:t>
            </w:r>
          </w:p>
        </w:tc>
      </w:tr>
      <w:tr>
        <w:trPr>
          <w:cantSplit/>
        </w:trPr>
        <w:tc>
          <w:tcPr>
            <w:tcW w:type="dxa" w:w="365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Fee / service charge</w:t>
            </w:r>
          </w:p>
        </w:tc>
        <w:tc>
          <w:tcPr>
            <w:tcW w:type="dxa" w:w="5708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Comisión de envío</w:t>
            </w:r>
          </w:p>
        </w:tc>
      </w:tr>
      <w:tr>
        <w:trPr>
          <w:cantSplit/>
        </w:trPr>
        <w:tc>
          <w:tcPr>
            <w:tcW w:type="dxa" w:w="365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Exchange rate / FX rate</w:t>
            </w:r>
          </w:p>
        </w:tc>
        <w:tc>
          <w:tcPr>
            <w:tcW w:type="dxa" w:w="5708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Tipo de cambio de hoy</w:t>
            </w:r>
          </w:p>
        </w:tc>
      </w:tr>
      <w:tr>
        <w:trPr>
          <w:cantSplit/>
        </w:trPr>
        <w:tc>
          <w:tcPr>
            <w:tcW w:type="dxa" w:w="365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Net amount / payout</w:t>
            </w:r>
          </w:p>
        </w:tc>
        <w:tc>
          <w:tcPr>
            <w:tcW w:type="dxa" w:w="5708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María recibe</w:t>
            </w:r>
          </w:p>
        </w:tc>
      </w:tr>
      <w:tr>
        <w:trPr>
          <w:cantSplit/>
        </w:trPr>
        <w:tc>
          <w:tcPr>
            <w:tcW w:type="dxa" w:w="365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Estimated delivery</w:t>
            </w:r>
          </w:p>
        </w:tc>
        <w:tc>
          <w:tcPr>
            <w:tcW w:type="dxa" w:w="5708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Llega aprox. en X minutos</w:t>
            </w:r>
          </w:p>
        </w:tc>
      </w:tr>
      <w:tr>
        <w:trPr>
          <w:cantSplit/>
        </w:trPr>
        <w:tc>
          <w:tcPr>
            <w:tcW w:type="dxa" w:w="3652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Spread, markup, settlement</w:t>
            </w:r>
          </w:p>
        </w:tc>
        <w:tc>
          <w:tcPr>
            <w:tcW w:type="dxa" w:w="5708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(no existen en el vocabulario del usuario)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Lora" w:cs="Lora" w:eastAsia="Lora" w:hAnsi="Lora"/>
        </w:rPr>
        <w:t xml:space="preserve">Principio 5 — Advertencia antes, nunca sorpresa después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El botón de confirmar solo se habilita con el desglose visible. La pantalla de confirmación repite las mismas cifras, idénticas, y el recibo las conserva para que María pueda mostrarlo en ventanilla si algo no cuadra.</w:t>
      </w:r>
    </w:p>
    <w:p>
      <w:pPr>
        <w:pBdr>
          <w:bottom w:val="single" w:color="D6D1C7" w:sz="6" w:space="1"/>
        </w:pBdr>
        <w:spacing w:before="120" w:after="240"/>
      </w:pPr>
    </w:p>
    <w:p>
      <w:pPr>
        <w:pStyle w:val="Heading2"/>
      </w:pPr>
      <w:r>
        <w:rPr>
          <w:rFonts w:ascii="Lora" w:cs="Lora" w:eastAsia="Lora" w:hAnsi="Lora"/>
        </w:rPr>
        <w:t xml:space="preserve">4. Ejemplos trabajados (para el documento y la demo)</w:t>
      </w:r>
    </w:p>
    <w:p>
      <w:pPr>
        <w:pStyle w:val="Heading3"/>
      </w:pPr>
      <w:r>
        <w:rPr>
          <w:rFonts w:ascii="Lora" w:cs="Lora" w:eastAsia="Lora" w:hAnsi="Lora"/>
        </w:rPr>
        <w:t xml:space="preserve">Ejemplo A — Envío típico de José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94"/>
        <w:gridCol w:w="3766"/>
      </w:tblGrid>
      <w:tr>
        <w:trPr>
          <w:cantSplit/>
          <w:tblHeader/>
        </w:trPr>
        <w:tc>
          <w:tcPr>
            <w:tcW w:type="dxa" w:w="559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Concepto</w:t>
            </w:r>
          </w:p>
        </w:tc>
        <w:tc>
          <w:tcPr>
            <w:tcW w:type="dxa" w:w="376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59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Monto enviado</w:t>
            </w:r>
          </w:p>
        </w:tc>
        <w:tc>
          <w:tcPr>
            <w:tcW w:type="dxa" w:w="376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$400.00 USD</w:t>
            </w:r>
          </w:p>
        </w:tc>
      </w:tr>
      <w:tr>
        <w:trPr>
          <w:cantSplit/>
        </w:trPr>
        <w:tc>
          <w:tcPr>
            <w:tcW w:type="dxa" w:w="559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Comisión fija</w:t>
            </w:r>
          </w:p>
        </w:tc>
        <w:tc>
          <w:tcPr>
            <w:tcW w:type="dxa" w:w="376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$2.99</w:t>
            </w:r>
          </w:p>
        </w:tc>
      </w:tr>
      <w:tr>
        <w:trPr>
          <w:cantSplit/>
        </w:trPr>
        <w:tc>
          <w:tcPr>
            <w:tcW w:type="dxa" w:w="559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Comisión porcentual (1.5%)</w:t>
            </w:r>
          </w:p>
        </w:tc>
        <w:tc>
          <w:tcPr>
            <w:tcW w:type="dxa" w:w="376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$6.00</w:t>
            </w:r>
          </w:p>
        </w:tc>
      </w:tr>
      <w:tr>
        <w:trPr>
          <w:cantSplit/>
        </w:trPr>
        <w:tc>
          <w:tcPr>
            <w:tcW w:type="dxa" w:w="559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Comisión total</w:t>
            </w:r>
          </w:p>
        </w:tc>
        <w:tc>
          <w:tcPr>
            <w:tcW w:type="dxa" w:w="376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$8.99 (2.25%)</w:t>
            </w:r>
          </w:p>
        </w:tc>
      </w:tr>
      <w:tr>
        <w:trPr>
          <w:cantSplit/>
        </w:trPr>
        <w:tc>
          <w:tcPr>
            <w:tcW w:type="dxa" w:w="559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Monto neto a convertir</w:t>
            </w:r>
          </w:p>
        </w:tc>
        <w:tc>
          <w:tcPr>
            <w:tcW w:type="dxa" w:w="376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$391.01</w:t>
            </w:r>
          </w:p>
        </w:tc>
      </w:tr>
      <w:tr>
        <w:trPr>
          <w:cantSplit/>
        </w:trPr>
        <w:tc>
          <w:tcPr>
            <w:tcW w:type="dxa" w:w="559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Tipo de cambio (ilustrativa)</w:t>
            </w:r>
          </w:p>
        </w:tc>
        <w:tc>
          <w:tcPr>
            <w:tcW w:type="dxa" w:w="376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1 USD = 8.75 GTQ</w:t>
            </w:r>
          </w:p>
        </w:tc>
      </w:tr>
      <w:tr>
        <w:trPr>
          <w:cantSplit/>
        </w:trPr>
        <w:tc>
          <w:tcPr>
            <w:tcW w:type="dxa" w:w="5594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María recibe</w:t>
            </w:r>
          </w:p>
        </w:tc>
        <w:tc>
          <w:tcPr>
            <w:tcW w:type="dxa" w:w="3766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4A4640"/>
                <w:sz w:val="20"/>
                <w:szCs w:val="20"/>
              </w:rPr>
              <w:t xml:space="preserve">Q3,421.34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Lora" w:cs="Lora" w:eastAsia="Lora" w:hAnsi="Lora"/>
        </w:rPr>
        <w:t xml:space="preserve">Ejemplo B — Envío pequeño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5"/>
        <w:gridCol w:w="6115"/>
      </w:tblGrid>
      <w:tr>
        <w:trPr>
          <w:cantSplit/>
          <w:tblHeader/>
        </w:trPr>
        <w:tc>
          <w:tcPr>
            <w:tcW w:type="dxa" w:w="3245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Concepto</w:t>
            </w:r>
          </w:p>
        </w:tc>
        <w:tc>
          <w:tcPr>
            <w:tcW w:type="dxa" w:w="6115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45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Monto enviado</w:t>
            </w:r>
          </w:p>
        </w:tc>
        <w:tc>
          <w:tcPr>
            <w:tcW w:type="dxa" w:w="6115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$50.00</w:t>
            </w:r>
          </w:p>
        </w:tc>
      </w:tr>
      <w:tr>
        <w:trPr>
          <w:cantSplit/>
        </w:trPr>
        <w:tc>
          <w:tcPr>
            <w:tcW w:type="dxa" w:w="3245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Comisión total ($2.99 + 0.75)</w:t>
            </w:r>
          </w:p>
        </w:tc>
        <w:tc>
          <w:tcPr>
            <w:tcW w:type="dxa" w:w="6115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$3.74 (7.5%)</w:t>
            </w:r>
          </w:p>
        </w:tc>
      </w:tr>
      <w:tr>
        <w:trPr>
          <w:cantSplit/>
        </w:trPr>
        <w:tc>
          <w:tcPr>
            <w:tcW w:type="dxa" w:w="3245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6115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El porcentaje efectivo se muestra solo en el desglose; la pantalla principal muestra el total y el monto final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Lora" w:cs="Lora" w:eastAsia="Lora" w:hAnsi="Lora"/>
        </w:rPr>
        <w:t xml:space="preserve">Ejemplo C — Envío grande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3"/>
        <w:gridCol w:w="6017"/>
      </w:tblGrid>
      <w:tr>
        <w:trPr>
          <w:cantSplit/>
          <w:tblHeader/>
        </w:trPr>
        <w:tc>
          <w:tcPr>
            <w:tcW w:type="dxa" w:w="3343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Concepto</w:t>
            </w:r>
          </w:p>
        </w:tc>
        <w:tc>
          <w:tcPr>
            <w:tcW w:type="dxa" w:w="601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43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Monto enviado</w:t>
            </w:r>
          </w:p>
        </w:tc>
        <w:tc>
          <w:tcPr>
            <w:tcW w:type="dxa" w:w="601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$1,000.00</w:t>
            </w:r>
          </w:p>
        </w:tc>
      </w:tr>
      <w:tr>
        <w:trPr>
          <w:cantSplit/>
        </w:trPr>
        <w:tc>
          <w:tcPr>
            <w:tcW w:type="dxa" w:w="3343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Comisión total ($2.99 + 15.00)</w:t>
            </w:r>
          </w:p>
        </w:tc>
        <w:tc>
          <w:tcPr>
            <w:tcW w:type="dxa" w:w="601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$17.99 (1.8%)</w:t>
            </w:r>
          </w:p>
        </w:tc>
      </w:tr>
      <w:tr>
        <w:trPr>
          <w:cantSplit/>
        </w:trPr>
        <w:tc>
          <w:tcPr>
            <w:tcW w:type="dxa" w:w="3343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601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Entre mayor el monto, menor el costo porcentual — incentivo natural a consolidar envíos</w:t>
            </w:r>
          </w:p>
        </w:tc>
      </w:tr>
    </w:tbl>
    <w:p>
      <w:pPr>
        <w:spacing w:after="120"/>
      </w:pPr>
    </w:p>
    <w:p>
      <w:pPr>
        <w:pBdr>
          <w:bottom w:val="single" w:color="D6D1C7" w:sz="6" w:space="1"/>
        </w:pBdr>
        <w:spacing w:before="120" w:after="240"/>
      </w:pPr>
    </w:p>
    <w:p>
      <w:pPr>
        <w:pStyle w:val="Heading2"/>
      </w:pPr>
      <w:r>
        <w:rPr>
          <w:rFonts w:ascii="Lora" w:cs="Lora" w:eastAsia="Lora" w:hAnsi="Lora"/>
        </w:rPr>
        <w:t xml:space="preserve">5. Traducción directa al modelo de datos y a la API</w:t>
      </w: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Cada transferencia guarda exactamente lo que el usuario vio (auditable, sin recálculo):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3"/>
        <w:gridCol w:w="6777"/>
      </w:tblGrid>
      <w:tr>
        <w:trPr>
          <w:cantSplit/>
          <w:tblHeader/>
        </w:trPr>
        <w:tc>
          <w:tcPr>
            <w:tcW w:type="dxa" w:w="2583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Campo en </w:t>
            </w:r>
            <w:r>
              <w:rPr>
                <w:rFonts w:ascii="JetBrains Mono" w:cs="JetBrains Mono" w:eastAsia="JetBrains Mono" w:hAnsi="JetBrains Mono"/>
                <w:b/>
                <w:bCs/>
                <w:color w:val="1A1814"/>
                <w:sz w:val="18"/>
                <w:szCs w:val="18"/>
                <w:shd w:fill="F5F3ED" w:val="clear"/>
              </w:rPr>
              <w:t xml:space="preserve">transfers</w:t>
            </w:r>
          </w:p>
        </w:tc>
        <w:tc>
          <w:tcPr>
            <w:tcW w:type="dxa" w:w="677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shd w:fill="F1E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b/>
                <w:bCs/>
                <w:color w:val="1A1814"/>
                <w:sz w:val="20"/>
                <w:szCs w:val="20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2583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JetBrains Mono" w:cs="JetBrains Mono" w:eastAsia="JetBrains Mono" w:hAnsi="JetBrains Mono"/>
                <w:color w:val="1A1814"/>
                <w:sz w:val="18"/>
                <w:szCs w:val="18"/>
                <w:shd w:fill="F5F3ED" w:val="clear"/>
              </w:rPr>
              <w:t xml:space="preserve">send_amount</w:t>
            </w:r>
          </w:p>
        </w:tc>
        <w:tc>
          <w:tcPr>
            <w:tcW w:type="dxa" w:w="677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Lo que José ingresa</w:t>
            </w:r>
          </w:p>
        </w:tc>
      </w:tr>
      <w:tr>
        <w:trPr>
          <w:cantSplit/>
        </w:trPr>
        <w:tc>
          <w:tcPr>
            <w:tcW w:type="dxa" w:w="2583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JetBrains Mono" w:cs="JetBrains Mono" w:eastAsia="JetBrains Mono" w:hAnsi="JetBrains Mono"/>
                <w:color w:val="1A1814"/>
                <w:sz w:val="18"/>
                <w:szCs w:val="18"/>
                <w:shd w:fill="F5F3ED" w:val="clear"/>
              </w:rPr>
              <w:t xml:space="preserve">fee_amount</w:t>
            </w:r>
          </w:p>
        </w:tc>
        <w:tc>
          <w:tcPr>
            <w:tcW w:type="dxa" w:w="677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JetBrains Mono" w:cs="JetBrains Mono" w:eastAsia="JetBrains Mono" w:hAnsi="JetBrains Mono"/>
                <w:color w:val="1A1814"/>
                <w:sz w:val="18"/>
                <w:szCs w:val="18"/>
                <w:shd w:fill="F5F3ED" w:val="clear"/>
              </w:rPr>
              <w:t xml:space="preserve">2.99 + send_amount × 0.015</w:t>
            </w: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, calculado en el servidor</w:t>
            </w:r>
          </w:p>
        </w:tc>
      </w:tr>
      <w:tr>
        <w:trPr>
          <w:cantSplit/>
        </w:trPr>
        <w:tc>
          <w:tcPr>
            <w:tcW w:type="dxa" w:w="2583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JetBrains Mono" w:cs="JetBrains Mono" w:eastAsia="JetBrains Mono" w:hAnsi="JetBrains Mono"/>
                <w:color w:val="1A1814"/>
                <w:sz w:val="18"/>
                <w:szCs w:val="18"/>
                <w:shd w:fill="F5F3ED" w:val="clear"/>
              </w:rPr>
              <w:t xml:space="preserve">exchange_rate</w:t>
            </w:r>
          </w:p>
        </w:tc>
        <w:tc>
          <w:tcPr>
            <w:tcW w:type="dxa" w:w="677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Work Sans" w:cs="Work Sans" w:eastAsia="Work Sans" w:hAnsi="Work Sans"/>
                <w:color w:val="4A4640"/>
                <w:sz w:val="20"/>
                <w:szCs w:val="20"/>
              </w:rPr>
              <w:t xml:space="preserve">Tasa mock congelada al momento de crear</w:t>
            </w:r>
          </w:p>
        </w:tc>
      </w:tr>
      <w:tr>
        <w:trPr>
          <w:cantSplit/>
        </w:trPr>
        <w:tc>
          <w:tcPr>
            <w:tcW w:type="dxa" w:w="2583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JetBrains Mono" w:cs="JetBrains Mono" w:eastAsia="JetBrains Mono" w:hAnsi="JetBrains Mono"/>
                <w:color w:val="1A1814"/>
                <w:sz w:val="18"/>
                <w:szCs w:val="18"/>
                <w:shd w:fill="F5F3ED" w:val="clear"/>
              </w:rPr>
              <w:t xml:space="preserve">receive_amount</w:t>
            </w:r>
          </w:p>
        </w:tc>
        <w:tc>
          <w:tcPr>
            <w:tcW w:type="dxa" w:w="6777"/>
            <w:tcBorders>
              <w:top w:val="single" w:color="D6D1C7" w:sz="4"/>
              <w:left w:val="single" w:color="D6D1C7" w:sz="4"/>
              <w:bottom w:val="single" w:color="D6D1C7" w:sz="4"/>
              <w:right w:val="single" w:color="D6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JetBrains Mono" w:cs="JetBrains Mono" w:eastAsia="JetBrains Mono" w:hAnsi="JetBrains Mono"/>
                <w:color w:val="1A1814"/>
                <w:sz w:val="18"/>
                <w:szCs w:val="18"/>
                <w:shd w:fill="F5F3ED" w:val="clear"/>
              </w:rPr>
              <w:t xml:space="preserve">(send_amount − fee_amount) × exchange_rate</w:t>
            </w:r>
          </w:p>
        </w:tc>
      </w:tr>
    </w:tbl>
    <w:p>
      <w:pPr>
        <w:spacing w:after="120"/>
      </w:pPr>
    </w:p>
    <w:p>
      <w:pPr>
        <w:pStyle w:val="Normal"/>
      </w:pP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Endpoints involucrados:</w:t>
      </w:r>
    </w:p>
    <w:p>
      <w:pPr>
        <w:pStyle w:val="ListParagraph"/>
        <w:numPr>
          <w:ilvl w:val="0"/>
          <w:numId w:val="3"/>
        </w:numPr>
      </w:pP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POST /api/quote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→ devuelve el desglose sin crear nada (la pantalla previa de José).</w:t>
      </w:r>
    </w:p>
    <w:p>
      <w:pPr>
        <w:pStyle w:val="ListParagraph"/>
        <w:numPr>
          <w:ilvl w:val="0"/>
          <w:numId w:val="3"/>
        </w:numPr>
      </w:pP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POST /api/transfers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→ valida todo en el servidor, guarda el desglose completo.</w:t>
      </w:r>
    </w:p>
    <w:p>
      <w:pPr>
        <w:pStyle w:val="ListParagraph"/>
        <w:numPr>
          <w:ilvl w:val="0"/>
          <w:numId w:val="3"/>
        </w:numPr>
      </w:pPr>
      <w:r>
        <w:rPr>
          <w:rFonts w:ascii="JetBrains Mono" w:cs="JetBrains Mono" w:eastAsia="JetBrains Mono" w:hAnsi="JetBrains Mono"/>
          <w:color w:val="1A1814"/>
          <w:sz w:val="20"/>
          <w:szCs w:val="20"/>
          <w:shd w:fill="F5F3ED" w:val="clear"/>
        </w:rPr>
        <w:t xml:space="preserve">GET /api/transfers/:id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→ María ve el mismo desglose por tracking.</w:t>
      </w:r>
    </w:p>
    <w:p>
      <w:pPr>
        <w:pStyle w:val="Normal"/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Regla técnica innegociable (de la rúbrica):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el frontend solo muestra; todo cálculo se valida en el servidor.</w:t>
      </w:r>
    </w:p>
    <w:p>
      <w:pPr>
        <w:pBdr>
          <w:bottom w:val="single" w:color="D6D1C7" w:sz="6" w:space="1"/>
        </w:pBdr>
        <w:spacing w:before="120" w:after="240"/>
      </w:pPr>
    </w:p>
    <w:p>
      <w:pPr>
        <w:pStyle w:val="Heading2"/>
      </w:pPr>
      <w:r>
        <w:rPr>
          <w:rFonts w:ascii="Lora" w:cs="Lora" w:eastAsia="Lora" w:hAnsi="Lora"/>
        </w:rPr>
        <w:t xml:space="preserve">6. KPIs conectados a este modelo</w:t>
      </w:r>
    </w:p>
    <w:p>
      <w:pPr>
        <w:pStyle w:val="ListParagraph"/>
        <w:numPr>
          <w:ilvl w:val="0"/>
          <w:numId w:val="4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Abandono en la pantalla de cotización: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si el desglose confunde, los usuarios se van antes de confirmar. Meta del simulador: medirlo y discutirlo.</w:t>
      </w:r>
    </w:p>
    <w:p>
      <w:pPr>
        <w:pStyle w:val="ListParagraph"/>
        <w:numPr>
          <w:ilvl w:val="0"/>
          <w:numId w:val="4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Costo efectivo promedio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vs. benchmark del mercado (3.5%): nuestra narrativa es estar por debajo.</w:t>
      </w:r>
    </w:p>
    <w:p>
      <w:pPr>
        <w:pStyle w:val="ListParagraph"/>
        <w:numPr>
          <w:ilvl w:val="0"/>
          <w:numId w:val="4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% de envíos donde el destinatario consulta el tracking: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proxy de confianza en el monto prometido.</w:t>
      </w:r>
    </w:p>
    <w:p>
      <w:pPr>
        <w:pBdr>
          <w:bottom w:val="single" w:color="D6D1C7" w:sz="6" w:space="1"/>
        </w:pBdr>
        <w:spacing w:before="120" w:after="240"/>
      </w:pPr>
    </w:p>
    <w:p>
      <w:pPr>
        <w:pStyle w:val="Heading2"/>
      </w:pPr>
      <w:r>
        <w:rPr>
          <w:rFonts w:ascii="Lora" w:cs="Lora" w:eastAsia="Lora" w:hAnsi="Lora"/>
        </w:rPr>
        <w:t xml:space="preserve">7. Resumen para los evaluadores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Estructura: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fija ($2.99) + porcentaje (1.5%), estándar de la industria y calibrada bajo el promedio del mercado (~2.25% en el envío típico vs. 3.5% del mercado).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Diferenciador: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tipo de cambio sin margen oculto; el costo total es visible antes de confirmar.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Comunicación: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una sola cifra de comisión en pantalla, desglose completo a un toque, monto final garantizado y congelado, lenguaje sin jerga.</w:t>
      </w:r>
    </w:p>
    <w:p>
      <w:pPr>
        <w:pStyle w:val="ListParagraph"/>
        <w:numPr>
          <w:ilvl w:val="0"/>
          <w:numId w:val="3"/>
        </w:numPr>
      </w:pPr>
      <w:r>
        <w:rPr>
          <w:rFonts w:ascii="Work Sans" w:cs="Work Sans" w:eastAsia="Work Sans" w:hAnsi="Work Sans"/>
          <w:b/>
          <w:bCs/>
          <w:color w:val="4A4640"/>
          <w:sz w:val="22"/>
          <w:szCs w:val="22"/>
        </w:rPr>
        <w:t xml:space="preserve">Implementación:</w:t>
      </w:r>
      <w:r>
        <w:rPr>
          <w:rFonts w:ascii="Work Sans" w:cs="Work Sans" w:eastAsia="Work Sans" w:hAnsi="Work Sans"/>
          <w:color w:val="4A4640"/>
          <w:sz w:val="22"/>
          <w:szCs w:val="22"/>
        </w:rPr>
        <w:t xml:space="preserve"> cada transferencia guarda monto, comisión, tasa y monto recibido; el servidor valida todo.</w:t>
      </w:r>
    </w:p>
    <w:p>
      <w:pPr>
        <w:pStyle w:val="Normal"/>
      </w:pPr>
      <w:r>
        <w:rPr>
          <w:rFonts w:ascii="Work Sans" w:cs="Work Sans" w:eastAsia="Work Sans" w:hAnsi="Work Sans"/>
          <w:i/>
          <w:iCs/>
          <w:color w:val="4A4640"/>
          <w:sz w:val="22"/>
          <w:szCs w:val="22"/>
        </w:rPr>
        <w:t xml:space="preserve">Fuentes: Banco Mundial, Remittance Prices Worldwide (corredor EE. UU.–El Salvador, Q3 2025); estructuras públicas de Remitly y Wise; BCR (estadísticas de remesas 2024–2025).</w:t>
      </w:r>
    </w:p>
    <w:sectPr>
      <w:headerReference w:type="default" r:id="rId6"/>
      <w:headerReference w:type="firs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ork Sans">
    <w:family w:val="auto"/>
    <w:pitch w:val="variable"/>
    <w:sig w:usb0="E0002AFF" w:usb1="C000247B" w:usb2="00000009" w:usb3="00000000" w:csb0="000001FF" w:csb1="00000000"/>
    <w:embedRegular r:id="rId1" w:fontKey="{4DA2DB65-D691-1514-CC90-E85BC4350A9C}"/>
  </w:font>
  <w:font w:name="Lora">
    <w:family w:val="auto"/>
    <w:pitch w:val="variable"/>
    <w:sig w:usb0="E0002AFF" w:usb1="C000247B" w:usb2="00000009" w:usb3="00000000" w:csb0="000001FF" w:csb1="00000000"/>
    <w:embedRegular r:id="rId2" w:fontKey="{519FC8EE-022B-1D0A-B63A-2BDC2C794603}"/>
  </w:font>
  <w:font w:name="JetBrains Mono">
    <w:family w:val="auto"/>
    <w:pitch w:val="variable"/>
    <w:sig w:usb0="E0002AFF" w:usb1="C000247B" w:usb2="00000009" w:usb3="00000000" w:csb0="000001FF" w:csb1="00000000"/>
    <w:embedRegular r:id="rId3" w:fontKey="{2591A34D-0340-58EC-BCFE-9AFCBA0E334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Work Sans" w:cs="Work Sans" w:eastAsia="Work Sans" w:hAnsi="Work Sans"/>
        <w:color w:val="8A847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Work Sans" w:cs="Work Sans" w:eastAsia="Work Sans" w:hAnsi="Work Sans"/>
        <w:color w:val="8A8478"/>
        <w:sz w:val="16"/>
        <w:szCs w:val="16"/>
      </w:rPr>
      <w:t xml:space="preserve">Modelo Teórico de Tarifas y Conversión (Fee &amp; Conversion Model)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  <w:lvl w:ilvl="1" w15:tentative="1">
      <w:start w:val="1"/>
      <w:numFmt w:val="bullet"/>
      <w:lvlText w:val="☐"/>
      <w:lvlJc w:val="left"/>
      <w:pPr>
        <w:ind w:left="1440" w:hanging="360"/>
      </w:pPr>
    </w:lvl>
    <w:lvl w:ilvl="2" w15:tentative="1">
      <w:start w:val="1"/>
      <w:numFmt w:val="bullet"/>
      <w:lvlText w:val="☐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720" w:hanging="360"/>
      </w:pPr>
    </w:lvl>
    <w:lvl w:ilvl="1" w15:tentative="1">
      <w:start w:val="1"/>
      <w:numFmt w:val="bullet"/>
      <w:lvlText w:val="☑"/>
      <w:lvlJc w:val="left"/>
      <w:pPr>
        <w:ind w:left="1440" w:hanging="360"/>
      </w:pPr>
    </w:lvl>
    <w:lvl w:ilvl="2" w15:tentative="1">
      <w:start w:val="1"/>
      <w:numFmt w:val="bullet"/>
      <w:lvlText w:val="☑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ork Sans" w:cs="Work Sans" w:eastAsia="Work Sans" w:hAnsi="Work Sans"/>
        <w:color w:val="4A46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60" w:line="300"/>
    </w:pPr>
    <w:rPr>
      <w:rFonts w:ascii="Work Sans" w:cs="Work Sans" w:eastAsia="Work Sans" w:hAnsi="Work Sans"/>
      <w:color w:val="4A4640"/>
      <w:sz w:val="22"/>
      <w:szCs w:val="22"/>
    </w:rPr>
  </w:style>
  <w:style w:type="paragraph" w:styleId="Title">
    <w:name w:val="Title"/>
    <w:basedOn w:val="Normal"/>
    <w:next w:val="Normal"/>
    <w:qFormat/>
    <w:pPr>
      <w:keepNext/>
      <w:spacing w:before="0" w:after="240" w:line="240"/>
    </w:pPr>
    <w:rPr>
      <w:rFonts w:ascii="Lora" w:cs="Lora" w:eastAsia="Lora" w:hAnsi="Lora"/>
      <w:color w:val="1A1814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60"/>
      <w:outlineLvl w:val="0"/>
    </w:pPr>
    <w:rPr>
      <w:rFonts w:ascii="Lora" w:cs="Lora" w:eastAsia="Lora" w:hAnsi="Lora"/>
      <w:b w:val="false"/>
      <w:bCs w:val="false"/>
      <w:color w:val="1A181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rFonts w:ascii="Lora" w:cs="Lora" w:eastAsia="Lora" w:hAnsi="Lora"/>
      <w:b w:val="false"/>
      <w:bCs w:val="false"/>
      <w:color w:val="1A181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100"/>
      <w:outlineLvl w:val="2"/>
    </w:pPr>
    <w:rPr>
      <w:rFonts w:ascii="Lora" w:cs="Lora" w:eastAsia="Lora" w:hAnsi="Lora"/>
      <w:b/>
      <w:bCs/>
      <w:color w:val="1A1814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80"/>
      <w:outlineLvl w:val="3"/>
    </w:pPr>
    <w:rPr>
      <w:rFonts w:ascii="Lora" w:cs="Lora" w:eastAsia="Lora" w:hAnsi="Lora"/>
      <w:b/>
      <w:bCs/>
      <w:color w:val="1A1814"/>
      <w:sz w:val="22"/>
      <w:szCs w:val="22"/>
    </w:rPr>
  </w:style>
  <w:style w:type="paragraph" w:styleId="ListParagraph">
    <w:name w:val="List Paragraph"/>
    <w:basedOn w:val="Normal"/>
    <w:qFormat/>
    <w:pPr>
      <w:spacing w:after="80" w:line="300"/>
    </w:pPr>
  </w:style>
  <w:style w:type="paragraph" w:styleId="Code">
    <w:name w:val="Code"/>
    <w:basedOn w:val="Normal"/>
    <w:pPr>
      <w:spacing w:before="0" w:after="0" w:line="260"/>
    </w:pPr>
    <w:rPr>
      <w:rFonts w:ascii="JetBrains Mono" w:cs="JetBrains Mono" w:eastAsia="JetBrains Mono" w:hAnsi="JetBrains Mono"/>
      <w:color w:val="1A1814"/>
      <w:sz w:val="18"/>
      <w:szCs w:val="18"/>
    </w:rPr>
  </w:style>
  <w:style w:type="paragraph" w:styleId="Quote">
    <w:name w:val="Quote"/>
    <w:basedOn w:val="Normal"/>
    <w:pPr>
      <w:spacing w:after="160"/>
      <w:ind w:left="360"/>
    </w:pPr>
    <w:rPr>
      <w:i/>
      <w:iCs/>
      <w:color w:val="8A8478"/>
    </w:rPr>
  </w:style>
  <w:style w:type="paragraph" w:styleId="Caption">
    <w:name w:val="Caption"/>
    <w:basedOn w:val="Normal"/>
    <w:pPr>
      <w:spacing w:before="60" w:after="200"/>
      <w:jc w:val="center"/>
    </w:pPr>
    <w:rPr>
      <w:i/>
      <w:iCs/>
      <w:color w:val="8A8478"/>
      <w:sz w:val="18"/>
      <w:szCs w:val="18"/>
    </w:rPr>
  </w:style>
  <w:style w:type="character" w:styleId="Hyperlink">
    <w:name w:val="Hyperlink"/>
    <w:uiPriority w:val="99"/>
    <w:unhideWhenUsed/>
    <w:rPr>
      <w:color w:val="1A1814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Work Sans.odttf"/><Relationship Id="rId2" Type="http://schemas.openxmlformats.org/officeDocument/2006/relationships/font" Target="fonts/Lora.odttf"/><Relationship Id="rId3" Type="http://schemas.openxmlformats.org/officeDocument/2006/relationships/font" Target="fonts/JetBrains Mono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Teórico de Tarifas y Conversión (Fee &amp; Conversion Model)</dc:title>
  <dc:creator>Fluso</dc:creator>
  <cp:lastModifiedBy>Un-named</cp:lastModifiedBy>
  <cp:revision>1</cp:revision>
  <dcterms:created xsi:type="dcterms:W3CDTF">2026-10-12T18:12:33.581Z</dcterms:created>
  <dcterms:modified xsi:type="dcterms:W3CDTF">2026-10-12T18:12:33.581Z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