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Lora" w:cs="Lora" w:eastAsia="Lora" w:hAnsi="Lora"/>
        </w:rPr>
        <w:t xml:space="preserve">Personas — Remittance Service</w:t>
      </w:r>
    </w:p>
    <w:p>
      <w:pPr>
        <w:pStyle w:val="Normal"/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Proyecto: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Simulador de Remesas · CUBO+ Build Sprint 2026 · Equipo 4</w:t>
      </w:r>
    </w:p>
    <w:p>
      <w:pPr>
        <w:pStyle w:val="Normal"/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Carpeta: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/strategy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· Entregable estratégico (perfil Non-Dev)</w:t>
      </w:r>
    </w:p>
    <w:p>
      <w:pPr>
        <w:pStyle w:val="Normal"/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Fecha: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12 de octubre de 2026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Por qué estas personas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El diseño del simulador parte de datos reales del mercado de remesas de El Salvador: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Las remesas familiares alcanzaron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US$8,479.7 millones en 2024 (24% del PIB)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y cerca de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US$9,988 millones en 2025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(BCR / Banco Mundial).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Más del 90% de las remesas provienen de Estados Unidos.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El remitente promedio salvadoreño en EE. UU. envía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~US$414 por envío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tiene ~44 años y un ingreso mensual de ~US$3,900.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El costo total promedio de enviar de EE. UU. a El Salvador es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~3.5% del monto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(comisión + margen de tipo de cambio, Remittance Prices Worldwide, Banco Mundial). Operadores como Remitly cobran 1.22% + $4.99 en retiro de efectivo.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De estos datos salen dos perfiles centrales: un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remitente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que trabaja en EE. UU. y envía ~$400 al mes, y una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destinataria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en El Salvador que depende de ese dinero y necesita certeza sobre cuánto le llega y cuándo. La regla del caso es clara: ninguno de los dos domina términos financieros ni de Bitcoin.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Persona 1 — El Remitente (Sender)</w:t>
      </w:r>
    </w:p>
    <w:p>
      <w:pPr>
        <w:pStyle w:val="Heading3"/>
      </w:pPr>
      <w:r>
        <w:rPr>
          <w:rFonts w:ascii="Lora" w:cs="Lora" w:eastAsia="Lora" w:hAnsi="Lora"/>
        </w:rPr>
        <w:t xml:space="preserve">"José" — Trabajador en el extranjero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6"/>
        <w:gridCol w:w="7414"/>
      </w:tblGrid>
      <w:tr>
        <w:trPr>
          <w:cantSplit/>
          <w:tblHeader/>
        </w:trPr>
        <w:tc>
          <w:tcPr>
            <w:tcW w:type="dxa" w:w="194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</w:p>
        </w:tc>
        <w:tc>
          <w:tcPr>
            <w:tcW w:type="dxa" w:w="741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194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Edad</w:t>
            </w:r>
          </w:p>
        </w:tc>
        <w:tc>
          <w:tcPr>
            <w:tcW w:type="dxa" w:w="741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44 años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Ubicación</w:t>
            </w:r>
          </w:p>
        </w:tc>
        <w:tc>
          <w:tcPr>
            <w:tcW w:type="dxa" w:w="741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Houston, Texas, EE. UU.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Ocupación</w:t>
            </w:r>
          </w:p>
        </w:tc>
        <w:tc>
          <w:tcPr>
            <w:tcW w:type="dxa" w:w="741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Trabajador de construcción, jornadas de 10 horas, 6 días por semana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Ingreso</w:t>
            </w:r>
          </w:p>
        </w:tc>
        <w:tc>
          <w:tcPr>
            <w:tcW w:type="dxa" w:w="741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~US$3,900 al mes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Nivel educativo</w:t>
            </w:r>
          </w:p>
        </w:tc>
        <w:tc>
          <w:tcPr>
            <w:tcW w:type="dxa" w:w="741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Bachillerato incompleto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741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Smartphone Android de gama media-baja; usa WhatsApp y Facebook a diario; nunca ha usado una app de inversión ni de cripto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Idioma</w:t>
            </w:r>
          </w:p>
        </w:tc>
        <w:tc>
          <w:tcPr>
            <w:tcW w:type="dxa" w:w="741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Español; inglés funcional básico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Lora" w:cs="Lora" w:eastAsia="Lora" w:hAnsi="Lora"/>
        </w:rPr>
        <w:t xml:space="preserve">Situación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José salió de San Miguel hace 9 años. Envía dinero a su madre y a su esposa una o dos veces al mes, entre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US$350 y US$450 por envío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. Ese dinero paga comida, la escuela de sus hijos y las medicinas de su mamá. No es un gasto discrecional: es el presupuesto familiar.</w:t>
      </w:r>
    </w:p>
    <w:p>
      <w:pPr>
        <w:pStyle w:val="Heading3"/>
      </w:pPr>
      <w:r>
        <w:rPr>
          <w:rFonts w:ascii="Lora" w:cs="Lora" w:eastAsia="Lora" w:hAnsi="Lora"/>
        </w:rPr>
        <w:t xml:space="preserve">Cómo envía hoy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Usa la agencia de remesas que le queda cerca del trabajo, o la app de un operador conocido cuando tiene tiempo de configurarla. Paga en efectivo o con débito. No compara entre servicios: usa el que ya conoce porque "fallar" con el dinero de la familia no es una opción.</w:t>
      </w:r>
    </w:p>
    <w:p>
      <w:pPr>
        <w:pStyle w:val="Heading3"/>
      </w:pPr>
      <w:r>
        <w:rPr>
          <w:rFonts w:ascii="Lora" w:cs="Lora" w:eastAsia="Lora" w:hAnsi="Lora"/>
        </w:rPr>
        <w:t xml:space="preserve">Frustraciones (pain points)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No sabe exactamente cuánto le llega a su familia.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Ve la comisión en el recibo, pero el tipo de cambio que le aplican nunca queda claro. "Mando $400 y allá reciben $382, ¿por qué?"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Descubre el costo real después de enviar.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El desglose llega cuando ya confirmó.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Ansiedad por el estado del envío.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Si el dinero no aparece el mismo día, llama a su esposa varias veces y ninguno de los dos sabe qué pasó.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Lenguaje intimidante.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Términos como "exchange rate", "spread", "wallet" o "blockchain" lo hacen desconfiar de apps nuevas.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Tiempo limitado.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Su día libre es el domingo; hacer fila en una agencia le cuesta medio día.</w:t>
      </w:r>
    </w:p>
    <w:p>
      <w:pPr>
        <w:pStyle w:val="Heading3"/>
      </w:pPr>
      <w:r>
        <w:rPr>
          <w:rFonts w:ascii="Lora" w:cs="Lora" w:eastAsia="Lora" w:hAnsi="Lora"/>
        </w:rPr>
        <w:t xml:space="preserve">Qué necesita del producto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Ver,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antes de confirmar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una sola pantalla con: "Envías $400 · Comisión $X · Tipo de cambio de hoy · Tu familia recibe $Y exactos".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Un número de envío simple para rastrearlo, como rastrea un paquete.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Lenguaje de cero jerga: "le llegan", "comisión", "tarda aprox.", nunca "settlement" ni "txid".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Certeza de que el monto que vio en pantalla es el monto final.</w:t>
      </w:r>
    </w:p>
    <w:p>
      <w:pPr>
        <w:pStyle w:val="Heading3"/>
      </w:pPr>
      <w:r>
        <w:rPr>
          <w:rFonts w:ascii="Lora" w:cs="Lora" w:eastAsia="Lora" w:hAnsi="Lora"/>
        </w:rPr>
        <w:t xml:space="preserve">Cita que lo define</w:t>
      </w:r>
    </w:p>
    <w:p>
      <w:pPr>
        <w:pStyle w:val="Quote"/>
        <w:pBdr>
          <w:left w:val="single" w:color="D6D1C7" w:sz="12" w:space="8"/>
        </w:pBdr>
      </w:pPr>
      <w:r>
        <w:rPr>
          <w:rFonts w:ascii="Work Sans" w:cs="Work Sans" w:eastAsia="Work Sans" w:hAnsi="Work Sans"/>
          <w:i/>
          <w:iCs/>
          <w:color w:val="8A8478"/>
          <w:sz w:val="22"/>
          <w:szCs w:val="22"/>
        </w:rPr>
        <w:t xml:space="preserve">"Yo no necesito entender cómo viaja el dinero. Necesito saber que de mis $400, a mi mamá le llegan completitos y saber cuándo."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Persona 2 — La Destinataria (Recipient)</w:t>
      </w:r>
    </w:p>
    <w:p>
      <w:pPr>
        <w:pStyle w:val="Heading3"/>
      </w:pPr>
      <w:r>
        <w:rPr>
          <w:rFonts w:ascii="Lora" w:cs="Lora" w:eastAsia="Lora" w:hAnsi="Lora"/>
        </w:rPr>
        <w:t xml:space="preserve">"María" — Familiar en el país de origen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29"/>
        <w:gridCol w:w="6531"/>
      </w:tblGrid>
      <w:tr>
        <w:trPr>
          <w:cantSplit/>
          <w:tblHeader/>
        </w:trPr>
        <w:tc>
          <w:tcPr>
            <w:tcW w:type="dxa" w:w="28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</w:p>
        </w:tc>
        <w:tc>
          <w:tcPr>
            <w:tcW w:type="dxa" w:w="653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28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Edad</w:t>
            </w:r>
          </w:p>
        </w:tc>
        <w:tc>
          <w:tcPr>
            <w:tcW w:type="dxa" w:w="653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38 años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53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San Miguel, El Salvador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Ocupación</w:t>
            </w:r>
          </w:p>
        </w:tc>
        <w:tc>
          <w:tcPr>
            <w:tcW w:type="dxa" w:w="653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Tienda informal en casa (pupusería y venta de víveres)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Ingreso</w:t>
            </w:r>
          </w:p>
        </w:tc>
        <w:tc>
          <w:tcPr>
            <w:tcW w:type="dxa" w:w="653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Variable, ~US$300 al mes propios + las remesas de su esposo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Nivel educativo</w:t>
            </w:r>
          </w:p>
        </w:tc>
        <w:tc>
          <w:tcPr>
            <w:tcW w:type="dxa" w:w="653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Bachillerato completo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53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Smartphone con datos limitados; WhatsApp es su canal principal; tiene cuenta bancaria pero prefiere efectivo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Relación con el remitente</w:t>
            </w:r>
          </w:p>
        </w:tc>
        <w:tc>
          <w:tcPr>
            <w:tcW w:type="dxa" w:w="653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Esposa de José; administra el presupuesto de la casa y cuida a la suegra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Lora" w:cs="Lora" w:eastAsia="Lora" w:hAnsi="Lora"/>
        </w:rPr>
        <w:t xml:space="preserve">Situación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María recibe el dinero que manda José y lo estira para todo el mes: mercado, colegiaturas, medicinas, imprevistos. La remesa representa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más de la mitad del ingreso del hogar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. Cuando el envío se retrasa, tiene que fiar en la tienda de la esquina o pedir prestado.</w:t>
      </w:r>
    </w:p>
    <w:p>
      <w:pPr>
        <w:pStyle w:val="Heading3"/>
      </w:pPr>
      <w:r>
        <w:rPr>
          <w:rFonts w:ascii="Lora" w:cs="Lora" w:eastAsia="Lora" w:hAnsi="Lora"/>
        </w:rPr>
        <w:t xml:space="preserve">Cómo recibe hoy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Retira en efectivo en una agencia o punto de pago cercano. A veces le depositan, pero retirar en ventanilla le genera filas y le quita horas de su tienda. Se entera de que llegó el dinero porque José le avisa por WhatsApp o porque ella llama a preguntar.</w:t>
      </w:r>
    </w:p>
    <w:p>
      <w:pPr>
        <w:pStyle w:val="Heading3"/>
      </w:pPr>
      <w:r>
        <w:rPr>
          <w:rFonts w:ascii="Lora" w:cs="Lora" w:eastAsia="Lora" w:hAnsi="Lora"/>
        </w:rPr>
        <w:t xml:space="preserve">Frustraciones (pain points)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Incertidumbre sobre cuánto recibirá.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A veces espera un monto y le entregan menos; no entiende si fue comisión, tipo de cambio o un error.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No sabe cuándo ir a retirar.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Va a la agencia "a ver si ya llegó" y pierde la mañana si aún no está.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Depende de que José le avise.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Si él está trabajando y no contesta, ella no tiene forma de verificar el envío por sí misma.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Le da desconfianza dar sus datos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o descargar apps que le piden muchos permisos.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No entiende el inglés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de los recibos ni de las apps de los operadores.</w:t>
      </w:r>
    </w:p>
    <w:p>
      <w:pPr>
        <w:pStyle w:val="Heading3"/>
      </w:pPr>
      <w:r>
        <w:rPr>
          <w:rFonts w:ascii="Lora" w:cs="Lora" w:eastAsia="Lora" w:hAnsi="Lora"/>
        </w:rPr>
        <w:t xml:space="preserve">Qué necesita del producto</w:t>
      </w:r>
    </w:p>
    <w:p>
      <w:pPr>
        <w:pStyle w:val="ListParagraph"/>
        <w:numPr>
          <w:ilvl w:val="0"/>
          <w:numId w:val="4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Poder consultar ella misma, con el número de envío,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cuánto le llega exactamente y en qué estado está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sin depender de que José le escriba.</w:t>
      </w:r>
    </w:p>
    <w:p>
      <w:pPr>
        <w:pStyle w:val="ListParagraph"/>
        <w:numPr>
          <w:ilvl w:val="0"/>
          <w:numId w:val="4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Un mensaje claro de "ya puedes retirar" con el monto exacto y el lugar o método de retiro.</w:t>
      </w:r>
    </w:p>
    <w:p>
      <w:pPr>
        <w:pStyle w:val="ListParagraph"/>
        <w:numPr>
          <w:ilvl w:val="0"/>
          <w:numId w:val="4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Información en español, simple y en letra legible, que funcione con poca señal.</w:t>
      </w:r>
    </w:p>
    <w:p>
      <w:pPr>
        <w:pStyle w:val="ListParagraph"/>
        <w:numPr>
          <w:ilvl w:val="0"/>
          <w:numId w:val="4"/>
        </w:numPr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Un comprobante que pueda mostrar en ventanilla si algo no cuadra.</w:t>
      </w:r>
    </w:p>
    <w:p>
      <w:pPr>
        <w:pStyle w:val="Heading3"/>
      </w:pPr>
      <w:r>
        <w:rPr>
          <w:rFonts w:ascii="Lora" w:cs="Lora" w:eastAsia="Lora" w:hAnsi="Lora"/>
        </w:rPr>
        <w:t xml:space="preserve">Cita que la define</w:t>
      </w:r>
    </w:p>
    <w:p>
      <w:pPr>
        <w:pStyle w:val="Quote"/>
        <w:pBdr>
          <w:left w:val="single" w:color="D6D1C7" w:sz="12" w:space="8"/>
        </w:pBdr>
      </w:pPr>
      <w:r>
        <w:rPr>
          <w:rFonts w:ascii="Work Sans" w:cs="Work Sans" w:eastAsia="Work Sans" w:hAnsi="Work Sans"/>
          <w:i/>
          <w:iCs/>
          <w:color w:val="8A8478"/>
          <w:sz w:val="22"/>
          <w:szCs w:val="22"/>
        </w:rPr>
        <w:t xml:space="preserve">"No me manden el número de transacción de 20 letras. Díganme: llegaron $382, ya los puedes retirar en la agencia de la esquina."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La relación entre ambos: el hilo conductor del diseño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José y María son las dos puntas de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una sola transferencia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. Todo lo que el sistema muestre a uno debe ser consistente con lo que ve la otra: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2"/>
        <w:gridCol w:w="4259"/>
        <w:gridCol w:w="3329"/>
      </w:tblGrid>
      <w:tr>
        <w:trPr>
          <w:cantSplit/>
          <w:tblHeader/>
        </w:trPr>
        <w:tc>
          <w:tcPr>
            <w:tcW w:type="dxa" w:w="177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Momento</w:t>
            </w:r>
          </w:p>
        </w:tc>
        <w:tc>
          <w:tcPr>
            <w:tcW w:type="dxa" w:w="425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José (sender)</w:t>
            </w:r>
          </w:p>
        </w:tc>
        <w:tc>
          <w:tcPr>
            <w:tcW w:type="dxa" w:w="33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María (recipient)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Antes de enviar</w:t>
            </w:r>
          </w:p>
        </w:tc>
        <w:tc>
          <w:tcPr>
            <w:tcW w:type="dxa" w:w="425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Ve el desglose: $400 → comisión → tipo de cambio → recibe $382</w:t>
            </w:r>
          </w:p>
        </w:tc>
        <w:tc>
          <w:tcPr>
            <w:tcW w:type="dxa" w:w="33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Al confirmar</w:t>
            </w:r>
          </w:p>
        </w:tc>
        <w:tc>
          <w:tcPr>
            <w:tcW w:type="dxa" w:w="425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Recibe el ID del envío y el tiempo estimado</w:t>
            </w:r>
          </w:p>
        </w:tc>
        <w:tc>
          <w:tcPr>
            <w:tcW w:type="dxa" w:w="33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(José le comparte el ID por WhatsApp)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En proceso</w:t>
            </w:r>
          </w:p>
        </w:tc>
        <w:tc>
          <w:tcPr>
            <w:tcW w:type="dxa" w:w="425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Ve el estado "En camino"</w:t>
            </w:r>
          </w:p>
        </w:tc>
        <w:tc>
          <w:tcPr>
            <w:tcW w:type="dxa" w:w="33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Consulta el ID y ve "En camino"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25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Ve "Entregado"</w:t>
            </w:r>
          </w:p>
        </w:tc>
        <w:tc>
          <w:tcPr>
            <w:tcW w:type="dxa" w:w="33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Ve "Ya puedes retirar $382" + comprobante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Si algo falla</w:t>
            </w:r>
          </w:p>
        </w:tc>
        <w:tc>
          <w:tcPr>
            <w:tcW w:type="dxa" w:w="425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Ve "Falló" + qué pasó con su dinero</w:t>
            </w:r>
          </w:p>
        </w:tc>
        <w:tc>
          <w:tcPr>
            <w:tcW w:type="dxa" w:w="3329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Ve un mensaje claro, no un error técnico</w:t>
            </w:r>
          </w:p>
        </w:tc>
      </w:tr>
    </w:tbl>
    <w:p>
      <w:pPr>
        <w:spacing w:after="120"/>
      </w:pPr>
    </w:p>
    <w:p>
      <w:pPr>
        <w:pStyle w:val="Normal"/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Implicación directa para el MVP: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el simulador necesita dos vistas sobre el mismo dato — la pantalla de envío/recibo (José) y la pantalla de seguimiento por ID (María) — ambas leyendo el mismo estado y el mismo desglose de montos. Por eso el desglose (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send_amount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fee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exchange_rate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receive_amount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) se guarda completo en cada transferencia y nunca se recalcula en el cliente.</w:t>
      </w:r>
    </w:p>
    <w:p>
      <w:pPr>
        <w:pStyle w:val="Heading2"/>
      </w:pPr>
      <w:r>
        <w:rPr>
          <w:rFonts w:ascii="Lora" w:cs="Lora" w:eastAsia="Lora" w:hAnsi="Lora"/>
        </w:rPr>
        <w:t xml:space="preserve">Cómo estas personas guían las decisiones del producto</w:t>
      </w:r>
    </w:p>
    <w:p>
      <w:pPr>
        <w:pStyle w:val="ListParagraph"/>
        <w:numPr>
          <w:ilvl w:val="0"/>
          <w:numId w:val="5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Transparencia antes de confirmar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(frustración #1 de José): la cotización muestra comisión separada del tipo de cambio y el monto final exacto, antes de crear la transferencia.</w:t>
      </w:r>
    </w:p>
    <w:p>
      <w:pPr>
        <w:pStyle w:val="ListParagraph"/>
        <w:numPr>
          <w:ilvl w:val="0"/>
          <w:numId w:val="5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Seguimiento por ID simple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(frustración #1 de María): el tracking funciona sin cuenta, solo con el identificador del envío.</w:t>
      </w:r>
    </w:p>
    <w:p>
      <w:pPr>
        <w:pStyle w:val="ListParagraph"/>
        <w:numPr>
          <w:ilvl w:val="0"/>
          <w:numId w:val="5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Estados en lenguaje humano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: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created → "Recibido"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processing → "En camino"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completed → "Listo para retirar"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failed → "No se pudo completar"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cancelled → "Cancelado"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KPIs inspirados en ellos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: tasa de abandono en la pantalla de cotización (¿el desglose asusta o aclara?), tiempo promedio de completado, y porcentaje de envíos consultados vía tracking por el destinatario.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Normal"/>
      </w:pPr>
      <w:r>
        <w:rPr>
          <w:rFonts w:ascii="Work Sans" w:cs="Work Sans" w:eastAsia="Work Sans" w:hAnsi="Work Sans"/>
          <w:i/>
          <w:iCs/>
          <w:color w:val="4A4640"/>
          <w:sz w:val="22"/>
          <w:szCs w:val="22"/>
        </w:rPr>
        <w:t xml:space="preserve">Fuentes: Banco Central de Reserva de El Salvador (remesas 2024–2025); Banco Mundial, Remittance Prices Worldwide (corredor EE. UU.–El Salvador, Q3 2025); perfiles de remitentes, estudios de remesas familiares en El Salvador.</w:t>
      </w:r>
    </w:p>
    <w:sectPr>
      <w:headerReference w:type="default" r:id="rId6"/>
      <w:headerReference w:type="firs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ork Sans">
    <w:family w:val="auto"/>
    <w:pitch w:val="variable"/>
    <w:sig w:usb0="E0002AFF" w:usb1="C000247B" w:usb2="00000009" w:usb3="00000000" w:csb0="000001FF" w:csb1="00000000"/>
    <w:embedRegular r:id="rId1" w:fontKey="{09E93708-73EE-1277-FD08-D1C509285897}"/>
  </w:font>
  <w:font w:name="Lora">
    <w:family w:val="auto"/>
    <w:pitch w:val="variable"/>
    <w:sig w:usb0="E0002AFF" w:usb1="C000247B" w:usb2="00000009" w:usb3="00000000" w:csb0="000001FF" w:csb1="00000000"/>
    <w:embedRegular r:id="rId2" w:fontKey="{159A75AC-2249-1BBD-A628-6FFEE40E49DE}"/>
  </w:font>
  <w:font w:name="JetBrains Mono">
    <w:family w:val="auto"/>
    <w:pitch w:val="variable"/>
    <w:sig w:usb0="E0002AFF" w:usb1="C000247B" w:usb2="00000009" w:usb3="00000000" w:csb0="000001FF" w:csb1="00000000"/>
    <w:embedRegular r:id="rId3" w:fontKey="{1ACA6FD7-10A4-EED2-763B-2480D928CA1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Work Sans" w:cs="Work Sans" w:eastAsia="Work Sans" w:hAnsi="Work Sans"/>
        <w:color w:val="8A847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Work Sans" w:cs="Work Sans" w:eastAsia="Work Sans" w:hAnsi="Work Sans"/>
        <w:color w:val="8A8478"/>
        <w:sz w:val="16"/>
        <w:szCs w:val="16"/>
      </w:rPr>
      <w:t xml:space="preserve">Personas — Remittance Service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  <w:lvl w:ilvl="1" w15:tentative="1">
      <w:start w:val="1"/>
      <w:numFmt w:val="bullet"/>
      <w:lvlText w:val="☐"/>
      <w:lvlJc w:val="left"/>
      <w:pPr>
        <w:ind w:left="1440" w:hanging="360"/>
      </w:pPr>
    </w:lvl>
    <w:lvl w:ilvl="2" w15:tentative="1">
      <w:start w:val="1"/>
      <w:numFmt w:val="bullet"/>
      <w:lvlText w:val="☐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720" w:hanging="360"/>
      </w:pPr>
    </w:lvl>
    <w:lvl w:ilvl="1" w15:tentative="1">
      <w:start w:val="1"/>
      <w:numFmt w:val="bullet"/>
      <w:lvlText w:val="☑"/>
      <w:lvlJc w:val="left"/>
      <w:pPr>
        <w:ind w:left="1440" w:hanging="360"/>
      </w:pPr>
    </w:lvl>
    <w:lvl w:ilvl="2" w15:tentative="1">
      <w:start w:val="1"/>
      <w:numFmt w:val="bullet"/>
      <w:lvlText w:val="☑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ork Sans" w:cs="Work Sans" w:eastAsia="Work Sans" w:hAnsi="Work Sans"/>
        <w:color w:val="4A46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60" w:line="300"/>
    </w:pPr>
    <w:rPr>
      <w:rFonts w:ascii="Work Sans" w:cs="Work Sans" w:eastAsia="Work Sans" w:hAnsi="Work Sans"/>
      <w:color w:val="4A4640"/>
      <w:sz w:val="22"/>
      <w:szCs w:val="22"/>
    </w:rPr>
  </w:style>
  <w:style w:type="paragraph" w:styleId="Title">
    <w:name w:val="Title"/>
    <w:basedOn w:val="Normal"/>
    <w:next w:val="Normal"/>
    <w:qFormat/>
    <w:pPr>
      <w:keepNext/>
      <w:spacing w:before="0" w:after="240" w:line="240"/>
    </w:pPr>
    <w:rPr>
      <w:rFonts w:ascii="Lora" w:cs="Lora" w:eastAsia="Lora" w:hAnsi="Lora"/>
      <w:color w:val="1A1814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60"/>
      <w:outlineLvl w:val="0"/>
    </w:pPr>
    <w:rPr>
      <w:rFonts w:ascii="Lora" w:cs="Lora" w:eastAsia="Lora" w:hAnsi="Lora"/>
      <w:b w:val="false"/>
      <w:bCs w:val="false"/>
      <w:color w:val="1A181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rFonts w:ascii="Lora" w:cs="Lora" w:eastAsia="Lora" w:hAnsi="Lora"/>
      <w:b w:val="false"/>
      <w:bCs w:val="false"/>
      <w:color w:val="1A181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100"/>
      <w:outlineLvl w:val="2"/>
    </w:pPr>
    <w:rPr>
      <w:rFonts w:ascii="Lora" w:cs="Lora" w:eastAsia="Lora" w:hAnsi="Lora"/>
      <w:b/>
      <w:bCs/>
      <w:color w:val="1A1814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80"/>
      <w:outlineLvl w:val="3"/>
    </w:pPr>
    <w:rPr>
      <w:rFonts w:ascii="Lora" w:cs="Lora" w:eastAsia="Lora" w:hAnsi="Lora"/>
      <w:b/>
      <w:bCs/>
      <w:color w:val="1A1814"/>
      <w:sz w:val="22"/>
      <w:szCs w:val="22"/>
    </w:rPr>
  </w:style>
  <w:style w:type="paragraph" w:styleId="ListParagraph">
    <w:name w:val="List Paragraph"/>
    <w:basedOn w:val="Normal"/>
    <w:qFormat/>
    <w:pPr>
      <w:spacing w:after="80" w:line="300"/>
    </w:pPr>
  </w:style>
  <w:style w:type="paragraph" w:styleId="Code">
    <w:name w:val="Code"/>
    <w:basedOn w:val="Normal"/>
    <w:pPr>
      <w:spacing w:before="0" w:after="0" w:line="260"/>
    </w:pPr>
    <w:rPr>
      <w:rFonts w:ascii="JetBrains Mono" w:cs="JetBrains Mono" w:eastAsia="JetBrains Mono" w:hAnsi="JetBrains Mono"/>
      <w:color w:val="1A1814"/>
      <w:sz w:val="18"/>
      <w:szCs w:val="18"/>
    </w:rPr>
  </w:style>
  <w:style w:type="paragraph" w:styleId="Quote">
    <w:name w:val="Quote"/>
    <w:basedOn w:val="Normal"/>
    <w:pPr>
      <w:spacing w:after="160"/>
      <w:ind w:left="360"/>
    </w:pPr>
    <w:rPr>
      <w:i/>
      <w:iCs/>
      <w:color w:val="8A8478"/>
    </w:rPr>
  </w:style>
  <w:style w:type="paragraph" w:styleId="Caption">
    <w:name w:val="Caption"/>
    <w:basedOn w:val="Normal"/>
    <w:pPr>
      <w:spacing w:before="60" w:after="200"/>
      <w:jc w:val="center"/>
    </w:pPr>
    <w:rPr>
      <w:i/>
      <w:iCs/>
      <w:color w:val="8A8478"/>
      <w:sz w:val="18"/>
      <w:szCs w:val="18"/>
    </w:rPr>
  </w:style>
  <w:style w:type="character" w:styleId="Hyperlink">
    <w:name w:val="Hyperlink"/>
    <w:uiPriority w:val="99"/>
    <w:unhideWhenUsed/>
    <w:rPr>
      <w:color w:val="1A181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Work Sans.odttf"/><Relationship Id="rId2" Type="http://schemas.openxmlformats.org/officeDocument/2006/relationships/font" Target="fonts/Lora.odttf"/><Relationship Id="rId3" Type="http://schemas.openxmlformats.org/officeDocument/2006/relationships/font" Target="fonts/JetBrains Mono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Personas — Remittance Service</dc:title>
  <dc:creator>Fluso</dc:creator>
  <cp:lastModifiedBy>Un-named</cp:lastModifiedBy>
  <cp:revision>1</cp:revision>
  <dcterms:created xsi:type="dcterms:W3CDTF">2026-10-12T17:57:13.372Z</dcterms:created>
  <dcterms:modified xsi:type="dcterms:W3CDTF">2026-10-12T17:57:13.372Z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