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Insurance Pricing Engine</w:t>
      </w:r>
    </w:p>
    <w:p>
      <w:pPr>
        <w:jc w:val="center"/>
      </w:pPr>
      <w:r>
        <w:rPr>
          <w:i/>
          <w:sz w:val="26"/>
        </w:rPr>
        <w:t>Motor de pricing de seguros - GLM (frequencia x severidade) + Explicabilidade (XAI)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Autor</w:t>
            </w:r>
          </w:p>
        </w:tc>
        <w:tc>
          <w:tcPr>
            <w:tcW w:type="dxa" w:w="4320"/>
          </w:tcPr>
          <w:p>
            <w:r>
              <w:t>Mateus de Pasquali da Silva</w:t>
            </w:r>
          </w:p>
        </w:tc>
      </w:tr>
      <w:tr>
        <w:tc>
          <w:tcPr>
            <w:tcW w:type="dxa" w:w="4320"/>
          </w:tcPr>
          <w:p>
            <w:r>
              <w:t>Posicionamento</w:t>
            </w:r>
          </w:p>
        </w:tc>
        <w:tc>
          <w:tcPr>
            <w:tcW w:type="dxa" w:w="4320"/>
          </w:tcPr>
          <w:p>
            <w:r>
              <w:t>Data Science aplicado a Pricing, Portfolio e Credit Risk (seguros)</w:t>
            </w:r>
          </w:p>
        </w:tc>
      </w:tr>
      <w:tr>
        <w:tc>
          <w:tcPr>
            <w:tcW w:type="dxa" w:w="4320"/>
          </w:tcPr>
          <w:p>
            <w:r>
              <w:t>Versao do documento</w:t>
            </w:r>
          </w:p>
        </w:tc>
        <w:tc>
          <w:tcPr>
            <w:tcW w:type="dxa" w:w="4320"/>
          </w:tcPr>
          <w:p>
            <w:r>
              <w:t>0.3.0</w:t>
            </w:r>
          </w:p>
        </w:tc>
      </w:tr>
      <w:tr>
        <w:tc>
          <w:tcPr>
            <w:tcW w:type="dxa" w:w="4320"/>
          </w:tcPr>
          <w:p>
            <w:r>
              <w:t>Ultima atualizacao</w:t>
            </w:r>
          </w:p>
        </w:tc>
        <w:tc>
          <w:tcPr>
            <w:tcW w:type="dxa" w:w="4320"/>
          </w:tcPr>
          <w:p>
            <w:r>
              <w:t>2026-06-29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v3 CONCLUIDA (MLOps: testes/CI, drift PSI, MLflow, Docker; v1+v2 completas)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insurance-pricing-engine/ (git local, sem remoto ainda)</w:t>
            </w:r>
          </w:p>
        </w:tc>
      </w:tr>
    </w:tbl>
    <w:p>
      <w:r>
        <w:br w:type="page"/>
      </w:r>
    </w:p>
    <w:p>
      <w:pPr>
        <w:pStyle w:val="Heading1"/>
      </w:pPr>
      <w:r>
        <w:t>1. Sumario executivo</w:t>
      </w:r>
    </w:p>
    <w:p>
      <w:r>
        <w:rPr>
          <w:b w:val="0"/>
          <w:i w:val="0"/>
        </w:rPr>
        <w:t>Este projeto constroi um motor de pricing de seguros pelo metodo atuarial classico (frequencia x severidade -&gt; premio puro), acrescido de uma camada de explicabilidade (SHAP) que compara um GLM - interpretavel por construcao - a um modelo de gradient boosting mais preciso. O objetivo e demonstrar, num contexto regulado, o dominio do trade-off precisao x interpretabilidade, cruzando a linha de pesquisa de XAI (mestrado) com a atuacao profissional em pricing.</w:t>
      </w:r>
    </w:p>
    <w:p>
      <w:r>
        <w:rPr>
          <w:b w:val="0"/>
          <w:i w:val="0"/>
        </w:rPr>
        <w:t>E o projeto flagship do portfolio: um unico repositorio que serve de espinha dorsal e absorve as demais frentes (otimizacao de premio, MLOps e score territorial brasileiro) como modulos do mesmo projeto.</w:t>
      </w:r>
    </w:p>
    <w:p>
      <w:pPr>
        <w:pStyle w:val="Heading1"/>
      </w:pPr>
      <w:r>
        <w:t>2. Objetivo e contexto de portfolio</w:t>
      </w:r>
    </w:p>
    <w:p>
      <w:r>
        <w:rPr>
          <w:b w:val="0"/>
          <w:i w:val="0"/>
        </w:rPr>
        <w:t>Lacunas que o projeto fecha para vagas de pricing/risco: modelagem preditiva regulada, otimizacao aplicada e deploy/MLOps. Diferencial a explorar: XAI (mestrado) x pricing (profissao). A narrativa de negocio do README e bilingue (PT/EN).</w:t>
      </w:r>
    </w:p>
    <w:p>
      <w:pPr>
        <w:pStyle w:val="Heading2"/>
      </w:pPr>
      <w:r>
        <w:t>Problema de negocio</w:t>
      </w:r>
    </w:p>
    <w:p>
      <w:r>
        <w:rPr>
          <w:b w:val="0"/>
          <w:i w:val="0"/>
        </w:rPr>
        <w:t>Uma seguradora precisa cobrar de cada apolice um premio que reflita o risco esperado - nem alto a ponto de perder o cliente, nem baixo a ponto de dar prejuizo. O custo esperado de sinistros decompoe-se em:</w:t>
      </w:r>
    </w:p>
    <w:p>
      <w:r>
        <w:rPr>
          <w:b/>
        </w:rPr>
        <w:t>Premio puro  =  Frequencia (sinistros/ano)  x  Severidade (custo medio por sinistro)</w:t>
      </w:r>
    </w:p>
    <w:p>
      <w:pPr>
        <w:pStyle w:val="Heading1"/>
      </w:pPr>
      <w:r>
        <w:t>3. Decisao de estrategia</w:t>
      </w:r>
    </w:p>
    <w:p>
      <w:r>
        <w:rPr>
          <w:b w:val="0"/>
          <w:i w:val="0"/>
        </w:rPr>
        <w:t>Decisao (2026-06-08): aprofundar um flagship modular, e nao montar uma trilha larga de varios projetos rasos. Razoes:</w:t>
      </w:r>
    </w:p>
    <w:p>
      <w:pPr>
        <w:pStyle w:val="ListBullet"/>
      </w:pPr>
      <w:r>
        <w:t>Tempo: emprego full-time + mestrado em andamento; um repositorio concentra o esforco.</w:t>
      </w:r>
    </w:p>
    <w:p>
      <w:pPr>
        <w:pStyle w:val="ListBullet"/>
      </w:pPr>
      <w:r>
        <w:t>Convergencia de gaps: modelagem regulada, otimizacao e MLOps cabem num unico projeto de pricing.</w:t>
      </w:r>
    </w:p>
    <w:p>
      <w:pPr>
        <w:pStyle w:val="ListBullet"/>
      </w:pPr>
      <w:r>
        <w:t>Diferencial unico: XAI x pricing some numa trilha generica; brilha num flagship.</w:t>
      </w:r>
    </w:p>
    <w:p>
      <w:pPr>
        <w:pStyle w:val="ListBullet"/>
      </w:pPr>
      <w:r>
        <w:t>Recrutador: clica em um link com demo viva e README de negocio, nao monta a trilha na cabeca.</w:t>
      </w:r>
    </w:p>
    <w:p>
      <w:r>
        <w:rPr>
          <w:b/>
          <w:i w:val="0"/>
        </w:rPr>
        <w:t>Frase de elevador:</w:t>
      </w:r>
    </w:p>
    <w:p>
      <w:r>
        <w:rPr>
          <w:b w:val="0"/>
          <w:i/>
        </w:rPr>
        <w:t>"Construi um sistema de pricing de seguros ponta a ponta: nucleo GLM regulado e explicavel, camada de otimizacao de premio por elasticidade, produtizado com monitoramento de drift."</w:t>
      </w:r>
    </w:p>
    <w:p>
      <w:pPr>
        <w:pStyle w:val="Heading1"/>
      </w:pPr>
      <w:r>
        <w:t>4. 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t>freMTPL2 (French Motor TPL)</w:t>
            </w:r>
          </w:p>
        </w:tc>
        <w:tc>
          <w:tcPr>
            <w:tcW w:type="dxa" w:w="2880"/>
          </w:tcPr>
          <w:p>
            <w:r>
              <w:t>v1 - primario</w:t>
            </w:r>
          </w:p>
        </w:tc>
        <w:tc>
          <w:tcPr>
            <w:tcW w:type="dxa" w:w="2880"/>
          </w:tcPr>
          <w:p>
            <w:r>
              <w:t>OpenML fetch_openml 41214/41215 (sem auth). Espelho Kaggle: karansarpal/...</w:t>
            </w:r>
          </w:p>
        </w:tc>
      </w:tr>
      <w:tr>
        <w:tc>
          <w:tcPr>
            <w:tcW w:type="dxa" w:w="2880"/>
          </w:tcPr>
          <w:p>
            <w:r>
              <w:t>Motor Vehicle Insurance Portfolio (ES, ~105k, 2015-2018)</w:t>
            </w:r>
          </w:p>
        </w:tc>
        <w:tc>
          <w:tcPr>
            <w:tcW w:type="dxa" w:w="2880"/>
          </w:tcPr>
          <w:p>
            <w:r>
              <w:t>v2 - preco/retencao reais</w:t>
            </w:r>
          </w:p>
        </w:tc>
        <w:tc>
          <w:tcPr>
            <w:tcW w:type="dxa" w:w="2880"/>
          </w:tcPr>
          <w:p>
            <w:r>
              <w:t>Kaggle mexwell/... = jocelyndumlao/... (espelhos); tem Premium + Lapse + renovacoes</w:t>
            </w:r>
          </w:p>
        </w:tc>
      </w:tr>
      <w:tr>
        <w:tc>
          <w:tcPr>
            <w:tcW w:type="dxa" w:w="2880"/>
          </w:tcPr>
          <w:p>
            <w:r>
              <w:t>Brazilian Motor Insurance Market</w:t>
            </w:r>
          </w:p>
        </w:tc>
        <w:tc>
          <w:tcPr>
            <w:tcW w:type="dxa" w:w="2880"/>
          </w:tcPr>
          <w:p>
            <w:r>
              <w:t>v4 - territorial BR</w:t>
            </w:r>
          </w:p>
        </w:tc>
        <w:tc>
          <w:tcPr>
            <w:tcW w:type="dxa" w:w="2880"/>
          </w:tcPr>
          <w:p>
            <w:r>
              <w:t>Kaggle rodrigodomingos/...; provavel SUSEP/Autoseg; casa com IBGE/CNEFE/CEP</w:t>
            </w:r>
          </w:p>
        </w:tc>
      </w:tr>
    </w:tbl>
    <w:p>
      <w:r>
        <w:rPr>
          <w:b w:val="0"/>
          <w:i w:val="0"/>
        </w:rPr>
        <w:t>Observacao: o portfolio espanhol traz preco cobrado e churn reais, eliminando a necessidade de simular demanda no v2 (e habilitando analise de sobrevivencia de lapso).</w:t>
      </w:r>
    </w:p>
    <w:p>
      <w:pPr>
        <w:pStyle w:val="Heading2"/>
      </w:pPr>
      <w:r>
        <w:t>Onde ficam as bases</w:t>
      </w:r>
    </w:p>
    <w:p>
      <w:pPr>
        <w:pStyle w:val="ListBullet"/>
      </w:pPr>
      <w:r>
        <w:t>freMTPL2: baixado via OpenML e cacheado em ~/scikit_learn_data; rode 'python download_datasets.py' para materializar copias em data/raw (CSV, ~35 MB).</w:t>
      </w:r>
    </w:p>
    <w:p>
      <w:pPr>
        <w:pStyle w:val="ListBullet"/>
      </w:pPr>
      <w:r>
        <w:t>ES (v2) e BR (v4): exigem credencial da API do Kaggle (kaggle.json em ~/.kaggle/) e sao baixadas pelo mesmo script para data/raw.</w:t>
      </w:r>
    </w:p>
    <w:p>
      <w:pPr>
        <w:pStyle w:val="ListBullet"/>
      </w:pPr>
      <w:r>
        <w:t>data/raw e data/processed sao gitignored (dado nao vai para o repositorio).</w:t>
      </w:r>
    </w:p>
    <w:p>
      <w:pPr>
        <w:pStyle w:val="Heading1"/>
      </w:pPr>
      <w:r>
        <w:t>5. Metodologia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Distribuicao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Observacao</w:t>
            </w:r>
          </w:p>
        </w:tc>
      </w:tr>
      <w:tr>
        <w:tc>
          <w:tcPr>
            <w:tcW w:type="dxa" w:w="2160"/>
          </w:tcPr>
          <w:p>
            <w:r>
              <w:t>Frequencia</w:t>
            </w:r>
          </w:p>
        </w:tc>
        <w:tc>
          <w:tcPr>
            <w:tcW w:type="dxa" w:w="2160"/>
          </w:tcPr>
          <w:p>
            <w:r>
              <w:t>GLM (PoissonRegressor)</w:t>
            </w:r>
          </w:p>
        </w:tc>
        <w:tc>
          <w:tcPr>
            <w:tcW w:type="dxa" w:w="2160"/>
          </w:tcPr>
          <w:p>
            <w:r>
              <w:t>Poisson / Neg. Binomial</w:t>
            </w:r>
          </w:p>
        </w:tc>
        <w:tc>
          <w:tcPr>
            <w:tcW w:type="dxa" w:w="2160"/>
          </w:tcPr>
          <w:p>
            <w:r>
              <w:t>Alvo = ClaimNb/Exposure; Exposure como peso (offset de exposicao)</w:t>
            </w:r>
          </w:p>
        </w:tc>
      </w:tr>
      <w:tr>
        <w:tc>
          <w:tcPr>
            <w:tcW w:type="dxa" w:w="2160"/>
          </w:tcPr>
          <w:p>
            <w:r>
              <w:t>Severidade</w:t>
            </w:r>
          </w:p>
        </w:tc>
        <w:tc>
          <w:tcPr>
            <w:tcW w:type="dxa" w:w="2160"/>
          </w:tcPr>
          <w:p>
            <w:r>
              <w:t>GLM (GammaRegressor)</w:t>
            </w:r>
          </w:p>
        </w:tc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Apenas apolices com sinistro; alvo = ClaimAmount/ClaimNb; peso = ClaimNb</w:t>
            </w:r>
          </w:p>
        </w:tc>
      </w:tr>
      <w:tr>
        <w:tc>
          <w:tcPr>
            <w:tcW w:type="dxa" w:w="2160"/>
          </w:tcPr>
          <w:p>
            <w:r>
              <w:t>Premio puro (produto)</w:t>
            </w:r>
          </w:p>
        </w:tc>
        <w:tc>
          <w:tcPr>
            <w:tcW w:type="dxa" w:w="2160"/>
          </w:tcPr>
          <w:p>
            <w:r>
              <w:t>Frequencia x Severidade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Multiplica os dois GLMs</w:t>
            </w:r>
          </w:p>
        </w:tc>
      </w:tr>
      <w:tr>
        <w:tc>
          <w:tcPr>
            <w:tcW w:type="dxa" w:w="2160"/>
          </w:tcPr>
          <w:p>
            <w:r>
              <w:t>Premio puro (direto)</w:t>
            </w:r>
          </w:p>
        </w:tc>
        <w:tc>
          <w:tcPr>
            <w:tcW w:type="dxa" w:w="2160"/>
          </w:tcPr>
          <w:p>
            <w:r>
              <w:t>GLM (TweedieRegressor)</w:t>
            </w:r>
          </w:p>
        </w:tc>
        <w:tc>
          <w:tcPr>
            <w:tcW w:type="dxa" w:w="2160"/>
          </w:tcPr>
          <w:p>
            <w:r>
              <w:t>Tweedie (power=1,9)</w:t>
            </w:r>
          </w:p>
        </w:tc>
        <w:tc>
          <w:tcPr>
            <w:tcW w:type="dxa" w:w="2160"/>
          </w:tcPr>
          <w:p>
            <w:r>
              <w:t>Compound Poisson-Gamma: trata zeros e cauda num modelo so</w:t>
            </w:r>
          </w:p>
        </w:tc>
      </w:tr>
      <w:tr>
        <w:tc>
          <w:tcPr>
            <w:tcW w:type="dxa" w:w="2160"/>
          </w:tcPr>
          <w:p>
            <w:r>
              <w:t>Explicabilidade</w:t>
            </w:r>
          </w:p>
        </w:tc>
        <w:tc>
          <w:tcPr>
            <w:tcW w:type="dxa" w:w="2160"/>
          </w:tcPr>
          <w:p>
            <w:r>
              <w:t>SHAP: GLM vs GBM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v1 - concluido (GBM bate GLM em +5,15%)</w:t>
            </w:r>
          </w:p>
        </w:tc>
      </w:tr>
    </w:tbl>
    <w:p>
      <w:pPr>
        <w:pStyle w:val="Heading1"/>
      </w:pPr>
      <w:r>
        <w:t>6. Resultados atuais (v1)</w:t>
      </w:r>
    </w:p>
    <w:p>
      <w:pPr>
        <w:pStyle w:val="Heading2"/>
      </w:pPr>
      <w:r>
        <w:t>6.1 Frequencia</w:t>
      </w:r>
    </w:p>
    <w:p>
      <w:r>
        <w:rPr>
          <w:b w:val="0"/>
          <w:i w:val="0"/>
        </w:rPr>
        <w:t>GLM Poisson sobre 678.013 apolices; frequencia media de 0,1005 sinistros/ano.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 Poisson Deviance (test)</w:t>
            </w:r>
          </w:p>
        </w:tc>
      </w:tr>
      <w:tr>
        <w:tc>
          <w:tcPr>
            <w:tcW w:type="dxa" w:w="4320"/>
          </w:tcPr>
          <w:p>
            <w:r>
              <w:t>Media ingenua</w:t>
            </w:r>
          </w:p>
        </w:tc>
        <w:tc>
          <w:tcPr>
            <w:tcW w:type="dxa" w:w="4320"/>
          </w:tcPr>
          <w:p>
            <w:r>
              <w:t>0,62738</w:t>
            </w:r>
          </w:p>
        </w:tc>
      </w:tr>
      <w:tr>
        <w:tc>
          <w:tcPr>
            <w:tcW w:type="dxa" w:w="4320"/>
          </w:tcPr>
          <w:p>
            <w:r>
              <w:t>GLM Poisson</w:t>
            </w:r>
          </w:p>
        </w:tc>
        <w:tc>
          <w:tcPr>
            <w:tcW w:type="dxa" w:w="4320"/>
          </w:tcPr>
          <w:p>
            <w:r>
              <w:t>0,60874  (-2,97%)</w:t>
            </w:r>
          </w:p>
        </w:tc>
      </w:tr>
    </w:tbl>
    <w:p>
      <w:pPr>
        <w:pStyle w:val="Heading2"/>
      </w:pPr>
      <w:r>
        <w:t>6.2 Premio puro</w:t>
      </w:r>
    </w:p>
    <w:p>
      <w:r>
        <w:rPr>
          <w:b w:val="0"/>
          <w:i w:val="0"/>
        </w:rPr>
        <w:t>Avaliacao em 135.603 apolices de teste (mean Tweedie deviance, p=1,9) e calibracao de carteira (total previsto / total real; sinistro real no teste = 11.868.104 EUR).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Abordagem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Tweedie Deviance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Total prev/real</w:t>
            </w:r>
          </w:p>
        </w:tc>
      </w:tr>
      <w:tr>
        <w:tc>
          <w:tcPr>
            <w:tcW w:type="dxa" w:w="2880"/>
          </w:tcPr>
          <w:p>
            <w:r>
              <w:t>Media ingenua</w:t>
            </w:r>
          </w:p>
        </w:tc>
        <w:tc>
          <w:tcPr>
            <w:tcW w:type="dxa" w:w="2880"/>
          </w:tcPr>
          <w:p>
            <w:r>
              <w:t>34,80</w:t>
            </w:r>
          </w:p>
        </w:tc>
        <w:tc>
          <w:tcPr>
            <w:tcW w:type="dxa" w:w="2880"/>
          </w:tcPr>
          <w:p>
            <w:r>
              <w:t>1,01</w:t>
            </w:r>
          </w:p>
        </w:tc>
      </w:tr>
      <w:tr>
        <w:tc>
          <w:tcPr>
            <w:tcW w:type="dxa" w:w="2880"/>
          </w:tcPr>
          <w:p>
            <w:r>
              <w:t>Frequencia x Severidade (Gamma)</w:t>
            </w:r>
          </w:p>
        </w:tc>
        <w:tc>
          <w:tcPr>
            <w:tcW w:type="dxa" w:w="2880"/>
          </w:tcPr>
          <w:p>
            <w:r>
              <w:t>34,69</w:t>
            </w:r>
          </w:p>
        </w:tc>
        <w:tc>
          <w:tcPr>
            <w:tcW w:type="dxa" w:w="2880"/>
          </w:tcPr>
          <w:p>
            <w:r>
              <w:t>1,33</w:t>
            </w:r>
          </w:p>
        </w:tc>
      </w:tr>
      <w:tr>
        <w:tc>
          <w:tcPr>
            <w:tcW w:type="dxa" w:w="2880"/>
          </w:tcPr>
          <w:p>
            <w:r>
              <w:t>Tweedie direto</w:t>
            </w:r>
          </w:p>
        </w:tc>
        <w:tc>
          <w:tcPr>
            <w:tcW w:type="dxa" w:w="2880"/>
          </w:tcPr>
          <w:p>
            <w:r>
              <w:t>34,46</w:t>
            </w:r>
          </w:p>
        </w:tc>
        <w:tc>
          <w:tcPr>
            <w:tcW w:type="dxa" w:w="2880"/>
          </w:tcPr>
          <w:p>
            <w:r>
              <w:t>1,04</w:t>
            </w:r>
          </w:p>
        </w:tc>
      </w:tr>
    </w:tbl>
    <w:p>
      <w:r>
        <w:rPr>
          <w:b w:val="0"/>
          <w:i w:val="0"/>
        </w:rPr>
        <w:t>Insight: o modelo frequencia x severidade ranqueia o risco, mas descalibra o total da carteira em +33% (cauda pesada da severidade no freMTPL2). O Tweedie direto vence em deviance e fica quase perfeitamente calibrado (1,04). Esse e o tipo de discussao precisao x calibracao que demonstra maturidade de pricing.</w:t>
      </w:r>
    </w:p>
    <w:p>
      <w:pPr>
        <w:pStyle w:val="Heading2"/>
      </w:pPr>
      <w:r>
        <w:t>6.3 Explicabilidade: GLM vs GBM (XAI)</w:t>
      </w:r>
    </w:p>
    <w:p>
      <w:r>
        <w:rPr>
          <w:b w:val="0"/>
          <w:i w:val="0"/>
        </w:rPr>
        <w:t>Desafiante GBM (HistGradientBoosting, loss Poisson) na mesma base de frequencia: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 Poisson Deviance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vs ingenuo</w:t>
            </w:r>
          </w:p>
        </w:tc>
      </w:tr>
      <w:tr>
        <w:tc>
          <w:tcPr>
            <w:tcW w:type="dxa" w:w="2880"/>
          </w:tcPr>
          <w:p>
            <w:r>
              <w:t>GLM (Poisson)</w:t>
            </w:r>
          </w:p>
        </w:tc>
        <w:tc>
          <w:tcPr>
            <w:tcW w:type="dxa" w:w="2880"/>
          </w:tcPr>
          <w:p>
            <w:r>
              <w:t>0,60874</w:t>
            </w:r>
          </w:p>
        </w:tc>
        <w:tc>
          <w:tcPr>
            <w:tcW w:type="dxa" w:w="2880"/>
          </w:tcPr>
          <w:p>
            <w:r>
              <w:t>+2,97%</w:t>
            </w:r>
          </w:p>
        </w:tc>
      </w:tr>
      <w:tr>
        <w:tc>
          <w:tcPr>
            <w:tcW w:type="dxa" w:w="2880"/>
          </w:tcPr>
          <w:p>
            <w:r>
              <w:t>GBM (Poisson)</w:t>
            </w:r>
          </w:p>
        </w:tc>
        <w:tc>
          <w:tcPr>
            <w:tcW w:type="dxa" w:w="2880"/>
          </w:tcPr>
          <w:p>
            <w:r>
              <w:t>0,57737</w:t>
            </w:r>
          </w:p>
        </w:tc>
        <w:tc>
          <w:tcPr>
            <w:tcW w:type="dxa" w:w="2880"/>
          </w:tcPr>
          <w:p>
            <w:r>
              <w:t>+7,97%</w:t>
            </w:r>
          </w:p>
        </w:tc>
      </w:tr>
    </w:tbl>
    <w:p>
      <w:r>
        <w:rPr>
          <w:b w:val="0"/>
          <w:i w:val="0"/>
        </w:rPr>
        <w:t>O GBM ganha +5,15% de deviance sobre o GLM ao capturar nao-linearidades e interacoes. A camada SHAP mostra que ele se apoia nos mesmos drivers atuarialmente coerentes que o GLM - BonusMalus, idade do veiculo e idade do condutor - logo o ganho de acuracia e confiavel, nao espurio. Esse e o trade-off precisao x interpretabilidade que pricing regulado precisa pesar.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gbm_frequ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Baselines propositalmente enxutos (sem feature engineering ainda); splines e interacoes estreitam a vantagem do GBM e reforcam a leitura via SHAP.</w:t>
      </w:r>
    </w:p>
    <w:p>
      <w:pPr>
        <w:pStyle w:val="Heading1"/>
      </w:pPr>
      <w:r>
        <w:t>7. Arquitetura do projeto</w:t>
      </w:r>
    </w:p>
    <w:p>
      <w:r>
        <w:rPr>
          <w:rFonts w:ascii="Consolas" w:hAnsi="Consolas"/>
          <w:sz w:val="18"/>
        </w:rPr>
        <w:t>insurance-pricing-engine/</w:t>
        <w:br/>
        <w:t xml:space="preserve">  src/pricing/</w:t>
        <w:br/>
        <w:t xml:space="preserve">    data.py          # loaders freMTPL2 (OpenML) + frame de modelagem</w:t>
        <w:br/>
        <w:t xml:space="preserve">    features.py      # pre-processamento compartilhado (one-hot + scaler)</w:t>
        <w:br/>
        <w:t xml:space="preserve">    frequency.py     # Poisson GLM</w:t>
        <w:br/>
        <w:t xml:space="preserve">    severity.py      # Gamma GLM</w:t>
        <w:br/>
        <w:t xml:space="preserve">    pure_premium.py  # Tweedie GLM</w:t>
        <w:br/>
        <w:t xml:space="preserve">    gbm.py           # HistGradientBoosting (challenger)</w:t>
        <w:br/>
        <w:t xml:space="preserve">    etl.py           # raw -&gt; processed (parquet)</w:t>
        <w:br/>
        <w:t xml:space="preserve">  run_etl.py                  # gera data/processed</w:t>
        <w:br/>
        <w:t xml:space="preserve">  run_frequency_baseline.py   # baseline de frequencia</w:t>
        <w:br/>
        <w:t xml:space="preserve">  run_pure_premium.py         # comparacao de premio puro</w:t>
        <w:br/>
        <w:t xml:space="preserve">  run_gbm_vs_glm.py           # GLM vs GBM + SHAP</w:t>
        <w:br/>
        <w:t xml:space="preserve">  download_datasets.py        # materializa as bases em data/raw</w:t>
        <w:br/>
        <w:t xml:space="preserve">  streamlit_app.py            # demo interativa (perfil -&gt; premio + SHAP)</w:t>
        <w:br/>
        <w:t xml:space="preserve">  notebooks/00_overview.ipynb # indice navegavel</w:t>
        <w:br/>
        <w:t xml:space="preserve">  notebooks/01_eda.ipynb      # narrativa: EDA executada</w:t>
        <w:br/>
        <w:t xml:space="preserve">  notebooks/02_modeling.ipynb # narrativa: modelos + SHAP</w:t>
        <w:br/>
        <w:t xml:space="preserve">  notebooks/03_diagnostics.ipynb # viz: relatividades, lift, Gini</w:t>
        <w:br/>
        <w:t xml:space="preserve">  docs/                       # esta documentacao (script + .docx)</w:t>
        <w:br/>
        <w:t xml:space="preserve">  reports/figures/  tests/  data/raw + data/processed (gitignored)</w:t>
        <w:br/>
        <w:t xml:space="preserve">  README.md  requirements.txt</w:t>
      </w:r>
    </w:p>
    <w:p>
      <w:pPr>
        <w:pStyle w:val="Heading1"/>
      </w:pPr>
      <w:r>
        <w:t>8. Como rodar</w:t>
      </w:r>
    </w:p>
    <w:p>
      <w:r>
        <w:rPr>
          <w:rFonts w:ascii="Consolas" w:hAnsi="Consolas"/>
          <w:sz w:val="20"/>
        </w:rPr>
        <w:t>pip install -r requirements.txt</w:t>
        <w:br/>
        <w:t>python run_frequency_baseline.py</w:t>
        <w:br/>
        <w:t>python run_pure_premium.py</w:t>
      </w:r>
    </w:p>
    <w:p>
      <w:r>
        <w:rPr>
          <w:b w:val="0"/>
          <w:i w:val="0"/>
        </w:rPr>
        <w:t>Ambiente: Python 3.14; scikit-learn 1.8, shap, pandas, numpy, matplotlib. O dado e baixado do OpenML na primeira execucao (cache local) - nao precisa de credencial Kaggle.</w:t>
      </w:r>
    </w:p>
    <w:p>
      <w:pPr>
        <w:pStyle w:val="Heading1"/>
      </w:pPr>
      <w:r>
        <w:t>9. Roadmap (flagship modular)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Nucleo GLM + XAI: freq, sev, premio puro, GBM+SHAP, notebooks, demo Streamlit</w:t>
            </w:r>
          </w:p>
        </w:tc>
        <w:tc>
          <w:tcPr>
            <w:tcW w:type="dxa" w:w="2880"/>
          </w:tcPr>
          <w:p>
            <w:r>
              <w:t>Concluida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Elasticidade e otimizacao de premio (portfolio ES, dados reais de preco/lapso)</w:t>
            </w:r>
          </w:p>
        </w:tc>
        <w:tc>
          <w:tcPr>
            <w:tcW w:type="dxa" w:w="2880"/>
          </w:tcPr>
          <w:p>
            <w:r>
              <w:t>Concluida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MLOps: MLflow, Docker, drift PSI, CI no GitHub Actions</w:t>
            </w:r>
          </w:p>
        </w:tc>
        <w:tc>
          <w:tcPr>
            <w:tcW w:type="dxa" w:w="2880"/>
          </w:tcPr>
          <w:p>
            <w:r>
              <w:t>Concluida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Score territorial Brasil (IBGE/CNEFE/CEP + SUSEP/Autoseg) como feature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</w:tbl>
    <w:p>
      <w:pPr>
        <w:pStyle w:val="Heading1"/>
      </w:pPr>
      <w:r>
        <w:t>10. Proximos passos</w:t>
      </w:r>
    </w:p>
    <w:p>
      <w:pPr>
        <w:pStyle w:val="ListBullet"/>
      </w:pPr>
      <w:r>
        <w:t>Feature engineering: splines em idade/densidade e interacoes (estreitar vantagem do GBM).</w:t>
      </w:r>
    </w:p>
    <w:p>
      <w:pPr>
        <w:pStyle w:val="ListBullet"/>
      </w:pPr>
      <w:r>
        <w:t>Estender o SHAP ao modelo de severidade e ao premio puro.</w:t>
      </w:r>
    </w:p>
    <w:p>
      <w:pPr>
        <w:pStyle w:val="ListBullet"/>
      </w:pPr>
      <w:r>
        <w:t>Demo Streamlit (perfil -&gt; premio + explicacao) e push para o GitHub.</w:t>
      </w:r>
    </w:p>
    <w:p>
      <w:pPr>
        <w:pStyle w:val="ListBullet"/>
      </w:pPr>
      <w:r>
        <w:t>Depois: v2 elasticidade, v3 MLOps, v4 territorial BR.</w:t>
      </w:r>
    </w:p>
    <w:p>
      <w:pPr>
        <w:pStyle w:val="Heading1"/>
      </w:pPr>
      <w:r>
        <w:t>11. Historico de versoes (changelog)</w:t>
      </w:r>
    </w:p>
    <w:p>
      <w:pPr>
        <w:pStyle w:val="Heading2"/>
      </w:pPr>
      <w:r>
        <w:t>v0.3.0 - 2026-06-29</w:t>
      </w:r>
    </w:p>
    <w:p>
      <w:pPr>
        <w:pStyle w:val="ListBullet"/>
      </w:pPr>
      <w:r>
        <w:t>v3 MLOps: testes pytest (8) + lint ruff + CI no GitHub Actions.</w:t>
      </w:r>
    </w:p>
    <w:p>
      <w:pPr>
        <w:pStyle w:val="ListBullet"/>
      </w:pPr>
      <w:r>
        <w:t>Monitoramento de drift via PSI (src/pricing/monitoring.py, run_drift_report.py): ES 2016-&gt;2017 estavel.</w:t>
      </w:r>
    </w:p>
    <w:p>
      <w:pPr>
        <w:pStyle w:val="ListBullet"/>
      </w:pPr>
      <w:r>
        <w:t>MLflow tracking (backend sqlite) do experimento GLM vs GBM. Dockerfile da demo Streamlit.</w:t>
      </w:r>
    </w:p>
    <w:p>
      <w:pPr>
        <w:pStyle w:val="ListBullet"/>
      </w:pPr>
      <w:r>
        <w:t>Repositorio publicado no GitHub (MatPasquali/Insurance_Pricing_Engine).</w:t>
      </w:r>
    </w:p>
    <w:p>
      <w:pPr>
        <w:pStyle w:val="Heading2"/>
      </w:pPr>
      <w:r>
        <w:t>v0.2.0 - 2026-06-13</w:t>
      </w:r>
    </w:p>
    <w:p>
      <w:pPr>
        <w:pStyle w:val="ListBullet"/>
      </w:pPr>
      <w:r>
        <w:t>v2 CONCLUIDA: base ES (es_data.py/es_models.py, run_pricing_optimization.py, notebook 04).</w:t>
      </w:r>
    </w:p>
    <w:p>
      <w:pPr>
        <w:pStyle w:val="ListBullet"/>
      </w:pPr>
      <w:r>
        <w:t>Custo GBM-Poisson (capado) + retencao logistica/GBM (AUC ~0,70 out-of-time) + otimizacao lucro x retencao.</w:t>
      </w:r>
    </w:p>
    <w:p>
      <w:pPr>
        <w:pStyle w:val="ListBullet"/>
      </w:pPr>
      <w:r>
        <w:t>Validacao temporal (treino &lt;=2016, teste 2017). Caveat de endogeneidade: otimo irrestrito (+71%) e red flag; restrito +-15% (+28%) e o crivel.</w:t>
      </w:r>
    </w:p>
    <w:p>
      <w:pPr>
        <w:pStyle w:val="Heading2"/>
      </w:pPr>
      <w:r>
        <w:t>v0.1.7 - 2026-06-13</w:t>
      </w:r>
    </w:p>
    <w:p>
      <w:pPr>
        <w:pStyle w:val="ListBullet"/>
      </w:pPr>
      <w:r>
        <w:t>Demo Streamlit (streamlit_app.py): perfil -&gt; premio puro (GLM e GBM) + explicacao SHAP da previsao.</w:t>
      </w:r>
    </w:p>
    <w:p>
      <w:pPr>
        <w:pStyle w:val="ListBullet"/>
      </w:pPr>
      <w:r>
        <w:t>v1 CONCLUIDA: dados -&gt; modelo -&gt; explicacao -&gt; diagnostico -&gt; demo interativa.</w:t>
      </w:r>
    </w:p>
    <w:p>
      <w:pPr>
        <w:pStyle w:val="Heading2"/>
      </w:pPr>
      <w:r>
        <w:t>v0.1.6 - 2026-06-12</w:t>
      </w:r>
    </w:p>
    <w:p>
      <w:pPr>
        <w:pStyle w:val="ListBullet"/>
      </w:pPr>
      <w:r>
        <w:t>Notebook 00_overview.ipynb: indice navegavel (pitch, links, resultados em destaque, roadmap).</w:t>
      </w:r>
    </w:p>
    <w:p>
      <w:pPr>
        <w:pStyle w:val="Heading2"/>
      </w:pPr>
      <w:r>
        <w:t>v0.1.5 - 2026-06-12</w:t>
      </w:r>
    </w:p>
    <w:p>
      <w:pPr>
        <w:pStyle w:val="ListBullet"/>
      </w:pPr>
      <w:r>
        <w:t>Notebook 03_diagnostics.ipynb (executado): relatividades do GLM, observado vs previsto por variavel, lift chart e Gini/Lorenz (GLM vs GBM).</w:t>
      </w:r>
    </w:p>
    <w:p>
      <w:pPr>
        <w:pStyle w:val="ListBullet"/>
      </w:pPr>
      <w:r>
        <w:t>Validacao temporal registrada como meta do v2 (freMTPL2 nao tem dimensao temporal).</w:t>
      </w:r>
    </w:p>
    <w:p>
      <w:pPr>
        <w:pStyle w:val="Heading2"/>
      </w:pPr>
      <w:r>
        <w:t>v0.1.4 - 2026-06-12</w:t>
      </w:r>
    </w:p>
    <w:p>
      <w:pPr>
        <w:pStyle w:val="ListBullet"/>
      </w:pPr>
      <w:r>
        <w:t>Notebook 02_modeling.ipynb (executado): narrativa GLM freq/sev -&gt; premio puro -&gt; GLM vs GBM + SHAP.</w:t>
      </w:r>
    </w:p>
    <w:p>
      <w:pPr>
        <w:pStyle w:val="ListBullet"/>
      </w:pPr>
      <w:r>
        <w:t>Narrativa do v1 completa (falta apenas a demo Streamlit para fechar a fase).</w:t>
      </w:r>
    </w:p>
    <w:p>
      <w:pPr>
        <w:pStyle w:val="Heading2"/>
      </w:pPr>
      <w:r>
        <w:t>v0.1.3 - 2026-06-12</w:t>
      </w:r>
    </w:p>
    <w:p>
      <w:pPr>
        <w:pStyle w:val="ListBullet"/>
      </w:pPr>
      <w:r>
        <w:t>ETL (run_etl.py): snapshots processados em parquet em data/processed (camada silver/gold).</w:t>
      </w:r>
    </w:p>
    <w:p>
      <w:pPr>
        <w:pStyle w:val="ListBullet"/>
      </w:pPr>
      <w:r>
        <w:t>Notebook 01_eda.ipynb: EDA narrativa (frequencia rara, severidade cauda pesada, drivers BonusMalus/idade).</w:t>
      </w:r>
    </w:p>
    <w:p>
      <w:pPr>
        <w:pStyle w:val="ListBullet"/>
      </w:pPr>
      <w:r>
        <w:t>Separacao explicita: engine (src/ + run_*) vs narrativa (notebooks/).</w:t>
      </w:r>
    </w:p>
    <w:p>
      <w:pPr>
        <w:pStyle w:val="Heading2"/>
      </w:pPr>
      <w:r>
        <w:t>v0.1.2 - 2026-06-09</w:t>
      </w:r>
    </w:p>
    <w:p>
      <w:pPr>
        <w:pStyle w:val="ListBullet"/>
      </w:pPr>
      <w:r>
        <w:t>GBM challenger (HistGradientBoosting, loss Poisson): deviance +7,97% vs ingenuo, batendo o GLM em +5,15%.</w:t>
      </w:r>
    </w:p>
    <w:p>
      <w:pPr>
        <w:pStyle w:val="ListBullet"/>
      </w:pPr>
      <w:r>
        <w:t>Camada SHAP (TreeExplainer) explica o GBM; coeficientes do GLM e SHAP convergem nos mesmos drivers.</w:t>
      </w:r>
    </w:p>
    <w:p>
      <w:pPr>
        <w:pStyle w:val="ListBullet"/>
      </w:pPr>
      <w:r>
        <w:t>Conclusao: ganho de acuracia confiavel, nao espurio (BonusMalus, VehAge, DrivAge). Figura SHAP embutida.</w:t>
      </w:r>
    </w:p>
    <w:p>
      <w:pPr>
        <w:pStyle w:val="Heading2"/>
      </w:pPr>
      <w:r>
        <w:t>v0.1.1 - 2026-06-08</w:t>
      </w:r>
    </w:p>
    <w:p>
      <w:pPr>
        <w:pStyle w:val="ListBullet"/>
      </w:pPr>
      <w:r>
        <w:t>Script download_datasets.py: materializa o freMTPL2 em data/raw (CSV) e</w:t>
      </w:r>
    </w:p>
    <w:p>
      <w:pPr>
        <w:pStyle w:val="ListBullet"/>
      </w:pPr>
      <w:r>
        <w:t>baixa as bases ES (v2) e BR (v4) do Kaggle quando ha credencial da API.</w:t>
      </w:r>
    </w:p>
    <w:p>
      <w:pPr>
        <w:pStyle w:val="ListBullet"/>
      </w:pPr>
      <w:r>
        <w:t>Documentado onde ficam as bases: cache OpenML (~/scikit_learn_data) vs data/raw.</w:t>
      </w:r>
    </w:p>
    <w:p>
      <w:pPr>
        <w:pStyle w:val="Heading2"/>
      </w:pPr>
      <w:r>
        <w:t>v0.1.0 - 2026-06-08</w:t>
      </w:r>
    </w:p>
    <w:p>
      <w:pPr>
        <w:pStyle w:val="ListBullet"/>
      </w:pPr>
      <w:r>
        <w:t>Decisao de estrategia: flagship modular (nao trilha larga).</w:t>
      </w:r>
    </w:p>
    <w:p>
      <w:pPr>
        <w:pStyle w:val="ListBullet"/>
      </w:pPr>
      <w:r>
        <w:t>Scaffold + git; camada de dados (freMTPL2 via OpenML, sem auth).</w:t>
      </w:r>
    </w:p>
    <w:p>
      <w:pPr>
        <w:pStyle w:val="ListBullet"/>
      </w:pPr>
      <w:r>
        <w:t>Frequencia (Poisson GLM): deviance -2,97% vs media ingenua em 678k apolices.</w:t>
      </w:r>
    </w:p>
    <w:p>
      <w:pPr>
        <w:pStyle w:val="ListBullet"/>
      </w:pPr>
      <w:r>
        <w:t>Severidade (Gamma GLM) + premio puro (freq x sev e Tweedie direto).</w:t>
      </w:r>
    </w:p>
    <w:p>
      <w:pPr>
        <w:pStyle w:val="ListBullet"/>
      </w:pPr>
      <w:r>
        <w:t>Achado: freq x severidade descalibra a carteira em +33%; Tweedie direto calibra a 1,04.</w:t>
      </w:r>
    </w:p>
    <w:p>
      <w:pPr>
        <w:pStyle w:val="ListBullet"/>
      </w:pPr>
      <w:r>
        <w:t>Documentacao Word gerada por script versionado.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Insurance Pricing Engine - Documentacao</dc:title>
  <dc:subject/>
  <dc:creator>Mateus de Pasquali da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