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1A4AA" w14:textId="48251DFF" w:rsidR="007A5A84" w:rsidRDefault="007A5A84" w:rsidP="007A5A84"/>
    <w:p w14:paraId="4306C56E" w14:textId="77777777" w:rsidR="007A5A84" w:rsidRPr="00E929AE" w:rsidRDefault="007A5A84" w:rsidP="007A5A84">
      <w:pPr>
        <w:pStyle w:val="Akapitzlist"/>
        <w:numPr>
          <w:ilvl w:val="0"/>
          <w:numId w:val="1"/>
        </w:numPr>
        <w:rPr>
          <w:b/>
          <w:bCs/>
          <w:sz w:val="28"/>
          <w:szCs w:val="28"/>
        </w:rPr>
      </w:pPr>
      <w:r w:rsidRPr="00E929AE">
        <w:rPr>
          <w:b/>
          <w:bCs/>
          <w:sz w:val="28"/>
          <w:szCs w:val="28"/>
        </w:rPr>
        <w:t>Działanie enigmy</w:t>
      </w:r>
    </w:p>
    <w:p w14:paraId="75D0E539" w14:textId="4EBF9F4F" w:rsidR="007A5A84" w:rsidRDefault="00981FD3" w:rsidP="007A5A84">
      <w:pPr>
        <w:pStyle w:val="Akapitzlist"/>
      </w:pPr>
      <w:r>
        <w:t xml:space="preserve">W </w:t>
      </w:r>
      <w:r w:rsidR="007A5A84">
        <w:t>skład</w:t>
      </w:r>
      <w:r>
        <w:t xml:space="preserve"> enigmy wchodzą</w:t>
      </w:r>
      <w:r w:rsidR="007A5A84">
        <w:t xml:space="preserve"> trz</w:t>
      </w:r>
      <w:r w:rsidR="00B66477">
        <w:t>y</w:t>
      </w:r>
      <w:r w:rsidR="007A5A84">
        <w:t xml:space="preserve"> bębn</w:t>
      </w:r>
      <w:r>
        <w:t>y</w:t>
      </w:r>
      <w:r w:rsidR="007A5A84">
        <w:t xml:space="preserve"> szyfrując</w:t>
      </w:r>
      <w:r>
        <w:t>e</w:t>
      </w:r>
      <w:r w:rsidR="007A5A84">
        <w:t>, bęb</w:t>
      </w:r>
      <w:r>
        <w:t>en</w:t>
      </w:r>
      <w:r w:rsidR="007A5A84">
        <w:t xml:space="preserve"> wejściow</w:t>
      </w:r>
      <w:r w:rsidR="00B66477">
        <w:t>y</w:t>
      </w:r>
      <w:r w:rsidR="007A5A84">
        <w:t xml:space="preserve"> oraz bęb</w:t>
      </w:r>
      <w:r w:rsidR="00B66477">
        <w:t>en</w:t>
      </w:r>
      <w:r w:rsidR="007A5A84">
        <w:t xml:space="preserve"> odwracając</w:t>
      </w:r>
      <w:r>
        <w:t>y</w:t>
      </w:r>
      <w:r w:rsidR="007A5A84">
        <w:t>.</w:t>
      </w:r>
    </w:p>
    <w:p w14:paraId="69F6BADC" w14:textId="77777777" w:rsidR="007A5A84" w:rsidRDefault="007A5A84" w:rsidP="007A5A84">
      <w:pPr>
        <w:pStyle w:val="Akapitzlist"/>
      </w:pPr>
      <w:r>
        <w:rPr>
          <w:noProof/>
        </w:rPr>
        <w:drawing>
          <wp:inline distT="0" distB="0" distL="0" distR="0" wp14:anchorId="41BFA5B7" wp14:editId="70452496">
            <wp:extent cx="5760720" cy="2914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4650"/>
                    </a:xfrm>
                    <a:prstGeom prst="rect">
                      <a:avLst/>
                    </a:prstGeom>
                  </pic:spPr>
                </pic:pic>
              </a:graphicData>
            </a:graphic>
          </wp:inline>
        </w:drawing>
      </w:r>
    </w:p>
    <w:p w14:paraId="396B6D34" w14:textId="77777777" w:rsidR="007A5A84" w:rsidRDefault="007A5A84" w:rsidP="007A5A84">
      <w:pPr>
        <w:pStyle w:val="Akapitzlist"/>
      </w:pPr>
    </w:p>
    <w:p w14:paraId="0792B648" w14:textId="77777777" w:rsidR="00981FD3" w:rsidRDefault="00981FD3" w:rsidP="007A5A84">
      <w:pPr>
        <w:pStyle w:val="Akapitzlist"/>
      </w:pPr>
    </w:p>
    <w:p w14:paraId="69493137" w14:textId="0D8EEBF3" w:rsidR="007A5A84" w:rsidRDefault="007A5A84" w:rsidP="007A5A84">
      <w:pPr>
        <w:pStyle w:val="Akapitzlist"/>
      </w:pPr>
      <w:r>
        <w:t>Sygnał (litera) była wprowadzana do bębna wejściowego.</w:t>
      </w:r>
      <w:r w:rsidR="002555CE">
        <w:t xml:space="preserve"> Przekazywał on sygnał dalej do prawego bębna szyfrującego.</w:t>
      </w:r>
      <w:r>
        <w:t xml:space="preserve"> Zadaniem bębnów szyfrujących była podmiana określonych liter</w:t>
      </w:r>
      <w:r w:rsidR="002555CE">
        <w:t>. Przykładową podmianę widać na rysunku poniżej:</w:t>
      </w:r>
    </w:p>
    <w:p w14:paraId="37F1F634" w14:textId="77777777" w:rsidR="007A5A84" w:rsidRDefault="007A5A84" w:rsidP="007A5A84">
      <w:pPr>
        <w:pStyle w:val="Akapitzlist"/>
        <w:jc w:val="center"/>
      </w:pPr>
      <w:r>
        <w:rPr>
          <w:noProof/>
        </w:rPr>
        <w:drawing>
          <wp:inline distT="0" distB="0" distL="0" distR="0" wp14:anchorId="279976CB" wp14:editId="456F1D97">
            <wp:extent cx="3381375" cy="762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762000"/>
                    </a:xfrm>
                    <a:prstGeom prst="rect">
                      <a:avLst/>
                    </a:prstGeom>
                  </pic:spPr>
                </pic:pic>
              </a:graphicData>
            </a:graphic>
          </wp:inline>
        </w:drawing>
      </w:r>
    </w:p>
    <w:p w14:paraId="587EFFF5" w14:textId="7ADE2BDD" w:rsidR="007A5A84" w:rsidRDefault="002555CE" w:rsidP="007A5A84">
      <w:pPr>
        <w:pStyle w:val="Akapitzlist"/>
      </w:pPr>
      <w:r>
        <w:t xml:space="preserve">Każdy bęben szyfrujący miał na stałe ustalone podmiany liter. Dlatego </w:t>
      </w:r>
      <w:r w:rsidR="00B66477">
        <w:t>s</w:t>
      </w:r>
      <w:r>
        <w:t>tworzon</w:t>
      </w:r>
      <w:r w:rsidR="00B66477">
        <w:t>o</w:t>
      </w:r>
      <w:r>
        <w:t xml:space="preserve"> 5 typów bębnów szyfrujących (5 różnych podmian liter) i zmieniano ich </w:t>
      </w:r>
      <w:r w:rsidR="00B66477">
        <w:t>kolejność</w:t>
      </w:r>
      <w:r>
        <w:t xml:space="preserve"> w maszynie. Dodatkowo b</w:t>
      </w:r>
      <w:r w:rsidR="007A5A84">
        <w:t>ębny szyfrujące obracały się wokół wspólnej osi, przez co generowane mogły być nowe kombinacje szyfrów</w:t>
      </w:r>
      <w:r>
        <w:t>. Przykładowy obrót widać na poniższym rysunku.</w:t>
      </w:r>
    </w:p>
    <w:p w14:paraId="1B2E3665" w14:textId="77777777" w:rsidR="007A5A84" w:rsidRDefault="007A5A84" w:rsidP="007A5A84">
      <w:pPr>
        <w:pStyle w:val="Akapitzlist"/>
        <w:jc w:val="center"/>
      </w:pPr>
      <w:r>
        <w:rPr>
          <w:noProof/>
        </w:rPr>
        <w:drawing>
          <wp:inline distT="0" distB="0" distL="0" distR="0" wp14:anchorId="52CF0D82" wp14:editId="6C462464">
            <wp:extent cx="3629025" cy="17716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1771650"/>
                    </a:xfrm>
                    <a:prstGeom prst="rect">
                      <a:avLst/>
                    </a:prstGeom>
                  </pic:spPr>
                </pic:pic>
              </a:graphicData>
            </a:graphic>
          </wp:inline>
        </w:drawing>
      </w:r>
    </w:p>
    <w:p w14:paraId="56E972BE" w14:textId="60012BF2" w:rsidR="007A5A84" w:rsidRDefault="007A5A84" w:rsidP="007A5A84">
      <w:pPr>
        <w:ind w:left="708"/>
      </w:pPr>
      <w:r w:rsidRPr="007B77EA">
        <w:t>Zamiast wykorzystywać wyjścia styków z trzeciego bębna jako szyfr litery wejściowej, wyjścia te podłącza</w:t>
      </w:r>
      <w:r w:rsidR="002555CE">
        <w:t>no</w:t>
      </w:r>
      <w:r w:rsidRPr="007B77EA">
        <w:t xml:space="preserve"> do </w:t>
      </w:r>
      <w:r w:rsidR="002555CE">
        <w:t>nieruchomego</w:t>
      </w:r>
      <w:r w:rsidRPr="007B77EA">
        <w:t xml:space="preserve"> bębna odwracającego</w:t>
      </w:r>
      <w:r>
        <w:t>.</w:t>
      </w:r>
      <w:r w:rsidRPr="007B77EA">
        <w:t xml:space="preserve"> Zadaniem bębna </w:t>
      </w:r>
      <w:r w:rsidR="002555CE">
        <w:t>była</w:t>
      </w:r>
      <w:r w:rsidRPr="007B77EA">
        <w:t xml:space="preserve"> prosta wymiana pary znaków. Sygnał wyjściowy </w:t>
      </w:r>
      <w:r w:rsidR="002555CE">
        <w:t>był</w:t>
      </w:r>
      <w:r w:rsidRPr="007B77EA">
        <w:t xml:space="preserve"> z powrotem kierowany do bębnów szyfrujących w odwrotnym kierunku i pojawia</w:t>
      </w:r>
      <w:r w:rsidR="002555CE">
        <w:t>ł</w:t>
      </w:r>
      <w:r w:rsidRPr="007B77EA">
        <w:t xml:space="preserve"> się na bębnie wejściowym, lecz na innym styku.</w:t>
      </w:r>
      <w:r>
        <w:t xml:space="preserve"> Dzięki zastosowaniu bębna odwracającego możliwe było wygenerowanie większej liczby alfabetów </w:t>
      </w:r>
      <w:proofErr w:type="spellStart"/>
      <w:r>
        <w:lastRenderedPageBreak/>
        <w:t>podstawieniowych</w:t>
      </w:r>
      <w:proofErr w:type="spellEnd"/>
      <w:r>
        <w:t>. Minusem tego rozwiązania było to, że kod był odwracalny. Jeżeli np. „A” było kodowane przez „C”, to również „C” było kodowane przez „A”. Można więc było dla danego ustawienia bębnów w prosty sposób przedstawić cykl permutacyjny np.:</w:t>
      </w:r>
    </w:p>
    <w:p w14:paraId="54E3C9C0" w14:textId="27FFC79F" w:rsidR="007A5A84" w:rsidRDefault="007A5A84" w:rsidP="007A5A84">
      <w:pPr>
        <w:ind w:firstLine="708"/>
        <w:rPr>
          <w:lang w:val="en-US"/>
        </w:rPr>
      </w:pPr>
      <w:r w:rsidRPr="00981FD3">
        <w:rPr>
          <w:lang w:val="en-US"/>
        </w:rPr>
        <w:t>(AU) (BE) (CJ) (DO) (FT) (GP) (HZ) (IW) (KN) (LS) (MR) (QV) (XY).</w:t>
      </w:r>
    </w:p>
    <w:p w14:paraId="05C77741" w14:textId="5A08B15A" w:rsidR="00B66477" w:rsidRPr="002555CE" w:rsidRDefault="002555CE" w:rsidP="00B66477">
      <w:pPr>
        <w:ind w:left="708"/>
      </w:pPr>
      <w:r w:rsidRPr="002555CE">
        <w:t>Prawy bęben szyfrujący</w:t>
      </w:r>
      <w:r>
        <w:t xml:space="preserve"> przed każdym wprowadzeniem nowej litery wykonywał 1/26 obrotu. Bębny szyfrujące posiadały nacięcia, przez co przy środkowy bęben obracał się o 1/26 obrotu przy odpowiednim ułożeniu prawego bębna (analogicznie lewy przy odpowiednim ułożeniu bębna </w:t>
      </w:r>
      <w:r w:rsidR="00B66477">
        <w:t>środkowego). Obroty bębnów szyfrujących sprawiały, że każda nowa litera szyfrowana była innym cyklem permutacyjnym.</w:t>
      </w:r>
    </w:p>
    <w:p w14:paraId="69A3943E" w14:textId="68393521" w:rsidR="005A4EF8" w:rsidRPr="00E929AE" w:rsidRDefault="00006E04" w:rsidP="00006E04">
      <w:pPr>
        <w:pStyle w:val="Akapitzlist"/>
        <w:numPr>
          <w:ilvl w:val="0"/>
          <w:numId w:val="1"/>
        </w:numPr>
        <w:rPr>
          <w:b/>
          <w:bCs/>
          <w:sz w:val="28"/>
          <w:szCs w:val="28"/>
        </w:rPr>
      </w:pPr>
      <w:r w:rsidRPr="00E929AE">
        <w:rPr>
          <w:b/>
          <w:bCs/>
          <w:sz w:val="28"/>
          <w:szCs w:val="28"/>
        </w:rPr>
        <w:t>Działanie programu</w:t>
      </w:r>
    </w:p>
    <w:p w14:paraId="75B83150" w14:textId="431AC239" w:rsidR="00006E04" w:rsidRDefault="00E929AE" w:rsidP="00E929AE">
      <w:pPr>
        <w:pStyle w:val="Akapitzlist"/>
      </w:pPr>
      <w:r>
        <w:rPr>
          <w:noProof/>
        </w:rPr>
        <w:drawing>
          <wp:inline distT="0" distB="0" distL="0" distR="0" wp14:anchorId="7499E177" wp14:editId="62C48C46">
            <wp:extent cx="5760720" cy="37084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08400"/>
                    </a:xfrm>
                    <a:prstGeom prst="rect">
                      <a:avLst/>
                    </a:prstGeom>
                  </pic:spPr>
                </pic:pic>
              </a:graphicData>
            </a:graphic>
          </wp:inline>
        </w:drawing>
      </w:r>
    </w:p>
    <w:p w14:paraId="3798EA84" w14:textId="7C5BA378" w:rsidR="00006E04" w:rsidRDefault="00006E04" w:rsidP="00006E04">
      <w:pPr>
        <w:pStyle w:val="Akapitzlist"/>
      </w:pPr>
      <w:r>
        <w:t xml:space="preserve">Na samej górze znajduje się miejsce do wprowadzania tekstu. Po kliknięciu przycisku „Wprowadź” tekst zostaje poddany konwersji. Małe litery są zamieniane na wielkie, a wszystkie inne znaki są usuwane. Użyto trzech bębnów </w:t>
      </w:r>
      <w:proofErr w:type="gramStart"/>
      <w:r>
        <w:t>szyfrujących,</w:t>
      </w:r>
      <w:proofErr w:type="gramEnd"/>
      <w:r>
        <w:t xml:space="preserve"> oraz nieruchomego bębna odwracającego, którego nie widać w interfejsie graficznym. Przyciski ze strzałkami pozwalają na ręczne obracanie bębnów szyfrujących. Przycisk „Resetuj bębny” ustawia je w pozycji początkowej (AAZ</w:t>
      </w:r>
      <w:r w:rsidR="00B66477">
        <w:t xml:space="preserve"> – dzięki temu pierwsza litera szyfrowana jest ustawieniem AAA</w:t>
      </w:r>
      <w:r>
        <w:t xml:space="preserve">). Przycisk „Wymień bębny” pozwala na użycie dowolnych trzech z pięciu dostępnych bębnów. </w:t>
      </w:r>
      <w:proofErr w:type="gramStart"/>
      <w:r>
        <w:t xml:space="preserve">Ustawienia </w:t>
      </w:r>
      <w:r w:rsidR="00B66477">
        <w:t xml:space="preserve"> dostępnych</w:t>
      </w:r>
      <w:proofErr w:type="gramEnd"/>
      <w:r w:rsidR="00B66477">
        <w:t xml:space="preserve"> </w:t>
      </w:r>
      <w:r>
        <w:t>bębnów znajdują się poniżej:</w:t>
      </w:r>
    </w:p>
    <w:tbl>
      <w:tblPr>
        <w:tblStyle w:val="Tabela-Siatka"/>
        <w:tblW w:w="0" w:type="auto"/>
        <w:tblInd w:w="1838" w:type="dxa"/>
        <w:tblLook w:val="04A0" w:firstRow="1" w:lastRow="0" w:firstColumn="1" w:lastColumn="0" w:noHBand="0" w:noVBand="1"/>
      </w:tblPr>
      <w:tblGrid>
        <w:gridCol w:w="1498"/>
        <w:gridCol w:w="3005"/>
        <w:gridCol w:w="2018"/>
      </w:tblGrid>
      <w:tr w:rsidR="00006E04" w14:paraId="5F5DBED3" w14:textId="77777777" w:rsidTr="00006E04">
        <w:tc>
          <w:tcPr>
            <w:tcW w:w="1498" w:type="dxa"/>
          </w:tcPr>
          <w:p w14:paraId="0475C433" w14:textId="2C820825" w:rsidR="00006E04" w:rsidRDefault="00006E04" w:rsidP="00006E04">
            <w:pPr>
              <w:pStyle w:val="Akapitzlist"/>
              <w:ind w:left="0"/>
              <w:jc w:val="center"/>
            </w:pPr>
            <w:r>
              <w:t>Numer bębna</w:t>
            </w:r>
          </w:p>
        </w:tc>
        <w:tc>
          <w:tcPr>
            <w:tcW w:w="3005" w:type="dxa"/>
          </w:tcPr>
          <w:p w14:paraId="34F48509" w14:textId="2F5B30A8" w:rsidR="00006E04" w:rsidRDefault="00006E04" w:rsidP="00006E04">
            <w:pPr>
              <w:pStyle w:val="Akapitzlist"/>
              <w:ind w:left="0"/>
              <w:jc w:val="center"/>
            </w:pPr>
            <w:r>
              <w:t>Podstawienia</w:t>
            </w:r>
            <w:r w:rsidR="00E929AE">
              <w:t xml:space="preserve"> dla kolejnych liter alfabetu</w:t>
            </w:r>
          </w:p>
        </w:tc>
        <w:tc>
          <w:tcPr>
            <w:tcW w:w="2018" w:type="dxa"/>
          </w:tcPr>
          <w:p w14:paraId="23A08011" w14:textId="100846E5" w:rsidR="00006E04" w:rsidRDefault="00006E04" w:rsidP="00006E04">
            <w:pPr>
              <w:pStyle w:val="Akapitzlist"/>
              <w:ind w:left="0"/>
              <w:jc w:val="center"/>
            </w:pPr>
            <w:r>
              <w:t>Punkt przeniesienia obrotu</w:t>
            </w:r>
          </w:p>
        </w:tc>
      </w:tr>
      <w:tr w:rsidR="00006E04" w14:paraId="5B70B60D" w14:textId="77777777" w:rsidTr="00006E04">
        <w:tc>
          <w:tcPr>
            <w:tcW w:w="1498" w:type="dxa"/>
          </w:tcPr>
          <w:p w14:paraId="2A6E9CC4" w14:textId="411DC0FA" w:rsidR="00006E04" w:rsidRDefault="00006E04" w:rsidP="00006E04">
            <w:pPr>
              <w:pStyle w:val="Akapitzlist"/>
              <w:ind w:left="0"/>
              <w:jc w:val="center"/>
            </w:pPr>
            <w:r>
              <w:t>I</w:t>
            </w:r>
          </w:p>
        </w:tc>
        <w:tc>
          <w:tcPr>
            <w:tcW w:w="3005" w:type="dxa"/>
          </w:tcPr>
          <w:p w14:paraId="7080C532" w14:textId="4287870A" w:rsidR="00006E04" w:rsidRDefault="00006E04" w:rsidP="00006E04">
            <w:pPr>
              <w:pStyle w:val="Akapitzlist"/>
              <w:ind w:left="0"/>
              <w:jc w:val="center"/>
            </w:pPr>
            <w:r>
              <w:rPr>
                <w:rFonts w:ascii="Consolas" w:hAnsi="Consolas" w:cs="Consolas"/>
                <w:color w:val="A31515"/>
                <w:sz w:val="19"/>
                <w:szCs w:val="19"/>
              </w:rPr>
              <w:t>EKMFLGDQVZNTOWYHXUSPAIBRCJ</w:t>
            </w:r>
          </w:p>
        </w:tc>
        <w:tc>
          <w:tcPr>
            <w:tcW w:w="2018" w:type="dxa"/>
          </w:tcPr>
          <w:p w14:paraId="1719FFA2" w14:textId="36F66EA9" w:rsidR="00006E04" w:rsidRDefault="00006E04" w:rsidP="00006E04">
            <w:pPr>
              <w:pStyle w:val="Akapitzlist"/>
              <w:ind w:left="0"/>
              <w:jc w:val="center"/>
            </w:pPr>
            <w:r>
              <w:t>R</w:t>
            </w:r>
          </w:p>
        </w:tc>
      </w:tr>
      <w:tr w:rsidR="00006E04" w14:paraId="56672C31" w14:textId="77777777" w:rsidTr="00006E04">
        <w:tc>
          <w:tcPr>
            <w:tcW w:w="1498" w:type="dxa"/>
          </w:tcPr>
          <w:p w14:paraId="0E050683" w14:textId="4AB0FD58" w:rsidR="00006E04" w:rsidRDefault="00006E04" w:rsidP="00006E04">
            <w:pPr>
              <w:pStyle w:val="Akapitzlist"/>
              <w:ind w:left="0"/>
              <w:jc w:val="center"/>
            </w:pPr>
            <w:r>
              <w:t>II</w:t>
            </w:r>
          </w:p>
        </w:tc>
        <w:tc>
          <w:tcPr>
            <w:tcW w:w="3005" w:type="dxa"/>
          </w:tcPr>
          <w:p w14:paraId="71D797BE" w14:textId="11D667B4" w:rsidR="00006E04" w:rsidRDefault="00006E04" w:rsidP="00006E04">
            <w:pPr>
              <w:pStyle w:val="Akapitzlist"/>
              <w:ind w:left="0"/>
              <w:jc w:val="center"/>
            </w:pPr>
            <w:r>
              <w:rPr>
                <w:rFonts w:ascii="Consolas" w:hAnsi="Consolas" w:cs="Consolas"/>
                <w:color w:val="A31515"/>
                <w:sz w:val="19"/>
                <w:szCs w:val="19"/>
              </w:rPr>
              <w:t>AJDKSIRUXBLHWTMCQGZNPYFVOE</w:t>
            </w:r>
          </w:p>
        </w:tc>
        <w:tc>
          <w:tcPr>
            <w:tcW w:w="2018" w:type="dxa"/>
          </w:tcPr>
          <w:p w14:paraId="76E55127" w14:textId="270025DC" w:rsidR="00006E04" w:rsidRDefault="00006E04" w:rsidP="00006E04">
            <w:pPr>
              <w:pStyle w:val="Akapitzlist"/>
              <w:ind w:left="0"/>
              <w:jc w:val="center"/>
            </w:pPr>
            <w:r>
              <w:t>F</w:t>
            </w:r>
          </w:p>
        </w:tc>
      </w:tr>
      <w:tr w:rsidR="00006E04" w14:paraId="4B1ECE7A" w14:textId="77777777" w:rsidTr="00006E04">
        <w:tc>
          <w:tcPr>
            <w:tcW w:w="1498" w:type="dxa"/>
          </w:tcPr>
          <w:p w14:paraId="4F174AB6" w14:textId="4DD1100E" w:rsidR="00006E04" w:rsidRDefault="00006E04" w:rsidP="00006E04">
            <w:pPr>
              <w:pStyle w:val="Akapitzlist"/>
              <w:ind w:left="0"/>
              <w:jc w:val="center"/>
            </w:pPr>
            <w:r>
              <w:t>III</w:t>
            </w:r>
          </w:p>
        </w:tc>
        <w:tc>
          <w:tcPr>
            <w:tcW w:w="3005" w:type="dxa"/>
          </w:tcPr>
          <w:p w14:paraId="4B9A0C12" w14:textId="041F07AE" w:rsidR="00006E04" w:rsidRDefault="00006E04" w:rsidP="00006E04">
            <w:pPr>
              <w:pStyle w:val="Akapitzlist"/>
              <w:ind w:left="0"/>
              <w:jc w:val="center"/>
            </w:pPr>
            <w:r>
              <w:rPr>
                <w:rFonts w:ascii="Consolas" w:hAnsi="Consolas" w:cs="Consolas"/>
                <w:color w:val="A31515"/>
                <w:sz w:val="19"/>
                <w:szCs w:val="19"/>
              </w:rPr>
              <w:t>BDFHJLCPRTXVZNYEIWGAKMUSQO</w:t>
            </w:r>
          </w:p>
        </w:tc>
        <w:tc>
          <w:tcPr>
            <w:tcW w:w="2018" w:type="dxa"/>
          </w:tcPr>
          <w:p w14:paraId="6FCDF437" w14:textId="4BB921F1" w:rsidR="00006E04" w:rsidRDefault="00006E04" w:rsidP="00006E04">
            <w:pPr>
              <w:pStyle w:val="Akapitzlist"/>
              <w:ind w:left="0"/>
              <w:jc w:val="center"/>
            </w:pPr>
            <w:r>
              <w:t>W</w:t>
            </w:r>
          </w:p>
        </w:tc>
      </w:tr>
      <w:tr w:rsidR="00006E04" w14:paraId="57B45DD7" w14:textId="77777777" w:rsidTr="00006E04">
        <w:tc>
          <w:tcPr>
            <w:tcW w:w="1498" w:type="dxa"/>
          </w:tcPr>
          <w:p w14:paraId="77E3F8C1" w14:textId="0D06672A" w:rsidR="00006E04" w:rsidRDefault="00006E04" w:rsidP="00006E04">
            <w:pPr>
              <w:pStyle w:val="Akapitzlist"/>
              <w:ind w:left="0"/>
              <w:jc w:val="center"/>
            </w:pPr>
            <w:r>
              <w:t>IV</w:t>
            </w:r>
          </w:p>
        </w:tc>
        <w:tc>
          <w:tcPr>
            <w:tcW w:w="3005" w:type="dxa"/>
          </w:tcPr>
          <w:p w14:paraId="7FCB0D87" w14:textId="1973043B" w:rsidR="00006E04" w:rsidRDefault="00006E04" w:rsidP="00006E04">
            <w:pPr>
              <w:pStyle w:val="Akapitzlist"/>
              <w:ind w:left="0"/>
              <w:jc w:val="center"/>
            </w:pPr>
            <w:r>
              <w:rPr>
                <w:rFonts w:ascii="Consolas" w:hAnsi="Consolas" w:cs="Consolas"/>
                <w:color w:val="A31515"/>
                <w:sz w:val="19"/>
                <w:szCs w:val="19"/>
              </w:rPr>
              <w:t>ESOVPZJAYQUIRHXLNFTGKDCMWB</w:t>
            </w:r>
          </w:p>
        </w:tc>
        <w:tc>
          <w:tcPr>
            <w:tcW w:w="2018" w:type="dxa"/>
          </w:tcPr>
          <w:p w14:paraId="2BD2F958" w14:textId="1857FD29" w:rsidR="00006E04" w:rsidRDefault="00006E04" w:rsidP="00006E04">
            <w:pPr>
              <w:pStyle w:val="Akapitzlist"/>
              <w:ind w:left="0"/>
              <w:jc w:val="center"/>
            </w:pPr>
            <w:r>
              <w:t>K</w:t>
            </w:r>
          </w:p>
        </w:tc>
      </w:tr>
      <w:tr w:rsidR="00006E04" w14:paraId="1EA2F457" w14:textId="77777777" w:rsidTr="00006E04">
        <w:tc>
          <w:tcPr>
            <w:tcW w:w="1498" w:type="dxa"/>
          </w:tcPr>
          <w:p w14:paraId="3D80D5C6" w14:textId="5AF9F70D" w:rsidR="00006E04" w:rsidRDefault="00006E04" w:rsidP="00006E04">
            <w:pPr>
              <w:pStyle w:val="Akapitzlist"/>
              <w:ind w:left="0"/>
              <w:jc w:val="center"/>
            </w:pPr>
            <w:r>
              <w:t>V</w:t>
            </w:r>
          </w:p>
        </w:tc>
        <w:tc>
          <w:tcPr>
            <w:tcW w:w="3005" w:type="dxa"/>
          </w:tcPr>
          <w:p w14:paraId="1295F083" w14:textId="062E3D68" w:rsidR="00006E04" w:rsidRDefault="00006E04" w:rsidP="00006E04">
            <w:pPr>
              <w:pStyle w:val="Akapitzlist"/>
              <w:ind w:left="0"/>
              <w:jc w:val="center"/>
            </w:pPr>
            <w:r>
              <w:rPr>
                <w:rFonts w:ascii="Consolas" w:hAnsi="Consolas" w:cs="Consolas"/>
                <w:color w:val="A31515"/>
                <w:sz w:val="19"/>
                <w:szCs w:val="19"/>
              </w:rPr>
              <w:t>VZBRGITYUPSDNHLXAWMJQOFECK</w:t>
            </w:r>
          </w:p>
        </w:tc>
        <w:tc>
          <w:tcPr>
            <w:tcW w:w="2018" w:type="dxa"/>
          </w:tcPr>
          <w:p w14:paraId="1D38946E" w14:textId="0297C2DF" w:rsidR="00006E04" w:rsidRDefault="00006E04" w:rsidP="00006E04">
            <w:pPr>
              <w:pStyle w:val="Akapitzlist"/>
              <w:ind w:left="0"/>
              <w:jc w:val="center"/>
            </w:pPr>
            <w:r>
              <w:t>A</w:t>
            </w:r>
          </w:p>
        </w:tc>
      </w:tr>
    </w:tbl>
    <w:p w14:paraId="65D3BEFF" w14:textId="7280CC21" w:rsidR="00006E04" w:rsidRPr="007A5A84" w:rsidRDefault="00E929AE" w:rsidP="00006E04">
      <w:pPr>
        <w:pStyle w:val="Akapitzlist"/>
      </w:pPr>
      <w:r>
        <w:lastRenderedPageBreak/>
        <w:t>Przycisk „Szyfruj” szyfruje cały wprowadzony tekst, przycisk „Krok” szyfruje po jednym znaku. Po jego użyciu niektóre funkcje nie są dostępne, aż nie zaszyfruje się całego wprowadzonego tekstu do końca. Na samym dole wyświetlane są podstawienia liter dla danego ustawienia bębnów.</w:t>
      </w:r>
    </w:p>
    <w:sectPr w:rsidR="00006E04" w:rsidRPr="007A5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656CE"/>
    <w:multiLevelType w:val="hybridMultilevel"/>
    <w:tmpl w:val="EEB403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ED128FE"/>
    <w:multiLevelType w:val="hybridMultilevel"/>
    <w:tmpl w:val="C8D091A4"/>
    <w:lvl w:ilvl="0" w:tplc="7862B2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F8"/>
    <w:rsid w:val="00006E04"/>
    <w:rsid w:val="00211AA8"/>
    <w:rsid w:val="002555CE"/>
    <w:rsid w:val="00320593"/>
    <w:rsid w:val="005A4EF8"/>
    <w:rsid w:val="006F58CF"/>
    <w:rsid w:val="007A5A84"/>
    <w:rsid w:val="007B77EA"/>
    <w:rsid w:val="008B2A56"/>
    <w:rsid w:val="00981FD3"/>
    <w:rsid w:val="00B66477"/>
    <w:rsid w:val="00E929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9EE7"/>
  <w15:chartTrackingRefBased/>
  <w15:docId w15:val="{D56965B8-5496-43AE-B650-E0385E77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A4EF8"/>
    <w:pPr>
      <w:ind w:left="720"/>
      <w:contextualSpacing/>
    </w:pPr>
  </w:style>
  <w:style w:type="character" w:customStyle="1" w:styleId="rem">
    <w:name w:val="rem"/>
    <w:basedOn w:val="Domylnaczcionkaakapitu"/>
    <w:rsid w:val="007B77EA"/>
  </w:style>
  <w:style w:type="table" w:styleId="Tabela-Siatka">
    <w:name w:val="Table Grid"/>
    <w:basedOn w:val="Standardowy"/>
    <w:uiPriority w:val="39"/>
    <w:rsid w:val="00006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2577</Characters>
  <Application>Microsoft Office Word</Application>
  <DocSecurity>0</DocSecurity>
  <Lines>21</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cp:revision>
  <dcterms:created xsi:type="dcterms:W3CDTF">2020-06-18T14:25:00Z</dcterms:created>
  <dcterms:modified xsi:type="dcterms:W3CDTF">2020-08-12T12:23:00Z</dcterms:modified>
</cp:coreProperties>
</file>