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5469b8aa6c04dc8cc0fc4608e58b05cd711fd74"/>
    <w:p>
      <w:pPr>
        <w:pStyle w:val="Heading1"/>
      </w:pPr>
      <w:r>
        <w:t xml:space="preserve">Wpływ smartfonów, tabletów i gier cyfrowych na rozwój oraz zachowanie dziecka</w:t>
      </w:r>
    </w:p>
    <w:bookmarkStart w:id="25" w:name="streszczenie-wykonawcze"/>
    <w:p>
      <w:pPr>
        <w:pStyle w:val="Heading2"/>
      </w:pPr>
      <w:r>
        <w:t xml:space="preserve">Streszczenie wykonawcze</w:t>
      </w:r>
    </w:p>
    <w:p>
      <w:pPr>
        <w:pStyle w:val="FirstParagraph"/>
      </w:pPr>
      <w:r>
        <w:t xml:space="preserve">Najkrótsza odpowiedź na główne pytanie brzmi:</w:t>
      </w:r>
      <w:r>
        <w:t xml:space="preserve"> </w:t>
      </w:r>
      <w:r>
        <w:rPr>
          <w:b/>
          <w:bCs/>
        </w:rPr>
        <w:t xml:space="preserve">rutynowe dawanie czteroletniemu dziecku własnego telefonu „do gier” nie jest obecnie poparte ani oficjalnymi wytycznymi, ani bilansem dowodów naukowych</w:t>
      </w:r>
      <w:r>
        <w:t xml:space="preserve">. Oficjalne rekomendacje WHO dla dzieci 3–4-letnich mówią o</w:t>
      </w:r>
      <w:r>
        <w:t xml:space="preserve"> </w:t>
      </w:r>
      <w:r>
        <w:rPr>
          <w:b/>
          <w:bCs/>
        </w:rPr>
        <w:t xml:space="preserve">maksymalnie 1 godzinie dziennie siedzącego czasu ekranowego, im mniej tym lepiej</w:t>
      </w:r>
      <w:r>
        <w:t xml:space="preserve">, a AAP od lat zaleca dla wieku 2–5 lat</w:t>
      </w:r>
      <w:r>
        <w:t xml:space="preserve"> </w:t>
      </w:r>
      <w:r>
        <w:rPr>
          <w:b/>
          <w:bCs/>
        </w:rPr>
        <w:t xml:space="preserve">do 1 godziny dziennie wysokiej jakości treści, najlepiej współużytkowanych z dorosłym</w:t>
      </w:r>
      <w:r>
        <w:t xml:space="preserve">. Nowsze materiały AAP dla rodziców przedszkolaków idą jeszcze dalej i wprost radzą</w:t>
      </w:r>
      <w:r>
        <w:t xml:space="preserve"> </w:t>
      </w:r>
      <w:r>
        <w:rPr>
          <w:b/>
          <w:bCs/>
        </w:rPr>
        <w:t xml:space="preserve">unikać dawania małemu dziecku otwartego, swobodnego dostępu do telefonu lub tabletu</w:t>
      </w:r>
      <w:r>
        <w:t xml:space="preserve">.</w:t>
      </w:r>
      <w:r>
        <w:t xml:space="preserve"> </w:t>
      </w:r>
      <w:hyperlink r:id="rId21">
        <w:r>
          <w:rPr>
            <w:rStyle w:val="Hyperlink"/>
          </w:rPr>
          <w:t xml:space="preserve">[1]</w:t>
        </w:r>
      </w:hyperlink>
    </w:p>
    <w:p>
      <w:pPr>
        <w:pStyle w:val="BodyText"/>
      </w:pPr>
      <w:r>
        <w:t xml:space="preserve">To nie znaczy, że</w:t>
      </w:r>
      <w:r>
        <w:t xml:space="preserve"> </w:t>
      </w:r>
      <w:r>
        <w:rPr>
          <w:b/>
          <w:bCs/>
        </w:rPr>
        <w:t xml:space="preserve">każdy</w:t>
      </w:r>
      <w:r>
        <w:t xml:space="preserve"> </w:t>
      </w:r>
      <w:r>
        <w:t xml:space="preserve">kontakt z technologią jest szkodliwy. Literatura pokazuje, że szkody i korzyści zależą od</w:t>
      </w:r>
      <w:r>
        <w:t xml:space="preserve"> </w:t>
      </w:r>
      <w:r>
        <w:rPr>
          <w:b/>
          <w:bCs/>
        </w:rPr>
        <w:t xml:space="preserve">czterech rzeczy naraz</w:t>
      </w:r>
      <w:r>
        <w:t xml:space="preserve">: czasu, treści, kontekstu i projektu aplikacji. Dobrze zaprojektowane, spokojne, wiekowo adekwatne treści edukacyjne, używane krótko, wspólnie z rodzicem, mogą wspierać niektóre aspekty uczenia się, zwłaszcza po 2.–3. roku życia. Natomiast ryzyko rośnie, gdy ekran zastępuje sen, rozmowę, wspólną zabawę, ruch, czytanie, naukę samoregulacji i kontakt „twarzą w twarz”, a także gdy treści są szybkie, nagradzające, komercyjne, algorytmicznie podsuwane albo używane do „gaszenia” złości i nudy.</w:t>
      </w:r>
      <w:r>
        <w:t xml:space="preserve"> </w:t>
      </w:r>
      <w:hyperlink r:id="rId22">
        <w:r>
          <w:rPr>
            <w:rStyle w:val="Hyperlink"/>
          </w:rPr>
          <w:t xml:space="preserve">[2]</w:t>
        </w:r>
      </w:hyperlink>
    </w:p>
    <w:p>
      <w:pPr>
        <w:pStyle w:val="BodyText"/>
      </w:pPr>
      <w:r>
        <w:t xml:space="preserve">Z punktu widzenia psychologii rozwojowej i neuropsychologii wiek 3–5 lat, a więc także</w:t>
      </w:r>
      <w:r>
        <w:t xml:space="preserve"> </w:t>
      </w:r>
      <w:r>
        <w:rPr>
          <w:b/>
          <w:bCs/>
        </w:rPr>
        <w:t xml:space="preserve">4 lata</w:t>
      </w:r>
      <w:r>
        <w:t xml:space="preserve">, to okres szczególnie wrażliwy dla rozwoju</w:t>
      </w:r>
      <w:r>
        <w:t xml:space="preserve"> </w:t>
      </w:r>
      <w:r>
        <w:rPr>
          <w:b/>
          <w:bCs/>
        </w:rPr>
        <w:t xml:space="preserve">języka, funkcji wykonawczych, samoregulacji emocji, zabawy symbolicznej i wczesnych umiejętności przedczytelniczych</w:t>
      </w:r>
      <w:r>
        <w:t xml:space="preserve">. W badaniach kohortowych większa ekspozycja ekranowa we wczesnym dzieciństwie wiązała się z gorszym wynikiem przesiewu rozwojowego, opóźnieniami w komunikacji i rozwiązywaniu problemów, problemami z uwagą oraz złością/frustracją. Jednocześnie część tych zależności jest prawdopodobnie</w:t>
      </w:r>
      <w:r>
        <w:t xml:space="preserve"> </w:t>
      </w:r>
      <w:r>
        <w:rPr>
          <w:b/>
          <w:bCs/>
        </w:rPr>
        <w:t xml:space="preserve">dwukierunkowa</w:t>
      </w:r>
      <w:r>
        <w:t xml:space="preserve">: dzieci z większymi trudnościami emocjonalnymi częściej sięgają po ekrany, a ekrany mogą te trudności dalej utrwalać.</w:t>
      </w:r>
      <w:r>
        <w:t xml:space="preserve"> </w:t>
      </w:r>
      <w:hyperlink r:id="rId23">
        <w:r>
          <w:rPr>
            <w:rStyle w:val="Hyperlink"/>
          </w:rPr>
          <w:t xml:space="preserve">[3]</w:t>
        </w:r>
      </w:hyperlink>
    </w:p>
    <w:p>
      <w:pPr>
        <w:pStyle w:val="BodyText"/>
      </w:pPr>
      <w:r>
        <w:t xml:space="preserve">Najbardziej wyważony wniosek praktyczny jest więc taki:</w:t>
      </w:r>
      <w:r>
        <w:t xml:space="preserve"> </w:t>
      </w:r>
      <w:r>
        <w:rPr>
          <w:b/>
          <w:bCs/>
        </w:rPr>
        <w:t xml:space="preserve">jeśli rodzina chce dopuścić u 4-latka gry cyfrowe, lepiej nie dawać mu własnego telefonu</w:t>
      </w:r>
      <w:r>
        <w:t xml:space="preserve">. Zamiast tego lepiej traktować ekran jako</w:t>
      </w:r>
      <w:r>
        <w:t xml:space="preserve"> </w:t>
      </w:r>
      <w:r>
        <w:rPr>
          <w:b/>
          <w:bCs/>
        </w:rPr>
        <w:t xml:space="preserve">okazjonalne, krótkie, wspólne narzędzie</w:t>
      </w:r>
      <w:r>
        <w:t xml:space="preserve">, wybierać treści wysokiej jakości, unikać używania urządzenia do uspokajania emocji, nie dopuszczać ekranu przed snem i pilnować, by technologia nie „wypychała” zabawy, ruchu, rozmowy i snu.</w:t>
      </w:r>
      <w:r>
        <w:t xml:space="preserve"> </w:t>
      </w:r>
      <w:hyperlink r:id="rId24">
        <w:r>
          <w:rPr>
            <w:rStyle w:val="Hyperlink"/>
          </w:rPr>
          <w:t xml:space="preserve">[4]</w:t>
        </w:r>
      </w:hyperlink>
    </w:p>
    <w:bookmarkEnd w:id="25"/>
    <w:bookmarkStart w:id="27" w:name="Xd3cb21a71289f33c423fec3de97d8459c12f9ff"/>
    <w:p>
      <w:pPr>
        <w:pStyle w:val="Heading2"/>
      </w:pPr>
      <w:r>
        <w:t xml:space="preserve">Wniosek praktyczny dla pytania o czterolatka</w:t>
      </w:r>
    </w:p>
    <w:p>
      <w:pPr>
        <w:pStyle w:val="FirstParagraph"/>
      </w:pPr>
      <w:r>
        <w:t xml:space="preserve">W świetle dostępnych danych</w:t>
      </w:r>
      <w:r>
        <w:t xml:space="preserve"> </w:t>
      </w:r>
      <w:r>
        <w:rPr>
          <w:b/>
          <w:bCs/>
        </w:rPr>
        <w:t xml:space="preserve">najrozsądniejsza odpowiedź brzmi: nie, nie warto dawać czteroletniemu dziecku własnego telefonu do gier jako stałego przedmiotu osobistego</w:t>
      </w:r>
      <w:r>
        <w:t xml:space="preserve">. Taki model używania zwiększa prawdopodobieństwo samotnego korzystania, „otwartego dostępu”, używania telefonu jako regulatora emocji, ekspozycji na treści komercyjne i algorytmiczne oraz wypierania aktywności rozwojowo ważniejszych. AAP w materiałach dla rodziców przedszkolaków pisze wprost:</w:t>
      </w:r>
      <w:r>
        <w:t xml:space="preserve"> </w:t>
      </w:r>
      <w:r>
        <w:rPr>
          <w:b/>
          <w:bCs/>
        </w:rPr>
        <w:t xml:space="preserve">„AVOID letting your child have open-access to a tablet or phone”</w:t>
      </w:r>
      <w:r>
        <w:t xml:space="preserve">; jednocześnie WHO i starsze rekomendacje AAP utrzymują dla wieku 2–5 lat limit około 1 godziny dziennie, z naciskiem na jakość i współuczestnictwo dorosłego.</w:t>
      </w:r>
      <w:r>
        <w:t xml:space="preserve"> </w:t>
      </w:r>
      <w:hyperlink r:id="rId24">
        <w:r>
          <w:rPr>
            <w:rStyle w:val="Hyperlink"/>
          </w:rPr>
          <w:t xml:space="preserve">[5]</w:t>
        </w:r>
      </w:hyperlink>
    </w:p>
    <w:p>
      <w:pPr>
        <w:pStyle w:val="BodyText"/>
      </w:pPr>
      <w:r>
        <w:t xml:space="preserve">Czy taki telefon będzie miał „negatywny wpływ”?</w:t>
      </w:r>
      <w:r>
        <w:t xml:space="preserve"> </w:t>
      </w:r>
      <w:r>
        <w:rPr>
          <w:b/>
          <w:bCs/>
        </w:rPr>
        <w:t xml:space="preserve">Prawdopodobnie tak — częściej niż nie — jeśli stanie się codziennym, samodzielnym i rozrywkowym narzędziem dziecka</w:t>
      </w:r>
      <w:r>
        <w:t xml:space="preserve">. Dowody są najmocniejsze dla ryzyka dotyczącego</w:t>
      </w:r>
      <w:r>
        <w:t xml:space="preserve"> </w:t>
      </w:r>
      <w:r>
        <w:rPr>
          <w:b/>
          <w:bCs/>
        </w:rPr>
        <w:t xml:space="preserve">snu, języka, uwagi, samoregulacji i zachowania</w:t>
      </w:r>
      <w:r>
        <w:t xml:space="preserve">, a nie dla jednego dramatycznego, nieuchronnego „uszkodzenia”. Mówiąc ściśle: w badaniach zwykle obserwuje się</w:t>
      </w:r>
      <w:r>
        <w:t xml:space="preserve"> </w:t>
      </w:r>
      <w:r>
        <w:rPr>
          <w:b/>
          <w:bCs/>
        </w:rPr>
        <w:t xml:space="preserve">zwiększenie ryzyka i gorsze średnie wyniki rozwojowe</w:t>
      </w:r>
      <w:r>
        <w:t xml:space="preserve">, a nie nieuchronną szkodę u każdego dziecka. W przedszkolu znaczenie mają zwłaszcza: całkowity czas ekranowy, treść nieadekwatna do wieku, ekran w tle, ekran podczas posiłków, korzystanie przed snem, opiekun stale patrzący w swój telefon oraz używanie urządzenia jako „cyfrowego smoczka”.</w:t>
      </w:r>
      <w:r>
        <w:t xml:space="preserve"> </w:t>
      </w:r>
      <w:hyperlink r:id="rId22">
        <w:r>
          <w:rPr>
            <w:rStyle w:val="Hyperlink"/>
          </w:rPr>
          <w:t xml:space="preserve">[6]</w:t>
        </w:r>
      </w:hyperlink>
    </w:p>
    <w:p>
      <w:pPr>
        <w:pStyle w:val="BodyText"/>
      </w:pPr>
      <w:r>
        <w:t xml:space="preserve">Jeśli jednak pytanie brzmi nie „czy w ogóle”, lecz „czy</w:t>
      </w:r>
      <w:r>
        <w:t xml:space="preserve"> </w:t>
      </w:r>
      <w:r>
        <w:rPr>
          <w:b/>
          <w:bCs/>
        </w:rPr>
        <w:t xml:space="preserve">jakikolwiek</w:t>
      </w:r>
      <w:r>
        <w:t xml:space="preserve"> </w:t>
      </w:r>
      <w:r>
        <w:t xml:space="preserve">kontakt z grą cyfrową jest zakazany?”, odpowiedź jest bardziej zniuansowana.</w:t>
      </w:r>
      <w:r>
        <w:t xml:space="preserve"> </w:t>
      </w:r>
      <w:r>
        <w:rPr>
          <w:b/>
          <w:bCs/>
        </w:rPr>
        <w:t xml:space="preserve">Krótkie, zaplanowane, wspólne korzystanie</w:t>
      </w:r>
      <w:r>
        <w:t xml:space="preserve"> </w:t>
      </w:r>
      <w:r>
        <w:t xml:space="preserve">z wolniejszych, edukacyjnych, wiekowo adekwatnych aplikacji lub gier może nie wywołać zauważalnej szkody, a czasem wspierać słownictwo, wczesne uczenie się i rozmowę — ale tylko wtedy, gdy to rodzic prowadzi kontekst, tłumaczy, rozmawia, przenosi treść poza ekran i nie pozwala, aby technologia zastąpiła zabawę oraz relację. Korzyści w badaniach dotyczą zwykle właśnie takich starannie kontrolowanych warunków, a nie swobodnego grania na własnym smartfonie.</w:t>
      </w:r>
      <w:r>
        <w:t xml:space="preserve"> </w:t>
      </w:r>
      <w:hyperlink r:id="rId26">
        <w:r>
          <w:rPr>
            <w:rStyle w:val="Hyperlink"/>
          </w:rPr>
          <w:t xml:space="preserve">[7]</w:t>
        </w:r>
      </w:hyperlink>
    </w:p>
    <w:bookmarkEnd w:id="27"/>
    <w:bookmarkStart w:id="37" w:name="X1c81d0c80bb6155d1003a43aad74d6df92b9b25"/>
    <w:p>
      <w:pPr>
        <w:pStyle w:val="Heading2"/>
      </w:pPr>
      <w:r>
        <w:t xml:space="preserve">Najważniejsze przeglądy, metaanalizy i badania</w:t>
      </w:r>
    </w:p>
    <w:p>
      <w:pPr>
        <w:pStyle w:val="FirstParagraph"/>
      </w:pPr>
      <w:r>
        <w:t xml:space="preserve">Poniższa tabela zbiera badania i wytyczne, które są najbardziej użyteczne dla praktycznego pytania o 4-latka. Priorytet nadałem oficjalnym wytycznym, metaanalizom i badaniom podłużnym z wczesnego dzieciństwa.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Autor / instytucja</w:t>
            </w:r>
          </w:p>
        </w:tc>
        <w:tc>
          <w:tcPr/>
          <w:p>
            <w:pPr>
              <w:pStyle w:val="Compact"/>
              <w:jc w:val="right"/>
            </w:pPr>
            <w:r>
              <w:t xml:space="preserve">Rok</w:t>
            </w:r>
          </w:p>
        </w:tc>
        <w:tc>
          <w:tcPr/>
          <w:p>
            <w:pPr>
              <w:pStyle w:val="Compact"/>
            </w:pPr>
            <w:r>
              <w:t xml:space="preserve">Typ</w:t>
            </w:r>
          </w:p>
        </w:tc>
        <w:tc>
          <w:tcPr/>
          <w:p>
            <w:pPr>
              <w:pStyle w:val="Compact"/>
            </w:pPr>
            <w:r>
              <w:t xml:space="preserve">Próba / zakres</w:t>
            </w:r>
          </w:p>
        </w:tc>
        <w:tc>
          <w:tcPr/>
          <w:p>
            <w:pPr>
              <w:pStyle w:val="Compact"/>
            </w:pPr>
            <w:r>
              <w:t xml:space="preserve">Główne wyniki</w:t>
            </w:r>
          </w:p>
        </w:tc>
        <w:tc>
          <w:tcPr/>
          <w:p>
            <w:pPr>
              <w:pStyle w:val="Compact"/>
            </w:pPr>
            <w:r>
              <w:t xml:space="preserve">Najważniejsze ograniczenia</w:t>
            </w:r>
          </w:p>
        </w:tc>
        <w:tc>
          <w:tcPr/>
          <w:p>
            <w:pPr>
              <w:pStyle w:val="Compact"/>
            </w:pPr>
            <w:r>
              <w:t xml:space="preserve">Źródło</w:t>
            </w:r>
          </w:p>
        </w:tc>
      </w:tr>
      <w:tr>
        <w:tc>
          <w:tcPr/>
          <w:p>
            <w:pPr>
              <w:pStyle w:val="Compact"/>
            </w:pPr>
            <w:r>
              <w:t xml:space="preserve">WHO</w:t>
            </w:r>
          </w:p>
        </w:tc>
        <w:tc>
          <w:tcPr/>
          <w:p>
            <w:pPr>
              <w:pStyle w:val="Compact"/>
              <w:jc w:val="right"/>
            </w:pPr>
            <w:r>
              <w:t xml:space="preserve">2019</w:t>
            </w:r>
          </w:p>
        </w:tc>
        <w:tc>
          <w:tcPr/>
          <w:p>
            <w:pPr>
              <w:pStyle w:val="Compact"/>
            </w:pPr>
            <w:r>
              <w:t xml:space="preserve">Oficjalne wytyczne</w:t>
            </w:r>
          </w:p>
        </w:tc>
        <w:tc>
          <w:tcPr/>
          <w:p>
            <w:pPr>
              <w:pStyle w:val="Compact"/>
            </w:pPr>
            <w:r>
              <w:t xml:space="preserve">Dzieci &lt;5 r.ż.</w:t>
            </w:r>
          </w:p>
        </w:tc>
        <w:tc>
          <w:tcPr/>
          <w:p>
            <w:pPr>
              <w:pStyle w:val="Compact"/>
            </w:pPr>
            <w:r>
              <w:t xml:space="preserve">Dla 3–4 lat: siedzący czas ekranowy</w:t>
            </w:r>
            <w:r>
              <w:t xml:space="preserve"> </w:t>
            </w:r>
            <w:r>
              <w:rPr>
                <w:b/>
                <w:bCs/>
              </w:rPr>
              <w:t xml:space="preserve">≤1 h/d</w:t>
            </w:r>
            <w:r>
              <w:t xml:space="preserve">, „mniej jest lepiej”; jednocześnie 180 min aktywności i 10–13 h snu.</w:t>
            </w:r>
          </w:p>
        </w:tc>
        <w:tc>
          <w:tcPr/>
          <w:p>
            <w:pPr>
              <w:pStyle w:val="Compact"/>
            </w:pPr>
            <w:r>
              <w:t xml:space="preserve">Wytyczne są ogólne; nie rozróżniają osobno smartfona, tabletu i poszczególnych gier.</w:t>
            </w:r>
          </w:p>
        </w:tc>
        <w:tc>
          <w:tcPr/>
          <w:p>
            <w:pPr>
              <w:pStyle w:val="Compact"/>
            </w:pPr>
            <w:r>
              <w:t xml:space="preserve">WHO Guidelines</w:t>
            </w:r>
            <w:r>
              <w:t xml:space="preserve"> </w:t>
            </w:r>
            <w:hyperlink r:id="rId21">
              <w:r>
                <w:rPr>
                  <w:rStyle w:val="Hyperlink"/>
                </w:rPr>
                <w:t xml:space="preserve">[8]</w:t>
              </w:r>
            </w:hyperlink>
          </w:p>
        </w:tc>
      </w:tr>
      <w:tr>
        <w:tc>
          <w:tcPr/>
          <w:p>
            <w:pPr>
              <w:pStyle w:val="Compact"/>
            </w:pPr>
            <w:r>
              <w:t xml:space="preserve">Council on Communications and Media, AAP</w:t>
            </w:r>
          </w:p>
        </w:tc>
        <w:tc>
          <w:tcPr/>
          <w:p>
            <w:pPr>
              <w:pStyle w:val="Compact"/>
              <w:jc w:val="right"/>
            </w:pPr>
            <w:r>
              <w:t xml:space="preserve">2016</w:t>
            </w:r>
          </w:p>
        </w:tc>
        <w:tc>
          <w:tcPr/>
          <w:p>
            <w:pPr>
              <w:pStyle w:val="Compact"/>
            </w:pPr>
            <w:r>
              <w:t xml:space="preserve">Oficjalne wytyczne / policy statement</w:t>
            </w:r>
          </w:p>
        </w:tc>
        <w:tc>
          <w:tcPr/>
          <w:p>
            <w:pPr>
              <w:pStyle w:val="Compact"/>
            </w:pPr>
            <w:r>
              <w:t xml:space="preserve">Dzieci 0–5</w:t>
            </w:r>
          </w:p>
        </w:tc>
        <w:tc>
          <w:tcPr/>
          <w:p>
            <w:pPr>
              <w:pStyle w:val="Compact"/>
            </w:pPr>
            <w:r>
              <w:t xml:space="preserve">Dla 2–5 lat:</w:t>
            </w:r>
            <w:r>
              <w:t xml:space="preserve"> </w:t>
            </w:r>
            <w:r>
              <w:rPr>
                <w:b/>
                <w:bCs/>
              </w:rPr>
              <w:t xml:space="preserve">do 1 h/d wysokiej jakości treści</w:t>
            </w:r>
            <w:r>
              <w:t xml:space="preserve">, najlepiej z rodzicem; wskazano też, że wybrane programy i aplikacje edukacyjne mogą wspierać rozwój 3–5-latków.</w:t>
            </w:r>
          </w:p>
        </w:tc>
        <w:tc>
          <w:tcPr/>
          <w:p>
            <w:pPr>
              <w:pStyle w:val="Compact"/>
            </w:pPr>
            <w:r>
              <w:t xml:space="preserve">Dokument z 2016 r.; obecnie uzupełniany przez nowsze materiały AAP skupione na jakości i kontekście.</w:t>
            </w:r>
          </w:p>
        </w:tc>
        <w:tc>
          <w:tcPr/>
          <w:p>
            <w:pPr>
              <w:pStyle w:val="Compact"/>
            </w:pPr>
            <w:r>
              <w:t xml:space="preserve">AAP</w:t>
            </w:r>
            <w:r>
              <w:t xml:space="preserve"> </w:t>
            </w:r>
            <w:r>
              <w:rPr>
                <w:i/>
                <w:iCs/>
              </w:rPr>
              <w:t xml:space="preserve">Media and Young Minds</w:t>
            </w:r>
            <w:r>
              <w:t xml:space="preserve"> </w:t>
            </w:r>
            <w:hyperlink r:id="rId28">
              <w:r>
                <w:rPr>
                  <w:rStyle w:val="Hyperlink"/>
                </w:rPr>
                <w:t xml:space="preserve">[9]</w:t>
              </w:r>
            </w:hyperlink>
          </w:p>
        </w:tc>
      </w:tr>
      <w:tr>
        <w:tc>
          <w:tcPr/>
          <w:p>
            <w:pPr>
              <w:pStyle w:val="Compact"/>
            </w:pPr>
            <w:r>
              <w:t xml:space="preserve">AAP Center of Excellence / HealthyChildren</w:t>
            </w:r>
          </w:p>
        </w:tc>
        <w:tc>
          <w:tcPr/>
          <w:p>
            <w:pPr>
              <w:pStyle w:val="Compact"/>
              <w:jc w:val="right"/>
            </w:pPr>
            <w:r>
              <w:t xml:space="preserve">2024–2026</w:t>
            </w:r>
          </w:p>
        </w:tc>
        <w:tc>
          <w:tcPr/>
          <w:p>
            <w:pPr>
              <w:pStyle w:val="Compact"/>
            </w:pPr>
            <w:r>
              <w:t xml:space="preserve">Aktualizacja zaleceń praktycznych</w:t>
            </w:r>
          </w:p>
        </w:tc>
        <w:tc>
          <w:tcPr/>
          <w:p>
            <w:pPr>
              <w:pStyle w:val="Compact"/>
            </w:pPr>
            <w:r>
              <w:t xml:space="preserve">Przedszkolaki</w:t>
            </w:r>
          </w:p>
        </w:tc>
        <w:tc>
          <w:tcPr/>
          <w:p>
            <w:pPr>
              <w:pStyle w:val="Compact"/>
            </w:pPr>
            <w:r>
              <w:t xml:space="preserve">AAP zaleca dla przedszkolaków myślenie przez „5 C”; podkreśla, by</w:t>
            </w:r>
            <w:r>
              <w:t xml:space="preserve"> </w:t>
            </w:r>
            <w:r>
              <w:rPr>
                <w:b/>
                <w:bCs/>
              </w:rPr>
              <w:t xml:space="preserve">nie dawać otwartego dostępu do telefonu/tabletu</w:t>
            </w:r>
            <w:r>
              <w:t xml:space="preserve">, nie używać ekranów do uspokajania emocji i dbać, by media nie wypierały zabawy, ruchu, książek i snu.</w:t>
            </w:r>
          </w:p>
        </w:tc>
        <w:tc>
          <w:tcPr/>
          <w:p>
            <w:pPr>
              <w:pStyle w:val="Compact"/>
            </w:pPr>
            <w:r>
              <w:t xml:space="preserve">To praktyczne materiały wdrożeniowe, nie pierwotne badania.</w:t>
            </w:r>
          </w:p>
        </w:tc>
        <w:tc>
          <w:tcPr/>
          <w:p>
            <w:pPr>
              <w:pStyle w:val="Compact"/>
            </w:pPr>
            <w:r>
              <w:t xml:space="preserve">HealthyChildren / AAP</w:t>
            </w:r>
            <w:r>
              <w:t xml:space="preserve"> </w:t>
            </w:r>
            <w:hyperlink r:id="rId24">
              <w:r>
                <w:rPr>
                  <w:rStyle w:val="Hyperlink"/>
                </w:rPr>
                <w:t xml:space="preserve">[10]</w:t>
              </w:r>
            </w:hyperlink>
          </w:p>
        </w:tc>
      </w:tr>
      <w:tr>
        <w:tc>
          <w:tcPr/>
          <w:p>
            <w:pPr>
              <w:pStyle w:val="Compact"/>
            </w:pPr>
            <w:r>
              <w:t xml:space="preserve">Mallawaarachchi i wsp.</w:t>
            </w:r>
          </w:p>
        </w:tc>
        <w:tc>
          <w:tcPr/>
          <w:p>
            <w:pPr>
              <w:pStyle w:val="Compact"/>
              <w:jc w:val="right"/>
            </w:pPr>
            <w:r>
              <w:t xml:space="preserve">2024</w:t>
            </w:r>
          </w:p>
        </w:tc>
        <w:tc>
          <w:tcPr/>
          <w:p>
            <w:pPr>
              <w:pStyle w:val="Compact"/>
            </w:pPr>
            <w:r>
              <w:t xml:space="preserve">Przegląd systematyczny i metaanaliza</w:t>
            </w:r>
          </w:p>
        </w:tc>
        <w:tc>
          <w:tcPr/>
          <w:p>
            <w:pPr>
              <w:pStyle w:val="Compact"/>
            </w:pPr>
            <w:r>
              <w:t xml:space="preserve">7 441 rekordów przesiewanych; wczesne dzieciństwo</w:t>
            </w:r>
          </w:p>
        </w:tc>
        <w:tc>
          <w:tcPr/>
          <w:p>
            <w:pPr>
              <w:pStyle w:val="Compact"/>
            </w:pPr>
            <w:r>
              <w:t xml:space="preserve">Więcej samego „oglądania programów” i TV w tle wiązało się z gorszymi wynikami poznawczymi; wiekowo nieadekwatne treści i ekranowa aktywność opiekuna wiązały się z gorszymi wynikami psychospołecznymi;</w:t>
            </w:r>
            <w:r>
              <w:t xml:space="preserve"> </w:t>
            </w:r>
            <w:r>
              <w:rPr>
                <w:b/>
                <w:bCs/>
              </w:rPr>
              <w:t xml:space="preserve">co-use</w:t>
            </w:r>
            <w:r>
              <w:t xml:space="preserve"> </w:t>
            </w:r>
            <w:r>
              <w:t xml:space="preserve">miało dodatni związek z wynikami poznawczymi.</w:t>
            </w:r>
          </w:p>
        </w:tc>
        <w:tc>
          <w:tcPr/>
          <w:p>
            <w:pPr>
              <w:pStyle w:val="Compact"/>
            </w:pPr>
            <w:r>
              <w:t xml:space="preserve">Heterogeniczność badań i przewaga badań obserwacyjnych.</w:t>
            </w:r>
          </w:p>
        </w:tc>
        <w:tc>
          <w:tcPr/>
          <w:p>
            <w:pPr>
              <w:pStyle w:val="Compact"/>
            </w:pPr>
            <w:r>
              <w:t xml:space="preserve">JAMA Pediatrics 2024</w:t>
            </w:r>
            <w:r>
              <w:t xml:space="preserve"> </w:t>
            </w:r>
            <w:hyperlink r:id="rId22">
              <w:r>
                <w:rPr>
                  <w:rStyle w:val="Hyperlink"/>
                </w:rPr>
                <w:t xml:space="preserve">[11]</w:t>
              </w:r>
            </w:hyperlink>
          </w:p>
        </w:tc>
      </w:tr>
      <w:tr>
        <w:tc>
          <w:tcPr/>
          <w:p>
            <w:pPr>
              <w:pStyle w:val="Compact"/>
            </w:pPr>
            <w:r>
              <w:t xml:space="preserve">Vasconcellos i wsp.</w:t>
            </w:r>
          </w:p>
        </w:tc>
        <w:tc>
          <w:tcPr/>
          <w:p>
            <w:pPr>
              <w:pStyle w:val="Compact"/>
              <w:jc w:val="right"/>
            </w:pPr>
            <w:r>
              <w:t xml:space="preserve">2025</w:t>
            </w:r>
          </w:p>
        </w:tc>
        <w:tc>
          <w:tcPr/>
          <w:p>
            <w:pPr>
              <w:pStyle w:val="Compact"/>
            </w:pPr>
            <w:r>
              <w:t xml:space="preserve">Przegląd systematyczny i metaanaliza podłużna</w:t>
            </w:r>
          </w:p>
        </w:tc>
        <w:tc>
          <w:tcPr/>
          <w:p>
            <w:pPr>
              <w:pStyle w:val="Compact"/>
            </w:pPr>
            <w:r>
              <w:t xml:space="preserve">132 badania; 117 zmetaanalizowanych; 292 739 dzieci</w:t>
            </w:r>
          </w:p>
        </w:tc>
        <w:tc>
          <w:tcPr/>
          <w:p>
            <w:pPr>
              <w:pStyle w:val="Compact"/>
            </w:pPr>
            <w:r>
              <w:t xml:space="preserve">Ekrany i problemy społeczno-emocjonalne tworzą relację</w:t>
            </w:r>
            <w:r>
              <w:t xml:space="preserve"> </w:t>
            </w:r>
            <w:r>
              <w:rPr>
                <w:b/>
                <w:bCs/>
              </w:rPr>
              <w:t xml:space="preserve">dwukierunkową</w:t>
            </w:r>
            <w:r>
              <w:t xml:space="preserve">; silniejsze związki notowano dla</w:t>
            </w:r>
            <w:r>
              <w:t xml:space="preserve"> </w:t>
            </w:r>
            <w:r>
              <w:rPr>
                <w:b/>
                <w:bCs/>
              </w:rPr>
              <w:t xml:space="preserve">gier</w:t>
            </w:r>
            <w:r>
              <w:t xml:space="preserve"> </w:t>
            </w:r>
            <w:r>
              <w:t xml:space="preserve">niż dla części innych form używania ekranów.</w:t>
            </w:r>
          </w:p>
        </w:tc>
        <w:tc>
          <w:tcPr/>
          <w:p>
            <w:pPr>
              <w:pStyle w:val="Compact"/>
            </w:pPr>
            <w:r>
              <w:t xml:space="preserve">Efekty są zwykle małe, a badania różnią się miarami ekspozycji i wyników.</w:t>
            </w:r>
          </w:p>
        </w:tc>
        <w:tc>
          <w:tcPr/>
          <w:p>
            <w:pPr>
              <w:pStyle w:val="Compact"/>
            </w:pPr>
            <w:r>
              <w:rPr>
                <w:i/>
                <w:iCs/>
              </w:rPr>
              <w:t xml:space="preserve">Psychological Bulletin</w:t>
            </w:r>
            <w:r>
              <w:t xml:space="preserve"> </w:t>
            </w:r>
            <w:r>
              <w:t xml:space="preserve">2025</w:t>
            </w:r>
            <w:r>
              <w:t xml:space="preserve"> </w:t>
            </w:r>
            <w:hyperlink r:id="rId29">
              <w:r>
                <w:rPr>
                  <w:rStyle w:val="Hyperlink"/>
                </w:rPr>
                <w:t xml:space="preserve">[12]</w:t>
              </w:r>
            </w:hyperlink>
          </w:p>
        </w:tc>
      </w:tr>
      <w:tr>
        <w:tc>
          <w:tcPr/>
          <w:p>
            <w:pPr>
              <w:pStyle w:val="Compact"/>
            </w:pPr>
            <w:r>
              <w:t xml:space="preserve">Jing, Ye, Kirkorian, Mares</w:t>
            </w:r>
          </w:p>
        </w:tc>
        <w:tc>
          <w:tcPr/>
          <w:p>
            <w:pPr>
              <w:pStyle w:val="Compact"/>
              <w:jc w:val="right"/>
            </w:pPr>
            <w:r>
              <w:t xml:space="preserve">2023</w:t>
            </w:r>
          </w:p>
        </w:tc>
        <w:tc>
          <w:tcPr/>
          <w:p>
            <w:pPr>
              <w:pStyle w:val="Compact"/>
            </w:pPr>
            <w:r>
              <w:t xml:space="preserve">Metaanaliza</w:t>
            </w:r>
          </w:p>
        </w:tc>
        <w:tc>
          <w:tcPr/>
          <w:p>
            <w:pPr>
              <w:pStyle w:val="Compact"/>
            </w:pPr>
            <w:r>
              <w:t xml:space="preserve">63 badania; 266 efektów; N=11 413</w:t>
            </w:r>
          </w:p>
        </w:tc>
        <w:tc>
          <w:tcPr/>
          <w:p>
            <w:pPr>
              <w:pStyle w:val="Compact"/>
            </w:pPr>
            <w:r>
              <w:t xml:space="preserve">Związek ekranów ze słownictwem nie jest jednolicie negatywny; wyniki zależą od wieku dziecka, rodzaju treści i warunków społecznych uczenia się.</w:t>
            </w:r>
          </w:p>
        </w:tc>
        <w:tc>
          <w:tcPr/>
          <w:p>
            <w:pPr>
              <w:pStyle w:val="Compact"/>
            </w:pPr>
            <w:r>
              <w:t xml:space="preserve">Wspólna metryka łączy bardzo różne formy ekranów i zadań językowych.</w:t>
            </w:r>
          </w:p>
        </w:tc>
        <w:tc>
          <w:tcPr/>
          <w:p>
            <w:pPr>
              <w:pStyle w:val="Compact"/>
            </w:pPr>
            <w:r>
              <w:rPr>
                <w:i/>
                <w:iCs/>
              </w:rPr>
              <w:t xml:space="preserve">Child Development</w:t>
            </w:r>
            <w:r>
              <w:t xml:space="preserve"> </w:t>
            </w:r>
            <w:r>
              <w:t xml:space="preserve">2023</w:t>
            </w:r>
            <w:r>
              <w:t xml:space="preserve"> </w:t>
            </w:r>
            <w:hyperlink r:id="rId26">
              <w:r>
                <w:rPr>
                  <w:rStyle w:val="Hyperlink"/>
                </w:rPr>
                <w:t xml:space="preserve">[13]</w:t>
              </w:r>
            </w:hyperlink>
          </w:p>
        </w:tc>
      </w:tr>
      <w:tr>
        <w:tc>
          <w:tcPr/>
          <w:p>
            <w:pPr>
              <w:pStyle w:val="Compact"/>
            </w:pPr>
            <w:r>
              <w:t xml:space="preserve">Taylor i wsp.</w:t>
            </w:r>
          </w:p>
        </w:tc>
        <w:tc>
          <w:tcPr/>
          <w:p>
            <w:pPr>
              <w:pStyle w:val="Compact"/>
              <w:jc w:val="right"/>
            </w:pPr>
            <w:r>
              <w:t xml:space="preserve">2024</w:t>
            </w:r>
          </w:p>
        </w:tc>
        <w:tc>
          <w:tcPr/>
          <w:p>
            <w:pPr>
              <w:pStyle w:val="Compact"/>
            </w:pPr>
            <w:r>
              <w:t xml:space="preserve">Przegląd systematyczny z metaanalizą</w:t>
            </w:r>
          </w:p>
        </w:tc>
        <w:tc>
          <w:tcPr/>
          <w:p>
            <w:pPr>
              <w:pStyle w:val="Compact"/>
            </w:pPr>
            <w:r>
              <w:t xml:space="preserve">17 badań; 100 efektów; N=1 288</w:t>
            </w:r>
          </w:p>
        </w:tc>
        <w:tc>
          <w:tcPr/>
          <w:p>
            <w:pPr>
              <w:pStyle w:val="Compact"/>
            </w:pPr>
            <w:r>
              <w:rPr>
                <w:b/>
                <w:bCs/>
              </w:rPr>
              <w:t xml:space="preserve">Współużytkowanie dorosły–dziecko</w:t>
            </w:r>
            <w:r>
              <w:t xml:space="preserve"> </w:t>
            </w:r>
            <w:r>
              <w:t xml:space="preserve">podczas korzystania z mediów cyfrowych miało mały dodatni związek z uczeniem się dzieci 0–6 lat.</w:t>
            </w:r>
          </w:p>
        </w:tc>
        <w:tc>
          <w:tcPr/>
          <w:p>
            <w:pPr>
              <w:pStyle w:val="Compact"/>
            </w:pPr>
            <w:r>
              <w:t xml:space="preserve">Mała liczba badań i ograniczona standaryzacja „co-use”.</w:t>
            </w:r>
          </w:p>
        </w:tc>
        <w:tc>
          <w:tcPr/>
          <w:p>
            <w:pPr>
              <w:pStyle w:val="Compact"/>
            </w:pPr>
            <w:r>
              <w:rPr>
                <w:i/>
                <w:iCs/>
              </w:rPr>
              <w:t xml:space="preserve">Educational Research Review</w:t>
            </w:r>
            <w:r>
              <w:t xml:space="preserve"> </w:t>
            </w:r>
            <w:r>
              <w:t xml:space="preserve">2024</w:t>
            </w:r>
            <w:r>
              <w:t xml:space="preserve"> </w:t>
            </w:r>
            <w:hyperlink r:id="rId30">
              <w:r>
                <w:rPr>
                  <w:rStyle w:val="Hyperlink"/>
                </w:rPr>
                <w:t xml:space="preserve">[14]</w:t>
              </w:r>
            </w:hyperlink>
          </w:p>
        </w:tc>
      </w:tr>
      <w:tr>
        <w:tc>
          <w:tcPr/>
          <w:p>
            <w:pPr>
              <w:pStyle w:val="Compact"/>
            </w:pPr>
            <w:r>
              <w:t xml:space="preserve">Bustamante, Fernández-Castilla, Alcaraz-Iborra</w:t>
            </w:r>
          </w:p>
        </w:tc>
        <w:tc>
          <w:tcPr/>
          <w:p>
            <w:pPr>
              <w:pStyle w:val="Compact"/>
              <w:jc w:val="right"/>
            </w:pPr>
            <w:r>
              <w:t xml:space="preserve">2023</w:t>
            </w:r>
          </w:p>
        </w:tc>
        <w:tc>
          <w:tcPr/>
          <w:p>
            <w:pPr>
              <w:pStyle w:val="Compact"/>
            </w:pPr>
            <w:r>
              <w:t xml:space="preserve">Metaanaliza</w:t>
            </w:r>
          </w:p>
        </w:tc>
        <w:tc>
          <w:tcPr/>
          <w:p>
            <w:pPr>
              <w:pStyle w:val="Compact"/>
            </w:pPr>
            <w:r>
              <w:t xml:space="preserve">15 badań; N=6 922; 0–6 lat</w:t>
            </w:r>
          </w:p>
        </w:tc>
        <w:tc>
          <w:tcPr/>
          <w:p>
            <w:pPr>
              <w:pStyle w:val="Compact"/>
            </w:pPr>
            <w:r>
              <w:t xml:space="preserve">Jedna z najważniejszych metaanaliz łączących ogólny czas ekranowy z funkcjami wykonawczymi u dzieci do 6 lat.</w:t>
            </w:r>
          </w:p>
        </w:tc>
        <w:tc>
          <w:tcPr/>
          <w:p>
            <w:pPr>
              <w:pStyle w:val="Compact"/>
            </w:pPr>
            <w:r>
              <w:t xml:space="preserve">Mało badań eksperymentalnych; duża zmienność metod.</w:t>
            </w:r>
          </w:p>
        </w:tc>
        <w:tc>
          <w:tcPr/>
          <w:p>
            <w:pPr>
              <w:pStyle w:val="Compact"/>
            </w:pPr>
            <w:r>
              <w:rPr>
                <w:i/>
                <w:iCs/>
              </w:rPr>
              <w:t xml:space="preserve">Computers in Human Behavior</w:t>
            </w:r>
            <w:r>
              <w:t xml:space="preserve"> </w:t>
            </w:r>
            <w:r>
              <w:t xml:space="preserve">2023</w:t>
            </w:r>
            <w:r>
              <w:t xml:space="preserve"> </w:t>
            </w:r>
            <w:hyperlink r:id="rId31">
              <w:r>
                <w:rPr>
                  <w:rStyle w:val="Hyperlink"/>
                </w:rPr>
                <w:t xml:space="preserve">[15]</w:t>
              </w:r>
            </w:hyperlink>
          </w:p>
        </w:tc>
      </w:tr>
      <w:tr>
        <w:tc>
          <w:tcPr/>
          <w:p>
            <w:pPr>
              <w:pStyle w:val="Compact"/>
            </w:pPr>
            <w:r>
              <w:t xml:space="preserve">Madigan i wsp.</w:t>
            </w:r>
          </w:p>
        </w:tc>
        <w:tc>
          <w:tcPr/>
          <w:p>
            <w:pPr>
              <w:pStyle w:val="Compact"/>
              <w:jc w:val="right"/>
            </w:pPr>
            <w:r>
              <w:t xml:space="preserve">2019</w:t>
            </w:r>
          </w:p>
        </w:tc>
        <w:tc>
          <w:tcPr/>
          <w:p>
            <w:pPr>
              <w:pStyle w:val="Compact"/>
            </w:pPr>
            <w:r>
              <w:t xml:space="preserve">Badanie kohortowe</w:t>
            </w:r>
          </w:p>
        </w:tc>
        <w:tc>
          <w:tcPr/>
          <w:p>
            <w:pPr>
              <w:pStyle w:val="Compact"/>
            </w:pPr>
            <w:r>
              <w:t xml:space="preserve">2 441 par matka–dziecko</w:t>
            </w:r>
          </w:p>
        </w:tc>
        <w:tc>
          <w:tcPr/>
          <w:p>
            <w:pPr>
              <w:pStyle w:val="Compact"/>
            </w:pPr>
            <w:r>
              <w:t xml:space="preserve">Większy czas ekranowy w 24. i 36. miesiącu był związany z gorszym wynikiem przesiewu rozwojowego w 36. i 60. miesiącu.</w:t>
            </w:r>
          </w:p>
        </w:tc>
        <w:tc>
          <w:tcPr/>
          <w:p>
            <w:pPr>
              <w:pStyle w:val="Compact"/>
            </w:pPr>
            <w:r>
              <w:t xml:space="preserve">Obserwacyjne; opiera się na raportach rodziców; nie rozdziela jakości treści.</w:t>
            </w:r>
          </w:p>
        </w:tc>
        <w:tc>
          <w:tcPr/>
          <w:p>
            <w:pPr>
              <w:pStyle w:val="Compact"/>
            </w:pPr>
            <w:r>
              <w:t xml:space="preserve">JAMA Pediatrics 2019</w:t>
            </w:r>
            <w:r>
              <w:t xml:space="preserve"> </w:t>
            </w:r>
            <w:hyperlink r:id="rId23">
              <w:r>
                <w:rPr>
                  <w:rStyle w:val="Hyperlink"/>
                </w:rPr>
                <w:t xml:space="preserve">[16]</w:t>
              </w:r>
            </w:hyperlink>
          </w:p>
        </w:tc>
      </w:tr>
      <w:tr>
        <w:tc>
          <w:tcPr/>
          <w:p>
            <w:pPr>
              <w:pStyle w:val="Compact"/>
            </w:pPr>
            <w:r>
              <w:t xml:space="preserve">Takahashi i wsp.</w:t>
            </w:r>
          </w:p>
        </w:tc>
        <w:tc>
          <w:tcPr/>
          <w:p>
            <w:pPr>
              <w:pStyle w:val="Compact"/>
              <w:jc w:val="right"/>
            </w:pPr>
            <w:r>
              <w:t xml:space="preserve">2023</w:t>
            </w:r>
          </w:p>
        </w:tc>
        <w:tc>
          <w:tcPr/>
          <w:p>
            <w:pPr>
              <w:pStyle w:val="Compact"/>
            </w:pPr>
            <w:r>
              <w:t xml:space="preserve">Badanie kohortowe</w:t>
            </w:r>
          </w:p>
        </w:tc>
        <w:tc>
          <w:tcPr/>
          <w:p>
            <w:pPr>
              <w:pStyle w:val="Compact"/>
            </w:pPr>
            <w:r>
              <w:t xml:space="preserve">7 097 par matka–dziecko</w:t>
            </w:r>
          </w:p>
        </w:tc>
        <w:tc>
          <w:tcPr/>
          <w:p>
            <w:pPr>
              <w:pStyle w:val="Compact"/>
            </w:pPr>
            <w:r>
              <w:t xml:space="preserve">U 1-latków obserwowano związek dawka–odpowiedź między większym czasem ekranowym a późniejszym opóźnieniem w</w:t>
            </w:r>
            <w:r>
              <w:t xml:space="preserve"> </w:t>
            </w:r>
            <w:r>
              <w:rPr>
                <w:b/>
                <w:bCs/>
              </w:rPr>
              <w:t xml:space="preserve">komunikacji</w:t>
            </w:r>
            <w:r>
              <w:t xml:space="preserve"> </w:t>
            </w:r>
            <w:r>
              <w:t xml:space="preserve">i</w:t>
            </w:r>
            <w:r>
              <w:t xml:space="preserve"> </w:t>
            </w:r>
            <w:r>
              <w:rPr>
                <w:b/>
                <w:bCs/>
              </w:rPr>
              <w:t xml:space="preserve">rozwiązywaniu problemów</w:t>
            </w:r>
            <w:r>
              <w:t xml:space="preserve"> </w:t>
            </w:r>
            <w:r>
              <w:t xml:space="preserve">w wieku 2 i 4 lat.</w:t>
            </w:r>
          </w:p>
        </w:tc>
        <w:tc>
          <w:tcPr/>
          <w:p>
            <w:pPr>
              <w:pStyle w:val="Compact"/>
            </w:pPr>
            <w:r>
              <w:t xml:space="preserve">Nadal obserwacyjne; ekspozycja oparta na raporcie rodziców.</w:t>
            </w:r>
          </w:p>
        </w:tc>
        <w:tc>
          <w:tcPr/>
          <w:p>
            <w:pPr>
              <w:pStyle w:val="Compact"/>
            </w:pPr>
            <w:r>
              <w:t xml:space="preserve">JAMA Pediatrics 2023</w:t>
            </w:r>
            <w:r>
              <w:t xml:space="preserve"> </w:t>
            </w:r>
            <w:hyperlink r:id="rId32">
              <w:r>
                <w:rPr>
                  <w:rStyle w:val="Hyperlink"/>
                </w:rPr>
                <w:t xml:space="preserve">[17]</w:t>
              </w:r>
            </w:hyperlink>
          </w:p>
        </w:tc>
      </w:tr>
      <w:tr>
        <w:tc>
          <w:tcPr/>
          <w:p>
            <w:pPr>
              <w:pStyle w:val="Compact"/>
            </w:pPr>
            <w:r>
              <w:t xml:space="preserve">Tamana i wsp.</w:t>
            </w:r>
          </w:p>
        </w:tc>
        <w:tc>
          <w:tcPr/>
          <w:p>
            <w:pPr>
              <w:pStyle w:val="Compact"/>
              <w:jc w:val="right"/>
            </w:pPr>
            <w:r>
              <w:t xml:space="preserve">2019</w:t>
            </w:r>
          </w:p>
        </w:tc>
        <w:tc>
          <w:tcPr/>
          <w:p>
            <w:pPr>
              <w:pStyle w:val="Compact"/>
            </w:pPr>
            <w:r>
              <w:t xml:space="preserve">Badanie kohortowe</w:t>
            </w:r>
          </w:p>
        </w:tc>
        <w:tc>
          <w:tcPr/>
          <w:p>
            <w:pPr>
              <w:pStyle w:val="Compact"/>
            </w:pPr>
            <w:r>
              <w:t xml:space="preserve">Przedszkolaki; CHILD Birth Cohort</w:t>
            </w:r>
          </w:p>
        </w:tc>
        <w:tc>
          <w:tcPr/>
          <w:p>
            <w:pPr>
              <w:pStyle w:val="Compact"/>
            </w:pPr>
            <w:r>
              <w:t xml:space="preserve">Czas ekranowy był związany z problemami z</w:t>
            </w:r>
            <w:r>
              <w:t xml:space="preserve"> </w:t>
            </w:r>
            <w:r>
              <w:rPr>
                <w:b/>
                <w:bCs/>
              </w:rPr>
              <w:t xml:space="preserve">nieuwagą</w:t>
            </w:r>
            <w:r>
              <w:t xml:space="preserve"> </w:t>
            </w:r>
            <w:r>
              <w:t xml:space="preserve">u przedszkolaków.</w:t>
            </w:r>
          </w:p>
        </w:tc>
        <w:tc>
          <w:tcPr/>
          <w:p>
            <w:pPr>
              <w:pStyle w:val="Compact"/>
            </w:pPr>
            <w:r>
              <w:t xml:space="preserve">Nie rozstrzyga w pełni kierunku zależności; nie analizuje szczegółowo jakości treści.</w:t>
            </w:r>
          </w:p>
        </w:tc>
        <w:tc>
          <w:tcPr/>
          <w:p>
            <w:pPr>
              <w:pStyle w:val="Compact"/>
            </w:pPr>
            <w:r>
              <w:t xml:space="preserve">PLoS ONE 2019</w:t>
            </w:r>
            <w:r>
              <w:t xml:space="preserve"> </w:t>
            </w:r>
            <w:hyperlink r:id="rId33">
              <w:r>
                <w:rPr>
                  <w:rStyle w:val="Hyperlink"/>
                </w:rPr>
                <w:t xml:space="preserve">[18]</w:t>
              </w:r>
            </w:hyperlink>
          </w:p>
        </w:tc>
      </w:tr>
      <w:tr>
        <w:tc>
          <w:tcPr/>
          <w:p>
            <w:pPr>
              <w:pStyle w:val="Compact"/>
            </w:pPr>
            <w:r>
              <w:t xml:space="preserve">Hutton i wsp.</w:t>
            </w:r>
          </w:p>
        </w:tc>
        <w:tc>
          <w:tcPr/>
          <w:p>
            <w:pPr>
              <w:pStyle w:val="Compact"/>
              <w:jc w:val="right"/>
            </w:pPr>
            <w:r>
              <w:t xml:space="preserve">2020</w:t>
            </w:r>
          </w:p>
        </w:tc>
        <w:tc>
          <w:tcPr/>
          <w:p>
            <w:pPr>
              <w:pStyle w:val="Compact"/>
            </w:pPr>
            <w:r>
              <w:t xml:space="preserve">Badanie neuroobrazowe DTI</w:t>
            </w:r>
          </w:p>
        </w:tc>
        <w:tc>
          <w:tcPr/>
          <w:p>
            <w:pPr>
              <w:pStyle w:val="Compact"/>
            </w:pPr>
            <w:r>
              <w:t xml:space="preserve">47 dzieci w wieku 3–5 lat</w:t>
            </w:r>
          </w:p>
        </w:tc>
        <w:tc>
          <w:tcPr/>
          <w:p>
            <w:pPr>
              <w:pStyle w:val="Compact"/>
            </w:pPr>
            <w:r>
              <w:t xml:space="preserve">Większe używanie ekranów było związane z</w:t>
            </w:r>
            <w:r>
              <w:t xml:space="preserve"> </w:t>
            </w:r>
            <w:r>
              <w:rPr>
                <w:b/>
                <w:bCs/>
              </w:rPr>
              <w:t xml:space="preserve">niższą integralnością istoty białej</w:t>
            </w:r>
            <w:r>
              <w:t xml:space="preserve"> </w:t>
            </w:r>
            <w:r>
              <w:t xml:space="preserve">w drogach wspierających język i wczesną alfabetyzację; korelowało też z niższymi wynikami językowymi i przedczytelniczymi.</w:t>
            </w:r>
          </w:p>
        </w:tc>
        <w:tc>
          <w:tcPr/>
          <w:p>
            <w:pPr>
              <w:pStyle w:val="Compact"/>
            </w:pPr>
            <w:r>
              <w:t xml:space="preserve">Mała próba; przekrój poprzeczny; brak wnioskowania przyczynowego.</w:t>
            </w:r>
          </w:p>
        </w:tc>
        <w:tc>
          <w:tcPr/>
          <w:p>
            <w:pPr>
              <w:pStyle w:val="Compact"/>
            </w:pPr>
            <w:r>
              <w:t xml:space="preserve">JAMA Pediatrics 2020</w:t>
            </w:r>
            <w:r>
              <w:t xml:space="preserve"> </w:t>
            </w:r>
            <w:hyperlink r:id="rId34">
              <w:r>
                <w:rPr>
                  <w:rStyle w:val="Hyperlink"/>
                </w:rPr>
                <w:t xml:space="preserve">[19]</w:t>
              </w:r>
            </w:hyperlink>
          </w:p>
        </w:tc>
      </w:tr>
      <w:tr>
        <w:tc>
          <w:tcPr/>
          <w:p>
            <w:pPr>
              <w:pStyle w:val="Compact"/>
            </w:pPr>
            <w:r>
              <w:t xml:space="preserve">Hutton i wsp.</w:t>
            </w:r>
          </w:p>
        </w:tc>
        <w:tc>
          <w:tcPr/>
          <w:p>
            <w:pPr>
              <w:pStyle w:val="Compact"/>
              <w:jc w:val="right"/>
            </w:pPr>
            <w:r>
              <w:t xml:space="preserve">2022</w:t>
            </w:r>
          </w:p>
        </w:tc>
        <w:tc>
          <w:tcPr/>
          <w:p>
            <w:pPr>
              <w:pStyle w:val="Compact"/>
            </w:pPr>
            <w:r>
              <w:t xml:space="preserve">Badanie neuroobrazowe MRI</w:t>
            </w:r>
          </w:p>
        </w:tc>
        <w:tc>
          <w:tcPr/>
          <w:p>
            <w:pPr>
              <w:pStyle w:val="Compact"/>
            </w:pPr>
            <w:r>
              <w:t xml:space="preserve">52 dzieci w wieku przedszkolnym</w:t>
            </w:r>
          </w:p>
        </w:tc>
        <w:tc>
          <w:tcPr/>
          <w:p>
            <w:pPr>
              <w:pStyle w:val="Compact"/>
            </w:pPr>
            <w:r>
              <w:t xml:space="preserve">Wyższe wyniki ScreenQ korelowały z mniejszą grubością kory i płytszymi bruzdami w prawostronnych obszarach potylicznych, ciemieniowych, skroniowych i wrzecionowatych, związanych z przetwarzaniem wzrokowym i wyższego rzędu.</w:t>
            </w:r>
          </w:p>
        </w:tc>
        <w:tc>
          <w:tcPr/>
          <w:p>
            <w:pPr>
              <w:pStyle w:val="Compact"/>
            </w:pPr>
            <w:r>
              <w:t xml:space="preserve">Mała próba; przekrój poprzeczny; znaczenie kliniczne zmian wymaga dalszych badań.</w:t>
            </w:r>
          </w:p>
        </w:tc>
        <w:tc>
          <w:tcPr/>
          <w:p>
            <w:pPr>
              <w:pStyle w:val="Compact"/>
            </w:pPr>
            <w:r>
              <w:rPr>
                <w:i/>
                <w:iCs/>
              </w:rPr>
              <w:t xml:space="preserve">Scientific Reports</w:t>
            </w:r>
            <w:r>
              <w:t xml:space="preserve"> </w:t>
            </w:r>
            <w:r>
              <w:t xml:space="preserve">2022</w:t>
            </w:r>
            <w:r>
              <w:t xml:space="preserve"> </w:t>
            </w:r>
            <w:hyperlink r:id="rId35">
              <w:r>
                <w:rPr>
                  <w:rStyle w:val="Hyperlink"/>
                </w:rPr>
                <w:t xml:space="preserve">[20]</w:t>
              </w:r>
            </w:hyperlink>
          </w:p>
        </w:tc>
      </w:tr>
      <w:tr>
        <w:tc>
          <w:tcPr/>
          <w:p>
            <w:pPr>
              <w:pStyle w:val="Compact"/>
            </w:pPr>
            <w:r>
              <w:t xml:space="preserve">Bernard i wsp. / EDEN cohort</w:t>
            </w:r>
          </w:p>
        </w:tc>
        <w:tc>
          <w:tcPr/>
          <w:p>
            <w:pPr>
              <w:pStyle w:val="Compact"/>
              <w:jc w:val="right"/>
            </w:pPr>
            <w:r>
              <w:t xml:space="preserve">2021</w:t>
            </w:r>
          </w:p>
        </w:tc>
        <w:tc>
          <w:tcPr/>
          <w:p>
            <w:pPr>
              <w:pStyle w:val="Compact"/>
            </w:pPr>
            <w:r>
              <w:t xml:space="preserve">Badanie kohortowe językowe</w:t>
            </w:r>
          </w:p>
        </w:tc>
        <w:tc>
          <w:tcPr/>
          <w:p>
            <w:pPr>
              <w:pStyle w:val="Compact"/>
            </w:pPr>
            <w:r>
              <w:t xml:space="preserve">1 562 dzieci</w:t>
            </w:r>
          </w:p>
        </w:tc>
        <w:tc>
          <w:tcPr/>
          <w:p>
            <w:pPr>
              <w:pStyle w:val="Compact"/>
            </w:pPr>
            <w:r>
              <w:t xml:space="preserve">Ekspozycja na TV podczas rodzinnych posiłków w wieku 2 lat była związana z gorszym rozwojem językowym później, niezależnie od samej długości ekspozycji.</w:t>
            </w:r>
          </w:p>
        </w:tc>
        <w:tc>
          <w:tcPr/>
          <w:p>
            <w:pPr>
              <w:pStyle w:val="Compact"/>
            </w:pPr>
            <w:r>
              <w:t xml:space="preserve">Dotyczy głównie TV i kontekstu rodzinnego, nie osobno smartfonów.</w:t>
            </w:r>
          </w:p>
        </w:tc>
        <w:tc>
          <w:tcPr/>
          <w:p>
            <w:pPr>
              <w:pStyle w:val="Compact"/>
            </w:pPr>
            <w:r>
              <w:rPr>
                <w:i/>
                <w:iCs/>
              </w:rPr>
              <w:t xml:space="preserve">Scientific Reports</w:t>
            </w:r>
            <w:r>
              <w:t xml:space="preserve"> </w:t>
            </w:r>
            <w:r>
              <w:t xml:space="preserve">/ EDEN cohort</w:t>
            </w:r>
            <w:r>
              <w:t xml:space="preserve"> </w:t>
            </w:r>
            <w:hyperlink r:id="rId36">
              <w:r>
                <w:rPr>
                  <w:rStyle w:val="Hyperlink"/>
                </w:rPr>
                <w:t xml:space="preserve">[21]</w:t>
              </w:r>
            </w:hyperlink>
          </w:p>
        </w:tc>
      </w:tr>
    </w:tbl>
    <w:p>
      <w:pPr>
        <w:pStyle w:val="BodyText"/>
      </w:pPr>
      <w:r>
        <w:t xml:space="preserve">Z punktu widzenia pytania o 4-latka najsilniej przemawiają trzy grupy dowodów:</w:t>
      </w:r>
      <w:r>
        <w:t xml:space="preserve"> </w:t>
      </w:r>
      <w:r>
        <w:rPr>
          <w:b/>
          <w:bCs/>
        </w:rPr>
        <w:t xml:space="preserve">oficjalne wytyczne WHO i AAP</w:t>
      </w:r>
      <w:r>
        <w:t xml:space="preserve">,</w:t>
      </w:r>
      <w:r>
        <w:t xml:space="preserve"> </w:t>
      </w:r>
      <w:r>
        <w:rPr>
          <w:b/>
          <w:bCs/>
        </w:rPr>
        <w:t xml:space="preserve">duże badania kohortowe z wczesnego dzieciństwa</w:t>
      </w:r>
      <w:r>
        <w:t xml:space="preserve"> </w:t>
      </w:r>
      <w:r>
        <w:t xml:space="preserve">oraz</w:t>
      </w:r>
      <w:r>
        <w:t xml:space="preserve"> </w:t>
      </w:r>
      <w:r>
        <w:rPr>
          <w:b/>
          <w:bCs/>
        </w:rPr>
        <w:t xml:space="preserve">nowsze metaanalizy pokazujące, że sam „czas ekranowy” to za mało — liczy się także treść, kontekst i projekt środowiska cyfrowego</w:t>
      </w:r>
      <w:r>
        <w:t xml:space="preserve">.</w:t>
      </w:r>
      <w:r>
        <w:t xml:space="preserve"> </w:t>
      </w:r>
      <w:hyperlink r:id="rId21">
        <w:r>
          <w:rPr>
            <w:rStyle w:val="Hyperlink"/>
          </w:rPr>
          <w:t xml:space="preserve">[22]</w:t>
        </w:r>
      </w:hyperlink>
    </w:p>
    <w:bookmarkEnd w:id="37"/>
    <w:bookmarkStart w:id="41" w:name="X4c5b71103efc8cd2314d856078a9e763f983838"/>
    <w:p>
      <w:pPr>
        <w:pStyle w:val="Heading2"/>
      </w:pPr>
      <w:r>
        <w:t xml:space="preserve">Mechanizmy wpływu z perspektywy psychologii rozwojowej i neuropsychologii</w:t>
      </w:r>
    </w:p>
    <w:p>
      <w:pPr>
        <w:pStyle w:val="FirstParagraph"/>
      </w:pPr>
      <w:r>
        <w:t xml:space="preserve">Najbardziej spójny sposób rozumienia wpływu technologii na dziecko nie polega na pytaniu „ile minut?”, tylko na pytaniu</w:t>
      </w:r>
      <w:r>
        <w:t xml:space="preserve"> </w:t>
      </w:r>
      <w:r>
        <w:rPr>
          <w:b/>
          <w:bCs/>
        </w:rPr>
        <w:t xml:space="preserve">„co ekran zastępuje i jak jest zaprojektowany?”</w:t>
      </w:r>
      <w:r>
        <w:t xml:space="preserve">. W literaturze dotyczącej małych dzieci powracają cztery klasy mechanizmów: mechanizmy</w:t>
      </w:r>
      <w:r>
        <w:t xml:space="preserve"> </w:t>
      </w:r>
      <w:r>
        <w:rPr>
          <w:b/>
          <w:bCs/>
        </w:rPr>
        <w:t xml:space="preserve">treściowe</w:t>
      </w:r>
      <w:r>
        <w:t xml:space="preserve"> </w:t>
      </w:r>
      <w:r>
        <w:t xml:space="preserve">(co dziecko ogląda lub w co gra),</w:t>
      </w:r>
      <w:r>
        <w:t xml:space="preserve"> </w:t>
      </w:r>
      <w:r>
        <w:rPr>
          <w:b/>
          <w:bCs/>
        </w:rPr>
        <w:t xml:space="preserve">formalne</w:t>
      </w:r>
      <w:r>
        <w:t xml:space="preserve"> </w:t>
      </w:r>
      <w:r>
        <w:t xml:space="preserve">(tempo, interaktywność, nagrody, dźwięki, przeskoki uwagi),</w:t>
      </w:r>
      <w:r>
        <w:t xml:space="preserve"> </w:t>
      </w:r>
      <w:r>
        <w:rPr>
          <w:b/>
          <w:bCs/>
        </w:rPr>
        <w:t xml:space="preserve">społeczne</w:t>
      </w:r>
      <w:r>
        <w:t xml:space="preserve"> </w:t>
      </w:r>
      <w:r>
        <w:t xml:space="preserve">(czy jest obok dorosły i czy rozmawia) oraz</w:t>
      </w:r>
      <w:r>
        <w:t xml:space="preserve"> </w:t>
      </w:r>
      <w:r>
        <w:rPr>
          <w:b/>
          <w:bCs/>
        </w:rPr>
        <w:t xml:space="preserve">wypierania aktywności</w:t>
      </w:r>
      <w:r>
        <w:t xml:space="preserve"> </w:t>
      </w:r>
      <w:r>
        <w:t xml:space="preserve">(sen, ruch, swobodna zabawa, czytanie, kontakt twarzą w twarz). Tę logikę wyraźnie wspierają zarówno przeglądy teoretyczne, jak i metaanalizy kontekstów używania ekranów.</w:t>
      </w:r>
      <w:r>
        <w:t xml:space="preserve"> </w:t>
      </w:r>
      <w:hyperlink r:id="rId38">
        <w:r>
          <w:rPr>
            <w:rStyle w:val="Hyperlink"/>
          </w:rPr>
          <w:t xml:space="preserve">[23]</w:t>
        </w:r>
      </w:hyperlink>
    </w:p>
    <w:p>
      <w:pPr>
        <w:pStyle w:val="BodyText"/>
      </w:pPr>
      <w:r>
        <w:t xml:space="preserve">Z perspektywy psychologii rozwojowej u 4-latka ekran może szkodzić nie dlatego, że „sam w sobie emituje zło”, lecz dlatego, że</w:t>
      </w:r>
      <w:r>
        <w:t xml:space="preserve"> </w:t>
      </w:r>
      <w:r>
        <w:rPr>
          <w:b/>
          <w:bCs/>
        </w:rPr>
        <w:t xml:space="preserve">wchodzi w konkurencję</w:t>
      </w:r>
      <w:r>
        <w:t xml:space="preserve"> </w:t>
      </w:r>
      <w:r>
        <w:t xml:space="preserve">z zadaniami rozwojowymi tego wieku: rozmową, naprzemiennością w relacji, zabawą wyobrażeniową, ćwiczeniem hamowania impulsów, nudą jako przestrzenią do samoregulacji, odkrywaniem świata wszystkimi zmysłami i uczeniem się zasad społecznych w realnym kontakcie. To tłumaczy, dlaczego TV w tle, ekran podczas posiłków i używanie telefonu jako „nagrody” albo „uspokajacza” regularnie pojawiają się w literaturze jako szczególnie niekorzystne wzorce.</w:t>
      </w:r>
      <w:r>
        <w:t xml:space="preserve"> </w:t>
      </w:r>
      <w:hyperlink r:id="rId39">
        <w:r>
          <w:rPr>
            <w:rStyle w:val="Hyperlink"/>
          </w:rPr>
          <w:t xml:space="preserve">[24]</w:t>
        </w:r>
      </w:hyperlink>
    </w:p>
    <w:p>
      <w:pPr>
        <w:pStyle w:val="BodyText"/>
      </w:pPr>
      <w:r>
        <w:t xml:space="preserve">Z perspektywy neuropsychologicznej kluczowe są dwa procesy. Pierwszy to</w:t>
      </w:r>
      <w:r>
        <w:t xml:space="preserve"> </w:t>
      </w:r>
      <w:r>
        <w:rPr>
          <w:b/>
          <w:bCs/>
        </w:rPr>
        <w:t xml:space="preserve">doświadczenio-zależne kształtowanie obwodów</w:t>
      </w:r>
      <w:r>
        <w:t xml:space="preserve">: mózg dziecka wzmacnia to, co ćwiczy najczęściej. Drugi to</w:t>
      </w:r>
      <w:r>
        <w:t xml:space="preserve"> </w:t>
      </w:r>
      <w:r>
        <w:rPr>
          <w:b/>
          <w:bCs/>
        </w:rPr>
        <w:t xml:space="preserve">działanie przez tor pośredni</w:t>
      </w:r>
      <w:r>
        <w:t xml:space="preserve">: technologia wpływa na sen, uwagę i relację z opiekunem, a dopiero przez to na uczenie się i zachowanie. Dlatego efekty bywają małe, ale rozlane na wiele domen naraz. W przedszkolu wystarczy, że ekran regularnie skraca rozmowę z rodzicem, zaburza wieczorne zasypianie albo zastępuje ćwiczenie samouspokajania, aby bilans rozwojowy przesunął się w niekorzystną stronę.</w:t>
      </w:r>
      <w:r>
        <w:t xml:space="preserve"> </w:t>
      </w:r>
      <w:hyperlink r:id="rId34">
        <w:r>
          <w:rPr>
            <w:rStyle w:val="Hyperlink"/>
          </w:rPr>
          <w:t xml:space="preserve">[25]</w:t>
        </w:r>
      </w:hyperlink>
    </w:p>
    <w:p>
      <w:pPr>
        <w:pStyle w:val="BodyText"/>
      </w:pPr>
      <w:r>
        <w:t xml:space="preserve">Mechanizm „</w:t>
      </w:r>
      <w:r>
        <w:rPr>
          <w:b/>
          <w:bCs/>
        </w:rPr>
        <w:t xml:space="preserve">cyfrowego smoczka</w:t>
      </w:r>
      <w:r>
        <w:t xml:space="preserve">” zasługuje na osobne podkreślenie. Jeśli dziecko regularnie dostaje telefon lub tablet po to, by natychmiast przerwać złość, frustrację albo nudę, to nie ćwiczy identyfikacji własnych emocji, ich tolerowania ani stopniowego wygaszania pobudzenia. To bardzo dobrze tłumaczy, dlaczego badania podłużne łączą używanie urządzeń do uspokajania z późniejszą większą reaktywnością emocjonalną, a badania nad tabletami w wieku 3,5–5,5 roku pokazują dwukierunkową spiralę: więcej tabletu — więcej złości/frustracji — potem znowu więcej tabletu.</w:t>
      </w:r>
      <w:r>
        <w:t xml:space="preserve"> </w:t>
      </w:r>
      <w:hyperlink r:id="rId40">
        <w:r>
          <w:rPr>
            <w:rStyle w:val="Hyperlink"/>
          </w:rPr>
          <w:t xml:space="preserve">[26]</w:t>
        </w:r>
      </w:hyperlink>
    </w:p>
    <w:bookmarkEnd w:id="41"/>
    <w:bookmarkStart w:id="48" w:name="X202cb6a95364ede0e3d2b192ea939eb8db1cb3c"/>
    <w:p>
      <w:pPr>
        <w:pStyle w:val="Heading2"/>
      </w:pPr>
      <w:r>
        <w:t xml:space="preserve">Rozwój mózgu według wieku i potencjalny wpływ technologii</w:t>
      </w:r>
    </w:p>
    <w:p>
      <w:pPr>
        <w:pStyle w:val="FirstParagraph"/>
      </w:pPr>
      <w:r>
        <w:t xml:space="preserve">Poniższy schemat syntetyzuje rozwój najważniejszych struktur i procesów mózgowych od niemowlęctwa do adolescencji oraz miejsca, w których środowisko ekranowe może najbardziej „wejść” w rozwój. To uproszczona mapa oparta na przeglądach rozwoju mózgu, badaniach neuroobrazowych u przedszkolaków i przeglądach neuroobrazowania u starszych dzieci i adolescentów.</w:t>
      </w:r>
      <w:r>
        <w:t xml:space="preserve"> </w:t>
      </w:r>
      <w:hyperlink r:id="rId42">
        <w:r>
          <w:rPr>
            <w:rStyle w:val="Hyperlink"/>
          </w:rPr>
          <w:t xml:space="preserve">[27]</w:t>
        </w:r>
      </w:hyperlink>
    </w:p>
    <w:p>
      <w:pPr>
        <w:pStyle w:val="SourceCode"/>
      </w:pPr>
      <w:r>
        <w:rPr>
          <w:rStyle w:val="VerbatimChar"/>
        </w:rPr>
        <w:t xml:space="preserve">flowchart LR</w:t>
      </w:r>
      <w:r>
        <w:br/>
      </w:r>
      <w:r>
        <w:rPr>
          <w:rStyle w:val="VerbatimChar"/>
        </w:rPr>
        <w:t xml:space="preserve">    A[Niemowlęctwo] --&gt; A1[Szybka synaptogeneza&lt;br/&gt;gwałtowna mielinizacja&lt;br/&gt;wrażliwość na relację i bodźce społeczne]</w:t>
      </w:r>
      <w:r>
        <w:br/>
      </w:r>
      <w:r>
        <w:rPr>
          <w:rStyle w:val="VerbatimChar"/>
        </w:rPr>
        <w:t xml:space="preserve">    B[1–3 lata] --&gt; B1[Szybki rozwój PFC&lt;br/&gt;język, pamięć, samoregulacja&lt;br/&gt;hipokamp i obwody społeczne]</w:t>
      </w:r>
      <w:r>
        <w:br/>
      </w:r>
      <w:r>
        <w:rPr>
          <w:rStyle w:val="VerbatimChar"/>
        </w:rPr>
        <w:t xml:space="preserve">    C[3–5 lat] --&gt; C1[Funkcje wykonawcze&lt;br/&gt;hamowanie reakcji&lt;br/&gt;trasy językowo-przedczytelnicze]</w:t>
      </w:r>
      <w:r>
        <w:br/>
      </w:r>
      <w:r>
        <w:rPr>
          <w:rStyle w:val="VerbatimChar"/>
        </w:rPr>
        <w:t xml:space="preserve">    D[6–12 lat] --&gt; D1[Refinacja sieci fronto-ciemieniowych&lt;br/&gt;dalsze pruning i mielinizacja&lt;br/&gt;hipokamp i ciało migdałowate dojrzewają]</w:t>
      </w:r>
      <w:r>
        <w:br/>
      </w:r>
      <w:r>
        <w:rPr>
          <w:rStyle w:val="VerbatimChar"/>
        </w:rPr>
        <w:t xml:space="preserve">    E[Adolescencja] --&gt; E1[Pruning i mielinizacja asocjacyjna&lt;br/&gt;dojrzewanie PFC&lt;br/&gt;refinacja połączeń PFC-amygdala i PFC-hipokamp]</w:t>
      </w:r>
      <w:r>
        <w:br/>
      </w:r>
      <w:r>
        <w:br/>
      </w:r>
      <w:r>
        <w:rPr>
          <w:rStyle w:val="VerbatimChar"/>
        </w:rPr>
        <w:t xml:space="preserve">    A1 --&gt; F[Największe ryzyko: wypieranie interakcji twarzą w twarz]</w:t>
      </w:r>
      <w:r>
        <w:br/>
      </w:r>
      <w:r>
        <w:rPr>
          <w:rStyle w:val="VerbatimChar"/>
        </w:rPr>
        <w:t xml:space="preserve">    B1 --&gt; G[Największe ryzyko: język i samoregulacja]</w:t>
      </w:r>
      <w:r>
        <w:br/>
      </w:r>
      <w:r>
        <w:rPr>
          <w:rStyle w:val="VerbatimChar"/>
        </w:rPr>
        <w:t xml:space="preserve">    C1 --&gt; H[Największe ryzyko: uwaga, emocje, sen, funkcje wykonawcze]</w:t>
      </w:r>
      <w:r>
        <w:br/>
      </w:r>
      <w:r>
        <w:rPr>
          <w:rStyle w:val="VerbatimChar"/>
        </w:rPr>
        <w:t xml:space="preserve">    D1 --&gt; I[Największe ryzyko: uwaga, sen, zachowanie, nauka]</w:t>
      </w:r>
      <w:r>
        <w:br/>
      </w:r>
      <w:r>
        <w:rPr>
          <w:rStyle w:val="VerbatimChar"/>
        </w:rPr>
        <w:t xml:space="preserve">    E1 --&gt; J[Największe ryzyko: nagroda natychmiastowa, kompulsywność, samokontrola]</w:t>
      </w:r>
    </w:p>
    <w:p>
      <w:pPr>
        <w:pStyle w:val="FirstParagraph"/>
      </w:pPr>
      <w:r>
        <w:rPr>
          <w:b/>
          <w:bCs/>
        </w:rPr>
        <w:t xml:space="preserve">Niemowlęctwo.</w:t>
      </w:r>
      <w:r>
        <w:t xml:space="preserve"> </w:t>
      </w:r>
      <w:r>
        <w:t xml:space="preserve">W tym okresie zachodzi bardzo szybka synaptogeneza, gwałtowny przyrost i organizacja istoty białej oraz wysoka zależność rozwoju od bodźców społecznych i sensorycznych „na żywo”. Kora przedczołowa rozwija się szybciej, niż kiedyś zakładano, już w pierwszych 0–2 latach życia, a rozwój istoty białej jest najszybszy właśnie w niemowlęctwie i wczesnym dzieciństwie. W praktyce oznacza to dużą plastyczność, ale i dużą podatność na</w:t>
      </w:r>
      <w:r>
        <w:t xml:space="preserve"> </w:t>
      </w:r>
      <w:r>
        <w:rPr>
          <w:b/>
          <w:bCs/>
        </w:rPr>
        <w:t xml:space="preserve">wypieranie bezpośredniej interakcji</w:t>
      </w:r>
      <w:r>
        <w:t xml:space="preserve"> </w:t>
      </w:r>
      <w:r>
        <w:t xml:space="preserve">przez ekran. Literatura o „video deficit” oraz wytyczne AAP/WHO są tu zgodne: dzieci do około 18–24 miesięcy uczą się ze świata realnego wyraźnie lepiej niż z ekranu.</w:t>
      </w:r>
      <w:r>
        <w:t xml:space="preserve"> </w:t>
      </w:r>
      <w:hyperlink r:id="rId43">
        <w:r>
          <w:rPr>
            <w:rStyle w:val="Hyperlink"/>
          </w:rPr>
          <w:t xml:space="preserve">[28]</w:t>
        </w:r>
      </w:hyperlink>
    </w:p>
    <w:p>
      <w:pPr>
        <w:pStyle w:val="BodyText"/>
      </w:pPr>
      <w:r>
        <w:rPr>
          <w:b/>
          <w:bCs/>
        </w:rPr>
        <w:t xml:space="preserve">Wiek 1–3 lata.</w:t>
      </w:r>
      <w:r>
        <w:t xml:space="preserve"> </w:t>
      </w:r>
      <w:r>
        <w:t xml:space="preserve">Nadal intensywnie rozwijają się kora przedczołowa, wczesne obwody wykonawcze, pamięć zależna od hipokampa i obwody emocjonalno-społeczne, w tym ciało migdałowate. To także okres bardzo szybkiego rozwoju języka i naprzemienności społecznej. Dlatego w badaniach kohortowych największa regularność szkód dotyczy właśnie</w:t>
      </w:r>
      <w:r>
        <w:t xml:space="preserve"> </w:t>
      </w:r>
      <w:r>
        <w:rPr>
          <w:b/>
          <w:bCs/>
        </w:rPr>
        <w:t xml:space="preserve">komunikacji, rozwiązywania problemów, samoregulacji i uwagi</w:t>
      </w:r>
      <w:r>
        <w:t xml:space="preserve">, zwłaszcza przy dłuższym czasie ekspozycji oraz przy słabym kontekście społecznym.</w:t>
      </w:r>
      <w:r>
        <w:t xml:space="preserve"> </w:t>
      </w:r>
      <w:hyperlink r:id="rId44">
        <w:r>
          <w:rPr>
            <w:rStyle w:val="Hyperlink"/>
          </w:rPr>
          <w:t xml:space="preserve">[29]</w:t>
        </w:r>
      </w:hyperlink>
    </w:p>
    <w:p>
      <w:pPr>
        <w:pStyle w:val="BodyText"/>
      </w:pPr>
      <w:r>
        <w:rPr>
          <w:b/>
          <w:bCs/>
        </w:rPr>
        <w:t xml:space="preserve">Wiek 3–5 lat, szczególnie 4 lata.</w:t>
      </w:r>
      <w:r>
        <w:t xml:space="preserve"> </w:t>
      </w:r>
      <w:r>
        <w:t xml:space="preserve">To okres szybkiego dojrzewania funkcji wykonawczych i hamowania reakcji, z rosnącą rolą kory przedczołowej oraz sieci ciemieniowo-przedczołowych. Badania fNIRS pokazują, że zadania hamowania reakcji angażują już u dzieci około 3,5 roku życia prawy dolny zakręt czołowy i obszary ciemieniowe. Jednocześnie neuroobrazowanie MRI/DTI wskazuje, że większe używanie ekranów u 3–5-latków koreluje z gorszą integralnością dróg istoty białej wspierających</w:t>
      </w:r>
      <w:r>
        <w:t xml:space="preserve"> </w:t>
      </w:r>
      <w:r>
        <w:rPr>
          <w:b/>
          <w:bCs/>
        </w:rPr>
        <w:t xml:space="preserve">język, funkcje wykonawcze i wczesną alfabetyzację</w:t>
      </w:r>
      <w:r>
        <w:t xml:space="preserve">, a także z różnicami w grubości kory w obszarach potylicznych, ciemieniowych, skroniowych i wrzecionowatych, ważnych dla przetwarzania wzrokowego, uwagi, pamięci złożonej i wczesnego czytania. To właśnie dlatego okres przedszkolny jest prawdopodobnie okresem największej wrażliwości na</w:t>
      </w:r>
      <w:r>
        <w:t xml:space="preserve"> </w:t>
      </w:r>
      <w:r>
        <w:rPr>
          <w:b/>
          <w:bCs/>
        </w:rPr>
        <w:t xml:space="preserve">jakość i sposób użycia technologii</w:t>
      </w:r>
      <w:r>
        <w:t xml:space="preserve">, nie tylko na sam czas.</w:t>
      </w:r>
      <w:r>
        <w:t xml:space="preserve"> </w:t>
      </w:r>
      <w:hyperlink r:id="rId45">
        <w:r>
          <w:rPr>
            <w:rStyle w:val="Hyperlink"/>
          </w:rPr>
          <w:t xml:space="preserve">[30]</w:t>
        </w:r>
      </w:hyperlink>
    </w:p>
    <w:p>
      <w:pPr>
        <w:pStyle w:val="BodyText"/>
      </w:pPr>
      <w:r>
        <w:rPr>
          <w:b/>
          <w:bCs/>
        </w:rPr>
        <w:t xml:space="preserve">Wiek 6–12 lat.</w:t>
      </w:r>
      <w:r>
        <w:t xml:space="preserve"> </w:t>
      </w:r>
      <w:r>
        <w:t xml:space="preserve">Trwa dalsza specjalizacja i mielinizacja dróg istoty białej, pruning i dojrzewanie sieci fronto-ciemieniowych odpowiedzialnych za uwagę, planowanie i samokontrolę. Hipokamp nadal aktywnie się rozwija, a ciało migdałowate rośnie relatywnie stabilnie w wieku szkolnym. To okres, w którym częściej ujawniają się konsekwencje ekranów dla</w:t>
      </w:r>
      <w:r>
        <w:t xml:space="preserve"> </w:t>
      </w:r>
      <w:r>
        <w:rPr>
          <w:b/>
          <w:bCs/>
        </w:rPr>
        <w:t xml:space="preserve">uwagi, snu, emocji i osiągnięć szkolnych</w:t>
      </w:r>
      <w:r>
        <w:t xml:space="preserve">. Jednocześnie nie wszystkie badania neuroobrazowe pokazują wyraźny negatywny efekt: duże analizy ABCD w późnym dzieciństwie nie potwierdziły istotnego wpływu całkowitej aktywności ekranowej na dojrzewanie funkcjonalnej organizacji mózgu w ciągu dwóch lat, co jest ważną przeciwwagą dla zbyt prostych narracji alarmistycznych.</w:t>
      </w:r>
      <w:r>
        <w:t xml:space="preserve"> </w:t>
      </w:r>
      <w:hyperlink r:id="rId46">
        <w:r>
          <w:rPr>
            <w:rStyle w:val="Hyperlink"/>
          </w:rPr>
          <w:t xml:space="preserve">[31]</w:t>
        </w:r>
      </w:hyperlink>
    </w:p>
    <w:p>
      <w:pPr>
        <w:pStyle w:val="BodyText"/>
      </w:pPr>
      <w:r>
        <w:rPr>
          <w:b/>
          <w:bCs/>
        </w:rPr>
        <w:t xml:space="preserve">Adolescencja.</w:t>
      </w:r>
      <w:r>
        <w:t xml:space="preserve"> </w:t>
      </w:r>
      <w:r>
        <w:t xml:space="preserve">To okres przedłużonego dojrzewania kory przedczołowej, pruning synaptycznego, dalszej mielinizacji dróg asocjacyjnych oraz refinacji połączeń</w:t>
      </w:r>
      <w:r>
        <w:t xml:space="preserve"> </w:t>
      </w:r>
      <w:r>
        <w:rPr>
          <w:b/>
          <w:bCs/>
        </w:rPr>
        <w:t xml:space="preserve">PFC–hipokamp</w:t>
      </w:r>
      <w:r>
        <w:t xml:space="preserve"> </w:t>
      </w:r>
      <w:r>
        <w:t xml:space="preserve">i</w:t>
      </w:r>
      <w:r>
        <w:t xml:space="preserve"> </w:t>
      </w:r>
      <w:r>
        <w:rPr>
          <w:b/>
          <w:bCs/>
        </w:rPr>
        <w:t xml:space="preserve">PFC–ciało migdałowate</w:t>
      </w:r>
      <w:r>
        <w:t xml:space="preserve">. Przegląd neuroobrazowania adolescentów sugeruje, że częstsze i dłuższe korzystanie z ekranów — szczególnie w sposób problemowy lub kompulsywny — wiąże się z mniej efektywnym systemem kontroli poznawczej i silniejszą orientacją na natychmiastową nagrodę, ale autorzy sami podkreślają, że literatura jest młoda, w dużej części przekrojowa i obciążona słabą jakością pomiaru. Innymi słowy: neurobiologiczna ostrożność jest uzasadniona, lecz twardych wniosków przyczynowych nadal brakuje.</w:t>
      </w:r>
      <w:r>
        <w:t xml:space="preserve"> </w:t>
      </w:r>
      <w:hyperlink r:id="rId47">
        <w:r>
          <w:rPr>
            <w:rStyle w:val="Hyperlink"/>
          </w:rPr>
          <w:t xml:space="preserve">[32]</w:t>
        </w:r>
      </w:hyperlink>
    </w:p>
    <w:bookmarkEnd w:id="48"/>
    <w:bookmarkStart w:id="50" w:name="X2080c8a5563195168531bd1b578487127b35202"/>
    <w:p>
      <w:pPr>
        <w:pStyle w:val="Heading2"/>
      </w:pPr>
      <w:r>
        <w:t xml:space="preserve">Czas ekspozycji, treść, kontekst i jakość aplikacji</w:t>
      </w:r>
    </w:p>
    <w:p>
      <w:pPr>
        <w:pStyle w:val="FirstParagraph"/>
      </w:pPr>
      <w:r>
        <w:rPr>
          <w:b/>
          <w:bCs/>
        </w:rPr>
        <w:t xml:space="preserve">Czas.</w:t>
      </w:r>
      <w:r>
        <w:t xml:space="preserve"> </w:t>
      </w:r>
      <w:r>
        <w:t xml:space="preserve">Dla pytania o 4-latka najważniejszy punkt odniesienia pozostaje prosty: WHO i AAP lokują wiek przedszkolny w kategorii, w której całkowity czas ekranowy powinien być</w:t>
      </w:r>
      <w:r>
        <w:t xml:space="preserve"> </w:t>
      </w:r>
      <w:r>
        <w:rPr>
          <w:b/>
          <w:bCs/>
        </w:rPr>
        <w:t xml:space="preserve">ograniczony do około 1 godziny dziennie lub mniej</w:t>
      </w:r>
      <w:r>
        <w:t xml:space="preserve">, przy czym WHO mówi wyraźnie „less is better”. Duże kohorty z Japonii i Kanady pokazują, że zależności z gorszym rozwojem rosną wraz z większą dawką ekspozycji, zwłaszcza gdy punktem startu jest bardzo wczesny wiek i kilka godzin dziennie.</w:t>
      </w:r>
      <w:r>
        <w:t xml:space="preserve"> </w:t>
      </w:r>
      <w:hyperlink r:id="rId21">
        <w:r>
          <w:rPr>
            <w:rStyle w:val="Hyperlink"/>
          </w:rPr>
          <w:t xml:space="preserve">[33]</w:t>
        </w:r>
      </w:hyperlink>
    </w:p>
    <w:p>
      <w:pPr>
        <w:pStyle w:val="BodyText"/>
      </w:pPr>
      <w:r>
        <w:rPr>
          <w:b/>
          <w:bCs/>
        </w:rPr>
        <w:t xml:space="preserve">Treść.</w:t>
      </w:r>
      <w:r>
        <w:t xml:space="preserve"> </w:t>
      </w:r>
      <w:r>
        <w:t xml:space="preserve">Nie każda treść jest taka sama. AAP podkreśla, że dobrze zaprojektowane programy i aplikacje edukacyjne, takie jak wybrane produkcje PBS Kids czy Sesame Workshop, mają najlepszą bazę dowodową dla korzyści u przedszkolaków. Równocześnie metaanaliza kontekstów używania ekranów i materiały AAP ostrzegają przed treściami szybkimi, nieadekwatnymi do wieku, silnie komercyjnymi, podsuwanymi przez autoplay lub algorytmy oraz przed treściami pełnymi przemocy, strachu czy słabego modelowania społecznego. W odniesieniu do gier ważne jest, że metaanaliza longitudinalna z 2025 r. znalazła silniejsze związki problemów społeczno-emocjonalnych właśnie z</w:t>
      </w:r>
      <w:r>
        <w:t xml:space="preserve"> </w:t>
      </w:r>
      <w:r>
        <w:rPr>
          <w:b/>
          <w:bCs/>
        </w:rPr>
        <w:t xml:space="preserve">gamingiem</w:t>
      </w:r>
      <w:r>
        <w:t xml:space="preserve"> </w:t>
      </w:r>
      <w:r>
        <w:t xml:space="preserve">niż z częścią innych aktywności ekranowych.</w:t>
      </w:r>
      <w:r>
        <w:t xml:space="preserve"> </w:t>
      </w:r>
      <w:hyperlink r:id="rId28">
        <w:r>
          <w:rPr>
            <w:rStyle w:val="Hyperlink"/>
          </w:rPr>
          <w:t xml:space="preserve">[34]</w:t>
        </w:r>
      </w:hyperlink>
    </w:p>
    <w:p>
      <w:pPr>
        <w:pStyle w:val="BodyText"/>
      </w:pPr>
      <w:r>
        <w:rPr>
          <w:b/>
          <w:bCs/>
        </w:rPr>
        <w:t xml:space="preserve">Kontekst.</w:t>
      </w:r>
      <w:r>
        <w:t xml:space="preserve"> </w:t>
      </w:r>
      <w:r>
        <w:t xml:space="preserve">To obecnie jeden z najlepiej potwierdzonych wniosków w całej dziedzinie. Wspólne korzystanie z rodzicem, rozmowa o treści i przenoszenie treści do świata realnego wiążą się z lepszymi wynikami poznawczymi i lepszym uczeniem niż samodzielne używanie. Odwrotnie, ekran w tle, TV podczas posiłków oraz ekranowa nieuwaga opiekuna wiążą się z gorszymi wynikami językowymi i psychospołecznymi. Dlatego dla 4-latka pytanie „czy można czasem zagrać?” jest mniej ważne niż pytanie „czy rodzic siedzi obok, rozmawia, wybiera treść i potrafi wyłączyć w odpowiednim momencie?”.</w:t>
      </w:r>
      <w:r>
        <w:t xml:space="preserve"> </w:t>
      </w:r>
      <w:hyperlink r:id="rId22">
        <w:r>
          <w:rPr>
            <w:rStyle w:val="Hyperlink"/>
          </w:rPr>
          <w:t xml:space="preserve">[35]</w:t>
        </w:r>
      </w:hyperlink>
    </w:p>
    <w:p>
      <w:pPr>
        <w:pStyle w:val="BodyText"/>
      </w:pPr>
      <w:r>
        <w:rPr>
          <w:b/>
          <w:bCs/>
        </w:rPr>
        <w:t xml:space="preserve">Interaktywne versus pasywne.</w:t>
      </w:r>
      <w:r>
        <w:t xml:space="preserve"> </w:t>
      </w:r>
      <w:r>
        <w:t xml:space="preserve">Popularna intuicja, że „interaktywne jest zawsze lepsze”, nie znajduje pełnego potwierdzenia. Pasywne oglądanie, zwłaszcza TV w tle, bywa szczególnie niekorzystne dla poznania i języka, ale interaktywność sama w sobie nie gwarantuje korzyści. Interaktywna aplikacja może być dobra, jeśli jest spokojna, wiekowo adekwatna, językowo bogata i współużytkowana. Może też być zła, jeśli bazuje na szybkich nagrodach, reklamach, frustracji, intensywnym pobudzeniu i algorytmicznym „jeszcze jedną rundę”. To właśnie dlatego badania nad tabletami i „digital pacifier” są tak ważne: pokazują, że aktywne urządzenie dotykowe może być silnym wzmacniaczem pobudzenia i złej samoregulacji, jeśli jest źle wkomponowane w rytm dnia dziecka.</w:t>
      </w:r>
      <w:r>
        <w:t xml:space="preserve"> </w:t>
      </w:r>
      <w:hyperlink r:id="rId22">
        <w:r>
          <w:rPr>
            <w:rStyle w:val="Hyperlink"/>
          </w:rPr>
          <w:t xml:space="preserve">[36]</w:t>
        </w:r>
      </w:hyperlink>
    </w:p>
    <w:p>
      <w:pPr>
        <w:pStyle w:val="BodyText"/>
      </w:pPr>
      <w:r>
        <w:rPr>
          <w:b/>
          <w:bCs/>
        </w:rPr>
        <w:t xml:space="preserve">Jakość aplikacji.</w:t>
      </w:r>
      <w:r>
        <w:t xml:space="preserve"> </w:t>
      </w:r>
      <w:r>
        <w:t xml:space="preserve">Dla przedszkolaka dobra aplikacja lub gra powinna być: prosta, spokojna, bez reklam i zakupów w aplikacji, bez autoplay, bez natarczywych nagród, bez otwartego internetu, bez czatu, dostosowana do wieku i najlepiej zaprojektowana z myślą o dziecku, a nie o maksymalizacji zaangażowania. Nowsza polityka AAP wprost postuluje child-centered design, domyślne ustawienia prywatności i bezpieczeństwa, wyłączanie autoplay, ograniczanie algorytmicznych feedów oraz niewykorzystywanie targetowanej reklamy wobec nieletnich. To są rekomendacje systemowe, ale dla rodzica 4-latka mają bezpośrednie znaczenie praktyczne przy wyborze aplikacji i urządzenia.</w:t>
      </w:r>
      <w:r>
        <w:t xml:space="preserve"> </w:t>
      </w:r>
      <w:hyperlink r:id="rId49">
        <w:r>
          <w:rPr>
            <w:rStyle w:val="Hyperlink"/>
          </w:rPr>
          <w:t xml:space="preserve">[37]</w:t>
        </w:r>
      </w:hyperlink>
    </w:p>
    <w:bookmarkEnd w:id="50"/>
    <w:bookmarkStart w:id="52" w:name="X644002fe5bdde482f90fbac42ff126c9790a80c"/>
    <w:p>
      <w:pPr>
        <w:pStyle w:val="Heading2"/>
      </w:pPr>
      <w:r>
        <w:t xml:space="preserve">Krótkoterminowe i długoterminowe skutki dla zachowania, uwagi, snu, języka i funkcji wykonawczych</w:t>
      </w:r>
    </w:p>
    <w:p>
      <w:pPr>
        <w:pStyle w:val="FirstParagraph"/>
      </w:pPr>
      <w:r>
        <w:rPr>
          <w:b/>
          <w:bCs/>
        </w:rPr>
        <w:t xml:space="preserve">Zachowanie i emocje.</w:t>
      </w:r>
      <w:r>
        <w:t xml:space="preserve"> </w:t>
      </w:r>
      <w:r>
        <w:t xml:space="preserve">Krótkoterminowo problemem bywa wzrost pobudzenia, trudniejsze wygaszanie zabawy, większa drażliwość po odłączeniu urządzenia i używanie ekranu jako automatycznej strategii regulacji napięcia. Długoterminowo nowsze badania podłużne sugerują, że tablet i telefon używane do uspokajania mogą wchodzić w niekorzystne sprzężenie zwrotne z frustracją, złością i samoregulacją. Uśrednione efekty nie są zwykle ogromne, ale są konsekwentne i właśnie w przedszkolu mogą mieć największe znaczenie dla gotowości szkolnej.</w:t>
      </w:r>
      <w:r>
        <w:t xml:space="preserve"> </w:t>
      </w:r>
      <w:hyperlink r:id="rId51">
        <w:r>
          <w:rPr>
            <w:rStyle w:val="Hyperlink"/>
          </w:rPr>
          <w:t xml:space="preserve">[38]</w:t>
        </w:r>
      </w:hyperlink>
    </w:p>
    <w:p>
      <w:pPr>
        <w:pStyle w:val="BodyText"/>
      </w:pPr>
      <w:r>
        <w:rPr>
          <w:b/>
          <w:bCs/>
        </w:rPr>
        <w:t xml:space="preserve">Uwaga.</w:t>
      </w:r>
      <w:r>
        <w:t xml:space="preserve"> </w:t>
      </w:r>
      <w:r>
        <w:t xml:space="preserve">Literatura o przedszkolakach jest mniej jednoznaczna niż język i sen, ale kierunek wyników jest dość spójny: większa ekspozycja na ekrany wiąże się częściej z problemami z nieuwagą i z gorszym funkcjonowaniem wykonawczym, zwłaszcza przy dłuższym czasie, treściach szybkich oraz słabym kontekście rodzicielskim. Tamana i wsp. wykazali związek z problemami nieuwagi u przedszkolaków, a przegląd systematyczny z 2023 r. wskazał, że temat uwagi u dzieci w wieku przedszkolnym wymagał pilnego uporządkowania właśnie dlatego, że sygnał ryzyka jest realny, choć mechanizmy nadal nie są do końca wyjaśnione.</w:t>
      </w:r>
      <w:r>
        <w:t xml:space="preserve"> </w:t>
      </w:r>
      <w:hyperlink r:id="rId33">
        <w:r>
          <w:rPr>
            <w:rStyle w:val="Hyperlink"/>
          </w:rPr>
          <w:t xml:space="preserve">[39]</w:t>
        </w:r>
      </w:hyperlink>
    </w:p>
    <w:p>
      <w:pPr>
        <w:pStyle w:val="BodyText"/>
      </w:pPr>
      <w:r>
        <w:rPr>
          <w:b/>
          <w:bCs/>
        </w:rPr>
        <w:t xml:space="preserve">Sen.</w:t>
      </w:r>
      <w:r>
        <w:t xml:space="preserve"> </w:t>
      </w:r>
      <w:r>
        <w:t xml:space="preserve">To jedna z najlepiej udokumentowanych domen ryzyka. Mechanizmy są co najmniej trzy: ekran zabiera czas, pobudza poznawczo i emocjonalnie oraz, szczególnie wieczorem, przez światło i stymulację utrudnia zasypianie. WHO łączy zalecenia ekranowe z zaleceniami dotyczącymi aktywności i snu w ramach jednego „ekosystemu dobowego”, a nowsze przeglądy pokazują, że większy czas ekranowy wiąże się z gorszymi wynikami snu również u dzieci najmłodszych. Dla 4-latka praktyczny wniosek jest prosty:</w:t>
      </w:r>
      <w:r>
        <w:t xml:space="preserve"> </w:t>
      </w:r>
      <w:r>
        <w:rPr>
          <w:b/>
          <w:bCs/>
        </w:rPr>
        <w:t xml:space="preserve">brak ekranu co najmniej godzinę przed snem i brak urządzeń w sypialni</w:t>
      </w:r>
      <w:r>
        <w:t xml:space="preserve">.</w:t>
      </w:r>
      <w:r>
        <w:t xml:space="preserve"> </w:t>
      </w:r>
      <w:hyperlink r:id="rId21">
        <w:r>
          <w:rPr>
            <w:rStyle w:val="Hyperlink"/>
          </w:rPr>
          <w:t xml:space="preserve">[40]</w:t>
        </w:r>
      </w:hyperlink>
    </w:p>
    <w:p>
      <w:pPr>
        <w:pStyle w:val="BodyText"/>
      </w:pPr>
      <w:r>
        <w:rPr>
          <w:b/>
          <w:bCs/>
        </w:rPr>
        <w:t xml:space="preserve">Język.</w:t>
      </w:r>
      <w:r>
        <w:t xml:space="preserve"> </w:t>
      </w:r>
      <w:r>
        <w:t xml:space="preserve">To prawdopodobnie najsilniej i najczęściej potwierdzona domena negatywnego związku we wczesnym dzieciństwie. Badania kohortowe i językowe metaanalizy pokazują, że większa ekspozycja ekranowa, wcześniejszy start i słabsza ilość werbalnej interakcji w czasie kontaktu z ekranem wiążą się z gorszym słownictwem lub komunikacją, zwłaszcza u młodszych dzieci. Istotne jest jednak dopowiedzenie: ekran może też wspierać uczenie słów, ale głównie w warunkach wysokiej jakości treści i wyraźnego wsparcia społecznego. Sam ekran nie „uczy języka” tak dobrze jak człowiek.</w:t>
      </w:r>
      <w:r>
        <w:t xml:space="preserve"> </w:t>
      </w:r>
      <w:hyperlink r:id="rId32">
        <w:r>
          <w:rPr>
            <w:rStyle w:val="Hyperlink"/>
          </w:rPr>
          <w:t xml:space="preserve">[41]</w:t>
        </w:r>
      </w:hyperlink>
    </w:p>
    <w:p>
      <w:pPr>
        <w:pStyle w:val="BodyText"/>
      </w:pPr>
      <w:r>
        <w:rPr>
          <w:b/>
          <w:bCs/>
        </w:rPr>
        <w:t xml:space="preserve">Funkcje wykonawcze.</w:t>
      </w:r>
      <w:r>
        <w:t xml:space="preserve"> </w:t>
      </w:r>
      <w:r>
        <w:t xml:space="preserve">To domena kluczowa dla pytania o gry na smartfonie. U 4-latka chodzi przede wszystkim o hamowanie reakcji, pamięć roboczą, elastyczność poznawczą i zdolność przełączania się z atrakcyjnego bodźca na polecenie rodzica. Metaanaliza Bustamante i wsp. oraz badania neuroobrazowe Huttona sugerują, że nadmierna lub nieadekwatna ekspozycja ekranowa może wiązać się z gorszym funkcjonowaniem wykonawczym i z różnicami w drogach i obszarach wspierających język, uwagę i wczesną alfabetyzację. To nie dowodzi uszkodzenia mózgu przez ekran, ale zdecydowanie nie wspiera pomysłu, by dokładnie w tym wieku dawać dziecku prywatne urządzenie projektowane do utrzymania jego uwagi jak najdłużej.</w:t>
      </w:r>
      <w:r>
        <w:t xml:space="preserve"> </w:t>
      </w:r>
      <w:hyperlink r:id="rId31">
        <w:r>
          <w:rPr>
            <w:rStyle w:val="Hyperlink"/>
          </w:rPr>
          <w:t xml:space="preserve">[42]</w:t>
        </w:r>
      </w:hyperlink>
    </w:p>
    <w:bookmarkEnd w:id="52"/>
    <w:bookmarkStart w:id="53" w:name="Xa5ffa4180281cc64dcff5c156e26e4250fffb13"/>
    <w:p>
      <w:pPr>
        <w:pStyle w:val="Heading2"/>
      </w:pPr>
      <w:r>
        <w:t xml:space="preserve">Rekomendacje dla rodziców i wytyczne polityczne dotyczące czterolatków</w:t>
      </w:r>
    </w:p>
    <w:p>
      <w:pPr>
        <w:pStyle w:val="FirstParagraph"/>
      </w:pPr>
      <w:r>
        <w:t xml:space="preserve">Dla przeciętnego zdrowego 4-latka najbezpieczniejszy model korzystania z technologii można streścić tak:</w:t>
      </w:r>
      <w:r>
        <w:t xml:space="preserve"> </w:t>
      </w:r>
      <w:r>
        <w:rPr>
          <w:b/>
          <w:bCs/>
        </w:rPr>
        <w:t xml:space="preserve">jeśli w ogóle, to nie własny telefon, lecz wspólne, krótkie korzystanie na urządzeniu rodzica w przestrzeni wspólnej domu</w:t>
      </w:r>
      <w:r>
        <w:t xml:space="preserve">. Ten wniosek nie jest dosłownym cytatem z jednego RCT, lecz praktycznym połączeniem oficjalnych limitów WHO/AAP, zaleceń AAP, by nie dawać otwartego dostępu do telefonu lub tabletu, oraz danych wskazujących na największe ryzyko przy samotnym, niestrukturalnym i emocjonalnie regulującym użyciu.</w:t>
      </w:r>
      <w:r>
        <w:t xml:space="preserve"> </w:t>
      </w:r>
      <w:hyperlink r:id="rId21">
        <w:r>
          <w:rPr>
            <w:rStyle w:val="Hyperlink"/>
          </w:rPr>
          <w:t xml:space="preserve">[43]</w:t>
        </w:r>
      </w:hyperlink>
    </w:p>
    <w:p>
      <w:pPr>
        <w:pStyle w:val="BodyText"/>
      </w:pPr>
      <w:r>
        <w:t xml:space="preserve">W praktyce rodzicielskiej najbardziej obronne naukowo zasady byłyby następujące.</w:t>
      </w:r>
      <w:r>
        <w:t xml:space="preserve"> </w:t>
      </w:r>
      <w:r>
        <w:rPr>
          <w:b/>
          <w:bCs/>
        </w:rPr>
        <w:t xml:space="preserve">Po pierwsze</w:t>
      </w:r>
      <w:r>
        <w:t xml:space="preserve">, trzymaj całkowity czas ekranowy dziecka w wieku 4 lat na poziomie zgodnym z WHO/AAP, czyli około</w:t>
      </w:r>
      <w:r>
        <w:t xml:space="preserve"> </w:t>
      </w:r>
      <w:r>
        <w:rPr>
          <w:b/>
          <w:bCs/>
        </w:rPr>
        <w:t xml:space="preserve">1 godziny dziennie lub mniej</w:t>
      </w:r>
      <w:r>
        <w:t xml:space="preserve">, przy czym samą „pulę” lepiej wykorzystywać oszczędnie i świadomie, a nie traktować jako domyślne prawo dziecka do grania.</w:t>
      </w:r>
      <w:r>
        <w:t xml:space="preserve"> </w:t>
      </w:r>
      <w:r>
        <w:rPr>
          <w:b/>
          <w:bCs/>
        </w:rPr>
        <w:t xml:space="preserve">Po drugie</w:t>
      </w:r>
      <w:r>
        <w:t xml:space="preserve">, wybieraj tylko treści spokojne, wiekowo adekwatne, bez reklam, bez czatu, bez otwartego internetu, bez autoplay, bez zakupów w aplikacji.</w:t>
      </w:r>
      <w:r>
        <w:t xml:space="preserve"> </w:t>
      </w:r>
      <w:r>
        <w:rPr>
          <w:b/>
          <w:bCs/>
        </w:rPr>
        <w:t xml:space="preserve">Po trzecie</w:t>
      </w:r>
      <w:r>
        <w:t xml:space="preserve">, zawsze siedź obok, rozmawiaj, nazywaj to, co dziecko widzi, i przenoś treść poza ekran.</w:t>
      </w:r>
      <w:r>
        <w:t xml:space="preserve"> </w:t>
      </w:r>
      <w:r>
        <w:rPr>
          <w:b/>
          <w:bCs/>
        </w:rPr>
        <w:t xml:space="preserve">Po czwarte</w:t>
      </w:r>
      <w:r>
        <w:t xml:space="preserve">, nigdy nie używaj telefonu jako podstawowej metody uspokajania złości, nudy czy płaczu.</w:t>
      </w:r>
      <w:r>
        <w:t xml:space="preserve"> </w:t>
      </w:r>
      <w:r>
        <w:rPr>
          <w:b/>
          <w:bCs/>
        </w:rPr>
        <w:t xml:space="preserve">Po piąte</w:t>
      </w:r>
      <w:r>
        <w:t xml:space="preserve">, zero ekranów przed snem i w sypialni.</w:t>
      </w:r>
      <w:r>
        <w:t xml:space="preserve"> </w:t>
      </w:r>
      <w:hyperlink r:id="rId24">
        <w:r>
          <w:rPr>
            <w:rStyle w:val="Hyperlink"/>
          </w:rPr>
          <w:t xml:space="preserve">[44]</w:t>
        </w:r>
      </w:hyperlink>
    </w:p>
    <w:p>
      <w:pPr>
        <w:pStyle w:val="BodyText"/>
      </w:pPr>
      <w:r>
        <w:t xml:space="preserve">Na poziomie „co zamiast telefonu do gier?” dowody sugerują, że u 4-latka lepiej inwestować przede wszystkim w to, co ekrany najłatwiej wypierają:</w:t>
      </w:r>
      <w:r>
        <w:t xml:space="preserve"> </w:t>
      </w:r>
      <w:r>
        <w:rPr>
          <w:b/>
          <w:bCs/>
        </w:rPr>
        <w:t xml:space="preserve">wspólne czytanie, zabawę symboliczną, ruch, wyjście na zewnątrz, gry planszowe z prostymi zasadami, rozmowę i udział dziecka w zwykłych czynnościach domowych</w:t>
      </w:r>
      <w:r>
        <w:t xml:space="preserve">. WHO ujmuje to wręcz systemowo: najważniejszy jest 24-godzinny bilans aktywności, snu i siedzenia. AAP dodaje, że media nie powinny crowd out tego, co buduje relację i rozwój. Z perspektywy rozwojowej są to znacznie lepsze „ćwiczenia” dla 4-letniego mózgu niż własny smartfon z grami.</w:t>
      </w:r>
      <w:r>
        <w:t xml:space="preserve"> </w:t>
      </w:r>
      <w:hyperlink r:id="rId21">
        <w:r>
          <w:rPr>
            <w:rStyle w:val="Hyperlink"/>
          </w:rPr>
          <w:t xml:space="preserve">[45]</w:t>
        </w:r>
      </w:hyperlink>
    </w:p>
    <w:p>
      <w:pPr>
        <w:pStyle w:val="BodyText"/>
      </w:pPr>
      <w:r>
        <w:t xml:space="preserve">Na poziomie polityki publicznej i projektowania produktów najlepsze współczesne rekomendacje brzmią:</w:t>
      </w:r>
      <w:r>
        <w:t xml:space="preserve"> </w:t>
      </w:r>
      <w:r>
        <w:rPr>
          <w:b/>
          <w:bCs/>
        </w:rPr>
        <w:t xml:space="preserve">projektować cyfrowe środowiska pod dobrostan dziecka, a nie pod maksymalizację zaangażowania</w:t>
      </w:r>
      <w:r>
        <w:t xml:space="preserve">. AAP w 2026 r. wzywa m.in. do domyślnych ustawień bezpieczeństwa i prywatności, wyłączenia autoplay, ograniczania algorytmicznych feedów, braku targetowanej reklamy dla nieletnich, lepszego różnicowania potrzeb małych użytkowników oraz finansowania publiczno-edukacyjnych, child-centered treści. Dla rynku aplikacji „dla przedszkolaków” oznacza to, że polityka powinna bardziej regulować reklamy, wzmacniacze behawioralne i ciemne wzorce projektowe.</w:t>
      </w:r>
      <w:r>
        <w:t xml:space="preserve"> </w:t>
      </w:r>
      <w:hyperlink r:id="rId49">
        <w:r>
          <w:rPr>
            <w:rStyle w:val="Hyperlink"/>
          </w:rPr>
          <w:t xml:space="preserve">[46]</w:t>
        </w:r>
      </w:hyperlink>
    </w:p>
    <w:p>
      <w:pPr>
        <w:pStyle w:val="BodyText"/>
      </w:pPr>
      <w:r>
        <w:t xml:space="preserve">W polskim kontekście praktycznym zbieżne wskazówki publikuje portal Gov.pl: brak urządzeń ekranowych do 18. miesiąca życia, do 1 godziny dziennie w wieku 2–5 lat, korzystanie najlepiej w obecności dorosłego, bez ekranów przed snem, z naciskiem na aktywność ruchową, sen, wysoką jakość treści oraz zabezpieczenia rodzicielskie. To nie jest pełnoprawny dokument towarzystwa naukowego, ale jest spójny z WHO i AAP oraz przydatny jako materiał operacyjny dla rodziców.</w:t>
      </w:r>
      <w:r>
        <w:t xml:space="preserve"> </w:t>
      </w:r>
      <w:hyperlink r:id="rId39">
        <w:r>
          <w:rPr>
            <w:rStyle w:val="Hyperlink"/>
          </w:rPr>
          <w:t xml:space="preserve">[47]</w:t>
        </w:r>
      </w:hyperlink>
    </w:p>
    <w:bookmarkEnd w:id="53"/>
    <w:bookmarkStart w:id="55" w:name="luki-badawcze-i-wnioski-końcowe"/>
    <w:p>
      <w:pPr>
        <w:pStyle w:val="Heading2"/>
      </w:pPr>
      <w:r>
        <w:t xml:space="preserve">Luki badawcze i wnioski końcowe</w:t>
      </w:r>
    </w:p>
    <w:p>
      <w:pPr>
        <w:pStyle w:val="FirstParagraph"/>
      </w:pPr>
      <w:r>
        <w:t xml:space="preserve">Najważniejsza luka badawcza jest metodologiczna: nadal zbyt często mierzymy wszystko jednym wskaźnikiem „screen time”, mimo że literatura coraz wyraźniej pokazuje, iż</w:t>
      </w:r>
      <w:r>
        <w:t xml:space="preserve"> </w:t>
      </w:r>
      <w:r>
        <w:rPr>
          <w:b/>
          <w:bCs/>
        </w:rPr>
        <w:t xml:space="preserve">czas to tylko fragment historii</w:t>
      </w:r>
      <w:r>
        <w:t xml:space="preserve">. Potrzebne są badania, które osobno mierzą: typ urządzenia, rodzaj treści, projekt aplikacji, moment dnia, funkcję użycia, wspólne korzystanie, temperament dziecka, jakość relacji i status społeczno-ekonomiczny. Taki zwrot metodologiczny postulują zarówno nowsze wytyczne AAP, jak i recenzje neuroobrazowania oraz przeglądy wczesnego dzieciństwa.</w:t>
      </w:r>
      <w:r>
        <w:t xml:space="preserve"> </w:t>
      </w:r>
      <w:hyperlink r:id="rId54">
        <w:r>
          <w:rPr>
            <w:rStyle w:val="Hyperlink"/>
          </w:rPr>
          <w:t xml:space="preserve">[48]</w:t>
        </w:r>
      </w:hyperlink>
    </w:p>
    <w:p>
      <w:pPr>
        <w:pStyle w:val="BodyText"/>
      </w:pPr>
      <w:r>
        <w:t xml:space="preserve">Druga luka dotyczy</w:t>
      </w:r>
      <w:r>
        <w:t xml:space="preserve"> </w:t>
      </w:r>
      <w:r>
        <w:rPr>
          <w:b/>
          <w:bCs/>
        </w:rPr>
        <w:t xml:space="preserve">przyczynowości</w:t>
      </w:r>
      <w:r>
        <w:t xml:space="preserve">. Najmocniejsze dane dla małych dzieci pochodzą z kohort i metaanaliz obserwacyjnych, więc są wartościowe, ale nie rozstrzygają definitywnie, czy ekran powoduje problem, czy dzieci z trudnościami częściej dostają ekrany. Najprawdopodobniej obie rzeczy są prawdziwe naraz. Potrzebujemy zatem więcej badań interwencyjnych i mikro-podłużnych nad tym, co się dzieje, gdy ogranicza się konkretny wzorzec ryzyka: np. ekran przed snem, TV w tle, telefon jako uspokajacz, albo samodzielne granie na smartfonie.</w:t>
      </w:r>
      <w:r>
        <w:t xml:space="preserve"> </w:t>
      </w:r>
      <w:hyperlink r:id="rId29">
        <w:r>
          <w:rPr>
            <w:rStyle w:val="Hyperlink"/>
          </w:rPr>
          <w:t xml:space="preserve">[49]</w:t>
        </w:r>
      </w:hyperlink>
    </w:p>
    <w:p>
      <w:pPr>
        <w:pStyle w:val="BodyText"/>
      </w:pPr>
      <w:r>
        <w:t xml:space="preserve">Trzecia luka dotyczy</w:t>
      </w:r>
      <w:r>
        <w:t xml:space="preserve"> </w:t>
      </w:r>
      <w:r>
        <w:rPr>
          <w:b/>
          <w:bCs/>
        </w:rPr>
        <w:t xml:space="preserve">neurobiologii wieku przedszkolnego</w:t>
      </w:r>
      <w:r>
        <w:t xml:space="preserve">. Mamy ważne, ale małe badania MRI/DTI u 3–5-latków oraz bardziej rozbudowaną, choć nadal niespójną literaturę adolescentów. Brakuje natomiast dużych, długoterminowych badań neuroobrazowych, które śledziłyby dzieci od wieku 1–2 lat przez przedszkole i szkołę, rozdzielając smartfon, tablet, TV, gry, treści edukacyjne i projekt aplikacji. Bez tego będziemy nadal widzieć korelaty, ale nie zawsze rozumieć mechanizm.</w:t>
      </w:r>
      <w:r>
        <w:t xml:space="preserve"> </w:t>
      </w:r>
      <w:hyperlink r:id="rId34">
        <w:r>
          <w:rPr>
            <w:rStyle w:val="Hyperlink"/>
          </w:rPr>
          <w:t xml:space="preserve">[50]</w:t>
        </w:r>
      </w:hyperlink>
    </w:p>
    <w:p>
      <w:pPr>
        <w:pStyle w:val="BodyText"/>
      </w:pPr>
      <w:r>
        <w:t xml:space="preserve">Końcowy wniosek jest więc dość jednoznaczny, choć nie histeryczny:</w:t>
      </w:r>
      <w:r>
        <w:t xml:space="preserve"> </w:t>
      </w:r>
      <w:r>
        <w:rPr>
          <w:b/>
          <w:bCs/>
        </w:rPr>
        <w:t xml:space="preserve">dla 4-latka telefon do gier nie jest dobrym „prezentem rozwojowym”</w:t>
      </w:r>
      <w:r>
        <w:t xml:space="preserve">. Jeśli pytanie brzmi „czy można?”, odpowiedź brzmi:</w:t>
      </w:r>
      <w:r>
        <w:t xml:space="preserve"> </w:t>
      </w:r>
      <w:r>
        <w:rPr>
          <w:b/>
          <w:bCs/>
        </w:rPr>
        <w:t xml:space="preserve">technicznie tak, ale rozwojowo to zły pomysł jako własne, swobodnie dostępne urządzenie</w:t>
      </w:r>
      <w:r>
        <w:t xml:space="preserve">. Jeśli pytanie brzmi „czy sporadyczne, wspólne, starannie dobrane korzystanie będzie zawsze szkodziło?”, odpowiedź brzmi:</w:t>
      </w:r>
      <w:r>
        <w:t xml:space="preserve"> </w:t>
      </w:r>
      <w:r>
        <w:rPr>
          <w:b/>
          <w:bCs/>
        </w:rPr>
        <w:t xml:space="preserve">niekoniecznie</w:t>
      </w:r>
      <w:r>
        <w:t xml:space="preserve">. Jednak jeśli pytanie brzmi „co statystycznie lepiej wspiera rozwój 4-latka — własny telefon do gier czy więcej snu, rozmowy, ruchu, zabawy i wspólnego czytania?”, literatura i wytyczne są zgodne:</w:t>
      </w:r>
      <w:r>
        <w:t xml:space="preserve"> </w:t>
      </w:r>
      <w:r>
        <w:rPr>
          <w:b/>
          <w:bCs/>
        </w:rPr>
        <w:t xml:space="preserve">to drugie</w:t>
      </w:r>
      <w:r>
        <w:t xml:space="preserve">.</w:t>
      </w:r>
      <w:r>
        <w:t xml:space="preserve"> </w:t>
      </w:r>
      <w:hyperlink r:id="rId21">
        <w:r>
          <w:rPr>
            <w:rStyle w:val="Hyperlink"/>
          </w:rPr>
          <w:t xml:space="preserve">[51]</w:t>
        </w:r>
      </w:hyperlink>
    </w:p>
    <w:bookmarkEnd w:id="55"/>
    <w:bookmarkEnd w:id="56"/>
    <w:bookmarkEnd w:id="57"/>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1">
        <w:r>
          <w:rPr>
            <w:rStyle w:val="Hyperlink"/>
          </w:rPr>
          <w:t xml:space="preserve">[22]</w:t>
        </w:r>
      </w:hyperlink>
      <w:r>
        <w:t xml:space="preserve"> </w:t>
      </w:r>
      <w:hyperlink r:id="rId21">
        <w:r>
          <w:rPr>
            <w:rStyle w:val="Hyperlink"/>
          </w:rPr>
          <w:t xml:space="preserve">[33]</w:t>
        </w:r>
      </w:hyperlink>
      <w:r>
        <w:t xml:space="preserve"> </w:t>
      </w:r>
      <w:hyperlink r:id="rId21">
        <w:r>
          <w:rPr>
            <w:rStyle w:val="Hyperlink"/>
          </w:rPr>
          <w:t xml:space="preserve">[40]</w:t>
        </w:r>
      </w:hyperlink>
      <w:r>
        <w:t xml:space="preserve"> </w:t>
      </w:r>
      <w:hyperlink r:id="rId21">
        <w:r>
          <w:rPr>
            <w:rStyle w:val="Hyperlink"/>
          </w:rPr>
          <w:t xml:space="preserve">[43]</w:t>
        </w:r>
      </w:hyperlink>
      <w:r>
        <w:t xml:space="preserve"> </w:t>
      </w:r>
      <w:hyperlink r:id="rId21">
        <w:r>
          <w:rPr>
            <w:rStyle w:val="Hyperlink"/>
          </w:rPr>
          <w:t xml:space="preserve">[45]</w:t>
        </w:r>
      </w:hyperlink>
      <w:r>
        <w:t xml:space="preserve"> </w:t>
      </w:r>
      <w:hyperlink r:id="rId21">
        <w:r>
          <w:rPr>
            <w:rStyle w:val="Hyperlink"/>
          </w:rPr>
          <w:t xml:space="preserve">[51]</w:t>
        </w:r>
      </w:hyperlink>
      <w:r>
        <w:t xml:space="preserve"> </w:t>
      </w:r>
      <w:r>
        <w:t xml:space="preserve">https://www.ncbi.nlm.nih.gov/books/n/who311664/ch2/</w:t>
      </w:r>
    </w:p>
    <w:p>
      <w:pPr>
        <w:pStyle w:val="BodyText"/>
      </w:pPr>
      <w:hyperlink r:id="rId21">
        <w:r>
          <w:rPr>
            <w:rStyle w:val="Hyperlink"/>
          </w:rPr>
          <w:t xml:space="preserve">https://www.ncbi.nlm.nih.gov/books/n/who311664/ch2/</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[11]</w:t>
        </w:r>
      </w:hyperlink>
      <w:r>
        <w:t xml:space="preserve"> </w:t>
      </w:r>
      <w:hyperlink r:id="rId22">
        <w:r>
          <w:rPr>
            <w:rStyle w:val="Hyperlink"/>
          </w:rPr>
          <w:t xml:space="preserve">[35]</w:t>
        </w:r>
      </w:hyperlink>
      <w:r>
        <w:t xml:space="preserve"> </w:t>
      </w:r>
      <w:hyperlink r:id="rId22">
        <w:r>
          <w:rPr>
            <w:rStyle w:val="Hyperlink"/>
          </w:rPr>
          <w:t xml:space="preserve">[36]</w:t>
        </w:r>
      </w:hyperlink>
      <w:r>
        <w:t xml:space="preserve"> </w:t>
      </w:r>
      <w:r>
        <w:t xml:space="preserve">https://jamanetwork.com/journals/jamapediatrics/fullarticle/2821940</w:t>
      </w:r>
    </w:p>
    <w:p>
      <w:pPr>
        <w:pStyle w:val="BodyText"/>
      </w:pPr>
      <w:hyperlink r:id="rId22">
        <w:r>
          <w:rPr>
            <w:rStyle w:val="Hyperlink"/>
          </w:rPr>
          <w:t xml:space="preserve">https://jamanetwork.com/journals/jamapediatrics/fullarticle/2821940</w:t>
        </w:r>
      </w:hyperlink>
    </w:p>
    <w:p>
      <w:pPr>
        <w:pStyle w:val="BodyText"/>
      </w:pPr>
      <w:hyperlink r:id="rId23">
        <w:r>
          <w:rPr>
            <w:rStyle w:val="Hyperlink"/>
          </w:rPr>
          <w:t xml:space="preserve">[3]</w:t>
        </w:r>
      </w:hyperlink>
      <w:r>
        <w:t xml:space="preserve"> </w:t>
      </w:r>
      <w:hyperlink r:id="rId23">
        <w:r>
          <w:rPr>
            <w:rStyle w:val="Hyperlink"/>
          </w:rPr>
          <w:t xml:space="preserve">[16]</w:t>
        </w:r>
      </w:hyperlink>
      <w:r>
        <w:t xml:space="preserve"> </w:t>
      </w:r>
      <w:r>
        <w:t xml:space="preserve">https://jamanetwork.com/journals/jamapediatrics/fullarticle/2722666</w:t>
      </w:r>
    </w:p>
    <w:p>
      <w:pPr>
        <w:pStyle w:val="BodyText"/>
      </w:pPr>
      <w:hyperlink r:id="rId23">
        <w:r>
          <w:rPr>
            <w:rStyle w:val="Hyperlink"/>
          </w:rPr>
          <w:t xml:space="preserve">https://jamanetwork.com/journals/jamapediatrics/fullarticle/2722666</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24">
        <w:r>
          <w:rPr>
            <w:rStyle w:val="Hyperlink"/>
          </w:rPr>
          <w:t xml:space="preserve">[10]</w:t>
        </w:r>
      </w:hyperlink>
      <w:r>
        <w:t xml:space="preserve"> </w:t>
      </w:r>
      <w:hyperlink r:id="rId24">
        <w:r>
          <w:rPr>
            <w:rStyle w:val="Hyperlink"/>
          </w:rPr>
          <w:t xml:space="preserve">[44]</w:t>
        </w:r>
      </w:hyperlink>
      <w:r>
        <w:t xml:space="preserve"> </w:t>
      </w:r>
      <w:r>
        <w:t xml:space="preserve">https://www.healthychildren.org/English/family-life/Media/Pages/kids-and-screen-time-5-cs-questions-for-toddlers-and-preschoolers.aspx</w:t>
      </w:r>
    </w:p>
    <w:p>
      <w:pPr>
        <w:pStyle w:val="BodyText"/>
      </w:pPr>
      <w:hyperlink r:id="rId24">
        <w:r>
          <w:rPr>
            <w:rStyle w:val="Hyperlink"/>
          </w:rPr>
          <w:t xml:space="preserve">https://www.healthychildren.org/English/family-life/Media/Pages/kids-and-screen-time-5-cs-questions-for-toddlers-and-preschoolers.aspx</w:t>
        </w:r>
      </w:hyperlink>
    </w:p>
    <w:p>
      <w:pPr>
        <w:pStyle w:val="BodyText"/>
      </w:pPr>
      <w:hyperlink r:id="rId26">
        <w:r>
          <w:rPr>
            <w:rStyle w:val="Hyperlink"/>
          </w:rPr>
          <w:t xml:space="preserve">[7]</w:t>
        </w:r>
      </w:hyperlink>
      <w:r>
        <w:t xml:space="preserve"> </w:t>
      </w:r>
      <w:hyperlink r:id="rId26">
        <w:r>
          <w:rPr>
            <w:rStyle w:val="Hyperlink"/>
          </w:rPr>
          <w:t xml:space="preserve">[13]</w:t>
        </w:r>
      </w:hyperlink>
      <w:r>
        <w:t xml:space="preserve"> </w:t>
      </w:r>
      <w:r>
        <w:t xml:space="preserve">https://academic.oup.com/chidev/article/94/5/1398/8255260</w:t>
      </w:r>
    </w:p>
    <w:p>
      <w:pPr>
        <w:pStyle w:val="BodyText"/>
      </w:pPr>
      <w:hyperlink r:id="rId26">
        <w:r>
          <w:rPr>
            <w:rStyle w:val="Hyperlink"/>
          </w:rPr>
          <w:t xml:space="preserve">https://academic.oup.com/chidev/article/94/5/1398/8255260</w:t>
        </w:r>
      </w:hyperlink>
    </w:p>
    <w:p>
      <w:pPr>
        <w:pStyle w:val="BodyText"/>
      </w:pPr>
      <w:hyperlink r:id="rId28">
        <w:r>
          <w:rPr>
            <w:rStyle w:val="Hyperlink"/>
          </w:rPr>
          <w:t xml:space="preserve">[9]</w:t>
        </w:r>
      </w:hyperlink>
      <w:r>
        <w:t xml:space="preserve"> </w:t>
      </w:r>
      <w:hyperlink r:id="rId28">
        <w:r>
          <w:rPr>
            <w:rStyle w:val="Hyperlink"/>
          </w:rPr>
          <w:t xml:space="preserve">[34]</w:t>
        </w:r>
      </w:hyperlink>
      <w:r>
        <w:t xml:space="preserve"> </w:t>
      </w:r>
      <w:r>
        <w:t xml:space="preserve">https://publications.aap.org/pediatrics/article/138/5/e20162591/60503/Media-and-Young-Minds</w:t>
      </w:r>
    </w:p>
    <w:p>
      <w:pPr>
        <w:pStyle w:val="BodyText"/>
      </w:pPr>
      <w:hyperlink r:id="rId28">
        <w:r>
          <w:rPr>
            <w:rStyle w:val="Hyperlink"/>
          </w:rPr>
          <w:t xml:space="preserve">https://publications.aap.org/pediatrics/article/138/5/e20162591/60503/Media-and-Young-Minds</w:t>
        </w:r>
      </w:hyperlink>
    </w:p>
    <w:p>
      <w:pPr>
        <w:pStyle w:val="BodyText"/>
      </w:pPr>
      <w:hyperlink r:id="rId29">
        <w:r>
          <w:rPr>
            <w:rStyle w:val="Hyperlink"/>
          </w:rPr>
          <w:t xml:space="preserve">[12]</w:t>
        </w:r>
      </w:hyperlink>
      <w:r>
        <w:t xml:space="preserve"> </w:t>
      </w:r>
      <w:hyperlink r:id="rId29">
        <w:r>
          <w:rPr>
            <w:rStyle w:val="Hyperlink"/>
          </w:rPr>
          <w:t xml:space="preserve">[49]</w:t>
        </w:r>
      </w:hyperlink>
      <w:r>
        <w:t xml:space="preserve"> </w:t>
      </w:r>
      <w:r>
        <w:t xml:space="preserve">https://www.apa.org/pubs/journals/releases/bul-bul0000468.pdf</w:t>
      </w:r>
    </w:p>
    <w:p>
      <w:pPr>
        <w:pStyle w:val="BodyText"/>
      </w:pPr>
      <w:hyperlink r:id="rId29">
        <w:r>
          <w:rPr>
            <w:rStyle w:val="Hyperlink"/>
          </w:rPr>
          <w:t xml:space="preserve">https://www.apa.org/pubs/journals/releases/bul-bul0000468.pdf</w:t>
        </w:r>
      </w:hyperlink>
    </w:p>
    <w:p>
      <w:pPr>
        <w:pStyle w:val="BodyText"/>
      </w:pPr>
      <w:hyperlink r:id="rId30">
        <w:r>
          <w:rPr>
            <w:rStyle w:val="Hyperlink"/>
          </w:rPr>
          <w:t xml:space="preserve">[14]</w:t>
        </w:r>
      </w:hyperlink>
      <w:r>
        <w:t xml:space="preserve"> </w:t>
      </w:r>
      <w:r>
        <w:t xml:space="preserve">https://www.sciencedirect.com/science/article/pii/S1747938X2400023X</w:t>
      </w:r>
    </w:p>
    <w:p>
      <w:pPr>
        <w:pStyle w:val="BodyText"/>
      </w:pPr>
      <w:hyperlink r:id="rId30">
        <w:r>
          <w:rPr>
            <w:rStyle w:val="Hyperlink"/>
          </w:rPr>
          <w:t xml:space="preserve">https://www.sciencedirect.com/science/article/pii/S1747938X2400023X</w:t>
        </w:r>
      </w:hyperlink>
    </w:p>
    <w:p>
      <w:pPr>
        <w:pStyle w:val="BodyText"/>
      </w:pPr>
      <w:hyperlink r:id="rId31">
        <w:r>
          <w:rPr>
            <w:rStyle w:val="Hyperlink"/>
          </w:rPr>
          <w:t xml:space="preserve">[15]</w:t>
        </w:r>
      </w:hyperlink>
      <w:r>
        <w:t xml:space="preserve"> </w:t>
      </w:r>
      <w:hyperlink r:id="rId31">
        <w:r>
          <w:rPr>
            <w:rStyle w:val="Hyperlink"/>
          </w:rPr>
          <w:t xml:space="preserve">[42]</w:t>
        </w:r>
      </w:hyperlink>
      <w:r>
        <w:t xml:space="preserve"> </w:t>
      </w:r>
      <w:r>
        <w:t xml:space="preserve">https://www.sciencedirect.com/science/article/pii/S0747563223000900</w:t>
      </w:r>
    </w:p>
    <w:p>
      <w:pPr>
        <w:pStyle w:val="BodyText"/>
      </w:pPr>
      <w:hyperlink r:id="rId31">
        <w:r>
          <w:rPr>
            <w:rStyle w:val="Hyperlink"/>
          </w:rPr>
          <w:t xml:space="preserve">https://www.sciencedirect.com/science/article/pii/S0747563223000900</w:t>
        </w:r>
      </w:hyperlink>
    </w:p>
    <w:p>
      <w:pPr>
        <w:pStyle w:val="BodyText"/>
      </w:pPr>
      <w:hyperlink r:id="rId32">
        <w:r>
          <w:rPr>
            <w:rStyle w:val="Hyperlink"/>
          </w:rPr>
          <w:t xml:space="preserve">[17]</w:t>
        </w:r>
      </w:hyperlink>
      <w:r>
        <w:t xml:space="preserve"> </w:t>
      </w:r>
      <w:hyperlink r:id="rId32">
        <w:r>
          <w:rPr>
            <w:rStyle w:val="Hyperlink"/>
          </w:rPr>
          <w:t xml:space="preserve">[41]</w:t>
        </w:r>
      </w:hyperlink>
      <w:r>
        <w:t xml:space="preserve"> </w:t>
      </w:r>
      <w:r>
        <w:t xml:space="preserve">https://jamanetwork.com/journals/jamapediatrics/fullarticle/2808593</w:t>
      </w:r>
    </w:p>
    <w:p>
      <w:pPr>
        <w:pStyle w:val="BodyText"/>
      </w:pPr>
      <w:hyperlink r:id="rId32">
        <w:r>
          <w:rPr>
            <w:rStyle w:val="Hyperlink"/>
          </w:rPr>
          <w:t xml:space="preserve">https://jamanetwork.com/journals/jamapediatrics/fullarticle/2808593</w:t>
        </w:r>
      </w:hyperlink>
    </w:p>
    <w:p>
      <w:pPr>
        <w:pStyle w:val="BodyText"/>
      </w:pPr>
      <w:hyperlink r:id="rId33">
        <w:r>
          <w:rPr>
            <w:rStyle w:val="Hyperlink"/>
          </w:rPr>
          <w:t xml:space="preserve">[18]</w:t>
        </w:r>
      </w:hyperlink>
      <w:r>
        <w:t xml:space="preserve"> </w:t>
      </w:r>
      <w:hyperlink r:id="rId33">
        <w:r>
          <w:rPr>
            <w:rStyle w:val="Hyperlink"/>
          </w:rPr>
          <w:t xml:space="preserve">[39]</w:t>
        </w:r>
      </w:hyperlink>
      <w:r>
        <w:t xml:space="preserve"> </w:t>
      </w:r>
      <w:r>
        <w:t xml:space="preserve">https://journals.plos.org/plosone/article?id=10.1371%2Fjournal.pone.0213995</w:t>
      </w:r>
    </w:p>
    <w:p>
      <w:pPr>
        <w:pStyle w:val="BodyText"/>
      </w:pPr>
      <w:hyperlink r:id="rId33">
        <w:r>
          <w:rPr>
            <w:rStyle w:val="Hyperlink"/>
          </w:rPr>
          <w:t xml:space="preserve">https://journals.plos.org/plosone/article?id=10.1371%2Fjournal.pone.0213995</w:t>
        </w:r>
      </w:hyperlink>
    </w:p>
    <w:p>
      <w:pPr>
        <w:pStyle w:val="BodyText"/>
      </w:pPr>
      <w:hyperlink r:id="rId34">
        <w:r>
          <w:rPr>
            <w:rStyle w:val="Hyperlink"/>
          </w:rPr>
          <w:t xml:space="preserve">[19]</w:t>
        </w:r>
      </w:hyperlink>
      <w:r>
        <w:t xml:space="preserve"> </w:t>
      </w:r>
      <w:hyperlink r:id="rId34">
        <w:r>
          <w:rPr>
            <w:rStyle w:val="Hyperlink"/>
          </w:rPr>
          <w:t xml:space="preserve">[25]</w:t>
        </w:r>
      </w:hyperlink>
      <w:r>
        <w:t xml:space="preserve"> </w:t>
      </w:r>
      <w:hyperlink r:id="rId34">
        <w:r>
          <w:rPr>
            <w:rStyle w:val="Hyperlink"/>
          </w:rPr>
          <w:t xml:space="preserve">[50]</w:t>
        </w:r>
      </w:hyperlink>
      <w:r>
        <w:t xml:space="preserve"> </w:t>
      </w:r>
      <w:r>
        <w:t xml:space="preserve">https://jamanetwork.com/journals/jamapediatrics/fullarticle/2754101</w:t>
      </w:r>
    </w:p>
    <w:p>
      <w:pPr>
        <w:pStyle w:val="BodyText"/>
      </w:pPr>
      <w:hyperlink r:id="rId34">
        <w:r>
          <w:rPr>
            <w:rStyle w:val="Hyperlink"/>
          </w:rPr>
          <w:t xml:space="preserve">https://jamanetwork.com/journals/jamapediatrics/fullarticle/2754101</w:t>
        </w:r>
      </w:hyperlink>
    </w:p>
    <w:p>
      <w:pPr>
        <w:pStyle w:val="BodyText"/>
      </w:pPr>
      <w:hyperlink r:id="rId35">
        <w:r>
          <w:rPr>
            <w:rStyle w:val="Hyperlink"/>
          </w:rPr>
          <w:t xml:space="preserve">[20]</w:t>
        </w:r>
      </w:hyperlink>
      <w:r>
        <w:t xml:space="preserve"> </w:t>
      </w:r>
      <w:r>
        <w:t xml:space="preserve">https://www.nature.com/articles/s41598-022-20922-0</w:t>
      </w:r>
    </w:p>
    <w:p>
      <w:pPr>
        <w:pStyle w:val="BodyText"/>
      </w:pPr>
      <w:hyperlink r:id="rId35">
        <w:r>
          <w:rPr>
            <w:rStyle w:val="Hyperlink"/>
          </w:rPr>
          <w:t xml:space="preserve">https://www.nature.com/articles/s41598-022-20922-0</w:t>
        </w:r>
      </w:hyperlink>
    </w:p>
    <w:p>
      <w:pPr>
        <w:pStyle w:val="BodyText"/>
      </w:pPr>
      <w:hyperlink r:id="rId36">
        <w:r>
          <w:rPr>
            <w:rStyle w:val="Hyperlink"/>
          </w:rPr>
          <w:t xml:space="preserve">[21]</w:t>
        </w:r>
      </w:hyperlink>
      <w:r>
        <w:t xml:space="preserve"> </w:t>
      </w:r>
      <w:r>
        <w:t xml:space="preserve">https://www.nature.com/articles/s41598-021-90867-3.pdf</w:t>
      </w:r>
    </w:p>
    <w:p>
      <w:pPr>
        <w:pStyle w:val="BodyText"/>
      </w:pPr>
      <w:hyperlink r:id="rId36">
        <w:r>
          <w:rPr>
            <w:rStyle w:val="Hyperlink"/>
          </w:rPr>
          <w:t xml:space="preserve">https://www.nature.com/articles/s41598-021-90867-3.pdf</w:t>
        </w:r>
      </w:hyperlink>
    </w:p>
    <w:p>
      <w:pPr>
        <w:pStyle w:val="BodyText"/>
      </w:pPr>
      <w:hyperlink r:id="rId38">
        <w:r>
          <w:rPr>
            <w:rStyle w:val="Hyperlink"/>
          </w:rPr>
          <w:t xml:space="preserve">[23]</w:t>
        </w:r>
      </w:hyperlink>
      <w:r>
        <w:t xml:space="preserve"> </w:t>
      </w:r>
      <w:r>
        <w:t xml:space="preserve">https://www.sciencedirect.com/science/article/pii/S0885201423000242</w:t>
      </w:r>
    </w:p>
    <w:p>
      <w:pPr>
        <w:pStyle w:val="BodyText"/>
      </w:pPr>
      <w:hyperlink r:id="rId38">
        <w:r>
          <w:rPr>
            <w:rStyle w:val="Hyperlink"/>
          </w:rPr>
          <w:t xml:space="preserve">https://www.sciencedirect.com/science/article/pii/S0885201423000242</w:t>
        </w:r>
      </w:hyperlink>
    </w:p>
    <w:p>
      <w:pPr>
        <w:pStyle w:val="BodyText"/>
      </w:pPr>
      <w:hyperlink r:id="rId39">
        <w:r>
          <w:rPr>
            <w:rStyle w:val="Hyperlink"/>
          </w:rPr>
          <w:t xml:space="preserve">[24]</w:t>
        </w:r>
      </w:hyperlink>
      <w:r>
        <w:t xml:space="preserve"> </w:t>
      </w:r>
      <w:hyperlink r:id="rId39">
        <w:r>
          <w:rPr>
            <w:rStyle w:val="Hyperlink"/>
          </w:rPr>
          <w:t xml:space="preserve">[47]</w:t>
        </w:r>
      </w:hyperlink>
      <w:r>
        <w:t xml:space="preserve"> </w:t>
      </w:r>
      <w:r>
        <w:t xml:space="preserve">https://www.gov.pl/web/cyfryzacja/male-dzieci-i-ekrany</w:t>
      </w:r>
    </w:p>
    <w:p>
      <w:pPr>
        <w:pStyle w:val="BodyText"/>
      </w:pPr>
      <w:hyperlink r:id="rId39">
        <w:r>
          <w:rPr>
            <w:rStyle w:val="Hyperlink"/>
          </w:rPr>
          <w:t xml:space="preserve">https://www.gov.pl/web/cyfryzacja/male-dzieci-i-ekrany</w:t>
        </w:r>
      </w:hyperlink>
    </w:p>
    <w:p>
      <w:pPr>
        <w:pStyle w:val="BodyText"/>
      </w:pPr>
      <w:hyperlink r:id="rId40">
        <w:r>
          <w:rPr>
            <w:rStyle w:val="Hyperlink"/>
          </w:rPr>
          <w:t xml:space="preserve">[26]</w:t>
        </w:r>
      </w:hyperlink>
      <w:r>
        <w:t xml:space="preserve"> </w:t>
      </w:r>
      <w:r>
        <w:t xml:space="preserve">https://jamanetwork.com/journals/jamapediatrics/fullarticle/2799042</w:t>
      </w:r>
    </w:p>
    <w:p>
      <w:pPr>
        <w:pStyle w:val="BodyText"/>
      </w:pPr>
      <w:hyperlink r:id="rId40">
        <w:r>
          <w:rPr>
            <w:rStyle w:val="Hyperlink"/>
          </w:rPr>
          <w:t xml:space="preserve">https://jamanetwork.com/journals/jamapediatrics/fullarticle/2799042</w:t>
        </w:r>
      </w:hyperlink>
    </w:p>
    <w:p>
      <w:pPr>
        <w:pStyle w:val="BodyText"/>
      </w:pPr>
      <w:hyperlink r:id="rId42">
        <w:r>
          <w:rPr>
            <w:rStyle w:val="Hyperlink"/>
          </w:rPr>
          <w:t xml:space="preserve">[27]</w:t>
        </w:r>
      </w:hyperlink>
      <w:r>
        <w:t xml:space="preserve"> </w:t>
      </w:r>
      <w:r>
        <w:t xml:space="preserve">https://pmc.ncbi.nlm.nih.gov/articles/PMC11526699/</w:t>
      </w:r>
    </w:p>
    <w:p>
      <w:pPr>
        <w:pStyle w:val="BodyText"/>
      </w:pPr>
      <w:hyperlink r:id="rId42">
        <w:r>
          <w:rPr>
            <w:rStyle w:val="Hyperlink"/>
          </w:rPr>
          <w:t xml:space="preserve">https://pmc.ncbi.nlm.nih.gov/articles/PMC11526699/</w:t>
        </w:r>
      </w:hyperlink>
    </w:p>
    <w:p>
      <w:pPr>
        <w:pStyle w:val="BodyText"/>
      </w:pPr>
      <w:hyperlink r:id="rId43">
        <w:r>
          <w:rPr>
            <w:rStyle w:val="Hyperlink"/>
          </w:rPr>
          <w:t xml:space="preserve">[28]</w:t>
        </w:r>
      </w:hyperlink>
      <w:r>
        <w:t xml:space="preserve"> </w:t>
      </w:r>
      <w:r>
        <w:t xml:space="preserve">https://www.sciencedirect.com/science/article/abs/pii/S0273229717300825</w:t>
      </w:r>
    </w:p>
    <w:p>
      <w:pPr>
        <w:pStyle w:val="BodyText"/>
      </w:pPr>
      <w:hyperlink r:id="rId43">
        <w:r>
          <w:rPr>
            <w:rStyle w:val="Hyperlink"/>
          </w:rPr>
          <w:t xml:space="preserve">https://www.sciencedirect.com/science/article/abs/pii/S0273229717300825</w:t>
        </w:r>
      </w:hyperlink>
    </w:p>
    <w:p>
      <w:pPr>
        <w:pStyle w:val="BodyText"/>
      </w:pPr>
      <w:hyperlink r:id="rId44">
        <w:r>
          <w:rPr>
            <w:rStyle w:val="Hyperlink"/>
          </w:rPr>
          <w:t xml:space="preserve">[29]</w:t>
        </w:r>
      </w:hyperlink>
      <w:r>
        <w:t xml:space="preserve"> </w:t>
      </w:r>
      <w:r>
        <w:t xml:space="preserve">https://www.sciencedirect.com/science/article/pii/S0010945221000629</w:t>
      </w:r>
    </w:p>
    <w:p>
      <w:pPr>
        <w:pStyle w:val="BodyText"/>
      </w:pPr>
      <w:hyperlink r:id="rId44">
        <w:r>
          <w:rPr>
            <w:rStyle w:val="Hyperlink"/>
          </w:rPr>
          <w:t xml:space="preserve">https://www.sciencedirect.com/science/article/pii/S0010945221000629</w:t>
        </w:r>
      </w:hyperlink>
    </w:p>
    <w:p>
      <w:pPr>
        <w:pStyle w:val="BodyText"/>
      </w:pPr>
      <w:hyperlink r:id="rId45">
        <w:r>
          <w:rPr>
            <w:rStyle w:val="Hyperlink"/>
          </w:rPr>
          <w:t xml:space="preserve">[30]</w:t>
        </w:r>
      </w:hyperlink>
      <w:r>
        <w:t xml:space="preserve"> </w:t>
      </w:r>
      <w:r>
        <w:t xml:space="preserve">https://www.sciencedirect.com/science/article/pii/S1878929325000520</w:t>
      </w:r>
    </w:p>
    <w:p>
      <w:pPr>
        <w:pStyle w:val="BodyText"/>
      </w:pPr>
      <w:hyperlink r:id="rId45">
        <w:r>
          <w:rPr>
            <w:rStyle w:val="Hyperlink"/>
          </w:rPr>
          <w:t xml:space="preserve">https://www.sciencedirect.com/science/article/pii/S1878929325000520</w:t>
        </w:r>
      </w:hyperlink>
    </w:p>
    <w:p>
      <w:pPr>
        <w:pStyle w:val="BodyText"/>
      </w:pPr>
      <w:hyperlink r:id="rId46">
        <w:r>
          <w:rPr>
            <w:rStyle w:val="Hyperlink"/>
          </w:rPr>
          <w:t xml:space="preserve">[31]</w:t>
        </w:r>
      </w:hyperlink>
      <w:r>
        <w:t xml:space="preserve"> </w:t>
      </w:r>
      <w:r>
        <w:t xml:space="preserve">https://www.sciencedirect.com/science/article/pii/S187892932100116X</w:t>
      </w:r>
    </w:p>
    <w:p>
      <w:pPr>
        <w:pStyle w:val="BodyText"/>
      </w:pPr>
      <w:hyperlink r:id="rId46">
        <w:r>
          <w:rPr>
            <w:rStyle w:val="Hyperlink"/>
          </w:rPr>
          <w:t xml:space="preserve">https://www.sciencedirect.com/science/article/pii/S187892932100116X</w:t>
        </w:r>
      </w:hyperlink>
    </w:p>
    <w:p>
      <w:pPr>
        <w:pStyle w:val="BodyText"/>
      </w:pPr>
      <w:hyperlink r:id="rId47">
        <w:r>
          <w:rPr>
            <w:rStyle w:val="Hyperlink"/>
          </w:rPr>
          <w:t xml:space="preserve">[32]</w:t>
        </w:r>
      </w:hyperlink>
      <w:r>
        <w:t xml:space="preserve"> </w:t>
      </w:r>
      <w:r>
        <w:t xml:space="preserve">https://www.frontiersin.org/journals/psychology/articles/10.3389/fpsyg.2021.671817/full</w:t>
      </w:r>
    </w:p>
    <w:p>
      <w:pPr>
        <w:pStyle w:val="BodyText"/>
      </w:pPr>
      <w:hyperlink r:id="rId47">
        <w:r>
          <w:rPr>
            <w:rStyle w:val="Hyperlink"/>
          </w:rPr>
          <w:t xml:space="preserve">https://www.frontiersin.org/journals/psychology/articles/10.3389/fpsyg.2021.671817/full</w:t>
        </w:r>
      </w:hyperlink>
    </w:p>
    <w:p>
      <w:pPr>
        <w:pStyle w:val="BodyText"/>
      </w:pPr>
      <w:hyperlink r:id="rId49">
        <w:r>
          <w:rPr>
            <w:rStyle w:val="Hyperlink"/>
          </w:rPr>
          <w:t xml:space="preserve">[37]</w:t>
        </w:r>
      </w:hyperlink>
      <w:r>
        <w:t xml:space="preserve"> </w:t>
      </w:r>
      <w:hyperlink r:id="rId49">
        <w:r>
          <w:rPr>
            <w:rStyle w:val="Hyperlink"/>
          </w:rPr>
          <w:t xml:space="preserve">[46]</w:t>
        </w:r>
      </w:hyperlink>
      <w:r>
        <w:t xml:space="preserve"> </w:t>
      </w:r>
      <w:r>
        <w:t xml:space="preserve">https://www.healthychildren.org/English/news/Pages/creating-a-child-friendly-digital-world-AAP-releases-new-media-recommendations.aspx</w:t>
      </w:r>
    </w:p>
    <w:p>
      <w:pPr>
        <w:pStyle w:val="BodyText"/>
      </w:pPr>
      <w:hyperlink r:id="rId49">
        <w:r>
          <w:rPr>
            <w:rStyle w:val="Hyperlink"/>
          </w:rPr>
          <w:t xml:space="preserve">https://www.healthychildren.org/English/news/Pages/creating-a-child-friendly-digital-world-AAP-releases-new-media-recommendations.aspx</w:t>
        </w:r>
      </w:hyperlink>
    </w:p>
    <w:p>
      <w:pPr>
        <w:pStyle w:val="BodyText"/>
      </w:pPr>
      <w:hyperlink r:id="rId51">
        <w:r>
          <w:rPr>
            <w:rStyle w:val="Hyperlink"/>
          </w:rPr>
          <w:t xml:space="preserve">[38]</w:t>
        </w:r>
      </w:hyperlink>
      <w:r>
        <w:t xml:space="preserve"> </w:t>
      </w:r>
      <w:r>
        <w:t xml:space="preserve">https://jamanetwork.com/journals/jamapediatrics/fullarticle/2822089</w:t>
      </w:r>
    </w:p>
    <w:p>
      <w:pPr>
        <w:pStyle w:val="BodyText"/>
      </w:pPr>
      <w:hyperlink r:id="rId51">
        <w:r>
          <w:rPr>
            <w:rStyle w:val="Hyperlink"/>
          </w:rPr>
          <w:t xml:space="preserve">https://jamanetwork.com/journals/jamapediatrics/fullarticle/2822089</w:t>
        </w:r>
      </w:hyperlink>
    </w:p>
    <w:p>
      <w:pPr>
        <w:pStyle w:val="BodyText"/>
      </w:pPr>
      <w:hyperlink r:id="rId54">
        <w:r>
          <w:rPr>
            <w:rStyle w:val="Hyperlink"/>
          </w:rPr>
          <w:t xml:space="preserve">[48]</w:t>
        </w:r>
      </w:hyperlink>
      <w:r>
        <w:t xml:space="preserve"> </w:t>
      </w:r>
      <w:r>
        <w:t xml:space="preserve">https://www.aap.org/en/patient-care/media-and-children/center-of-excellence-on-social-media-and-youth-mental-health/qa-portal/qa-portal-library/qa-portal-library-questions/screen-time-guidelines/</w:t>
      </w:r>
    </w:p>
    <w:p>
      <w:pPr>
        <w:pStyle w:val="BodyText"/>
      </w:pPr>
      <w:hyperlink r:id="rId54">
        <w:r>
          <w:rPr>
            <w:rStyle w:val="Hyperlink"/>
          </w:rPr>
          <w:t xml:space="preserve">https://www.aap.org/en/patient-care/media-and-children/center-of-excellence-on-social-media-and-youth-mental-health/qa-portal/qa-portal-library/qa-portal-library-questions/screen-time-guidelines/</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academic.oup.com/chidev/article/94/5/1398/8255260" TargetMode="External" /><Relationship Type="http://schemas.openxmlformats.org/officeDocument/2006/relationships/hyperlink" Id="rId23" Target="https://jamanetwork.com/journals/jamapediatrics/fullarticle/2722666" TargetMode="External" /><Relationship Type="http://schemas.openxmlformats.org/officeDocument/2006/relationships/hyperlink" Id="rId34" Target="https://jamanetwork.com/journals/jamapediatrics/fullarticle/2754101" TargetMode="External" /><Relationship Type="http://schemas.openxmlformats.org/officeDocument/2006/relationships/hyperlink" Id="rId40" Target="https://jamanetwork.com/journals/jamapediatrics/fullarticle/2799042" TargetMode="External" /><Relationship Type="http://schemas.openxmlformats.org/officeDocument/2006/relationships/hyperlink" Id="rId32" Target="https://jamanetwork.com/journals/jamapediatrics/fullarticle/2808593" TargetMode="External" /><Relationship Type="http://schemas.openxmlformats.org/officeDocument/2006/relationships/hyperlink" Id="rId22" Target="https://jamanetwork.com/journals/jamapediatrics/fullarticle/2821940" TargetMode="External" /><Relationship Type="http://schemas.openxmlformats.org/officeDocument/2006/relationships/hyperlink" Id="rId51" Target="https://jamanetwork.com/journals/jamapediatrics/fullarticle/2822089" TargetMode="External" /><Relationship Type="http://schemas.openxmlformats.org/officeDocument/2006/relationships/hyperlink" Id="rId33" Target="https://journals.plos.org/plosone/article?id=10.1371%2Fjournal.pone.0213995" TargetMode="External" /><Relationship Type="http://schemas.openxmlformats.org/officeDocument/2006/relationships/hyperlink" Id="rId42" Target="https://pmc.ncbi.nlm.nih.gov/articles/PMC11526699/" TargetMode="External" /><Relationship Type="http://schemas.openxmlformats.org/officeDocument/2006/relationships/hyperlink" Id="rId28" Target="https://publications.aap.org/pediatrics/article/138/5/e20162591/60503/Media-and-Young-Minds" TargetMode="External" /><Relationship Type="http://schemas.openxmlformats.org/officeDocument/2006/relationships/hyperlink" Id="rId54" Target="https://www.aap.org/en/patient-care/media-and-children/center-of-excellence-on-social-media-and-youth-mental-health/qa-portal/qa-portal-library/qa-portal-library-questions/screen-time-guidelines/" TargetMode="External" /><Relationship Type="http://schemas.openxmlformats.org/officeDocument/2006/relationships/hyperlink" Id="rId29" Target="https://www.apa.org/pubs/journals/releases/bul-bul0000468.pdf" TargetMode="External" /><Relationship Type="http://schemas.openxmlformats.org/officeDocument/2006/relationships/hyperlink" Id="rId47" Target="https://www.frontiersin.org/journals/psychology/articles/10.3389/fpsyg.2021.671817/full" TargetMode="External" /><Relationship Type="http://schemas.openxmlformats.org/officeDocument/2006/relationships/hyperlink" Id="rId39" Target="https://www.gov.pl/web/cyfryzacja/male-dzieci-i-ekrany" TargetMode="External" /><Relationship Type="http://schemas.openxmlformats.org/officeDocument/2006/relationships/hyperlink" Id="rId24" Target="https://www.healthychildren.org/English/family-life/Media/Pages/kids-and-screen-time-5-cs-questions-for-toddlers-and-preschoolers.aspx" TargetMode="External" /><Relationship Type="http://schemas.openxmlformats.org/officeDocument/2006/relationships/hyperlink" Id="rId49" Target="https://www.healthychildren.org/English/news/Pages/creating-a-child-friendly-digital-world-AAP-releases-new-media-recommendations.aspx" TargetMode="External" /><Relationship Type="http://schemas.openxmlformats.org/officeDocument/2006/relationships/hyperlink" Id="rId36" Target="https://www.nature.com/articles/s41598-021-90867-3.pdf" TargetMode="External" /><Relationship Type="http://schemas.openxmlformats.org/officeDocument/2006/relationships/hyperlink" Id="rId35" Target="https://www.nature.com/articles/s41598-022-20922-0" TargetMode="External" /><Relationship Type="http://schemas.openxmlformats.org/officeDocument/2006/relationships/hyperlink" Id="rId21" Target="https://www.ncbi.nlm.nih.gov/books/n/who311664/ch2/" TargetMode="External" /><Relationship Type="http://schemas.openxmlformats.org/officeDocument/2006/relationships/hyperlink" Id="rId43" Target="https://www.sciencedirect.com/science/article/abs/pii/S0273229717300825" TargetMode="External" /><Relationship Type="http://schemas.openxmlformats.org/officeDocument/2006/relationships/hyperlink" Id="rId44" Target="https://www.sciencedirect.com/science/article/pii/S0010945221000629" TargetMode="External" /><Relationship Type="http://schemas.openxmlformats.org/officeDocument/2006/relationships/hyperlink" Id="rId31" Target="https://www.sciencedirect.com/science/article/pii/S0747563223000900" TargetMode="External" /><Relationship Type="http://schemas.openxmlformats.org/officeDocument/2006/relationships/hyperlink" Id="rId38" Target="https://www.sciencedirect.com/science/article/pii/S0885201423000242" TargetMode="External" /><Relationship Type="http://schemas.openxmlformats.org/officeDocument/2006/relationships/hyperlink" Id="rId30" Target="https://www.sciencedirect.com/science/article/pii/S1747938X2400023X" TargetMode="External" /><Relationship Type="http://schemas.openxmlformats.org/officeDocument/2006/relationships/hyperlink" Id="rId46" Target="https://www.sciencedirect.com/science/article/pii/S187892932100116X" TargetMode="External" /><Relationship Type="http://schemas.openxmlformats.org/officeDocument/2006/relationships/hyperlink" Id="rId45" Target="https://www.sciencedirect.com/science/article/pii/S1878929325000520" TargetMode="External" /></Relationships>
</file>

<file path=word/_rels/footnotes.xml.rels><?xml version="1.0" encoding="UTF-8"?><Relationships xmlns="http://schemas.openxmlformats.org/package/2006/relationships"><Relationship Type="http://schemas.openxmlformats.org/officeDocument/2006/relationships/hyperlink" Id="rId26" Target="https://academic.oup.com/chidev/article/94/5/1398/8255260" TargetMode="External" /><Relationship Type="http://schemas.openxmlformats.org/officeDocument/2006/relationships/hyperlink" Id="rId23" Target="https://jamanetwork.com/journals/jamapediatrics/fullarticle/2722666" TargetMode="External" /><Relationship Type="http://schemas.openxmlformats.org/officeDocument/2006/relationships/hyperlink" Id="rId34" Target="https://jamanetwork.com/journals/jamapediatrics/fullarticle/2754101" TargetMode="External" /><Relationship Type="http://schemas.openxmlformats.org/officeDocument/2006/relationships/hyperlink" Id="rId40" Target="https://jamanetwork.com/journals/jamapediatrics/fullarticle/2799042" TargetMode="External" /><Relationship Type="http://schemas.openxmlformats.org/officeDocument/2006/relationships/hyperlink" Id="rId32" Target="https://jamanetwork.com/journals/jamapediatrics/fullarticle/2808593" TargetMode="External" /><Relationship Type="http://schemas.openxmlformats.org/officeDocument/2006/relationships/hyperlink" Id="rId22" Target="https://jamanetwork.com/journals/jamapediatrics/fullarticle/2821940" TargetMode="External" /><Relationship Type="http://schemas.openxmlformats.org/officeDocument/2006/relationships/hyperlink" Id="rId51" Target="https://jamanetwork.com/journals/jamapediatrics/fullarticle/2822089" TargetMode="External" /><Relationship Type="http://schemas.openxmlformats.org/officeDocument/2006/relationships/hyperlink" Id="rId33" Target="https://journals.plos.org/plosone/article?id=10.1371%2Fjournal.pone.0213995" TargetMode="External" /><Relationship Type="http://schemas.openxmlformats.org/officeDocument/2006/relationships/hyperlink" Id="rId42" Target="https://pmc.ncbi.nlm.nih.gov/articles/PMC11526699/" TargetMode="External" /><Relationship Type="http://schemas.openxmlformats.org/officeDocument/2006/relationships/hyperlink" Id="rId28" Target="https://publications.aap.org/pediatrics/article/138/5/e20162591/60503/Media-and-Young-Minds" TargetMode="External" /><Relationship Type="http://schemas.openxmlformats.org/officeDocument/2006/relationships/hyperlink" Id="rId54" Target="https://www.aap.org/en/patient-care/media-and-children/center-of-excellence-on-social-media-and-youth-mental-health/qa-portal/qa-portal-library/qa-portal-library-questions/screen-time-guidelines/" TargetMode="External" /><Relationship Type="http://schemas.openxmlformats.org/officeDocument/2006/relationships/hyperlink" Id="rId29" Target="https://www.apa.org/pubs/journals/releases/bul-bul0000468.pdf" TargetMode="External" /><Relationship Type="http://schemas.openxmlformats.org/officeDocument/2006/relationships/hyperlink" Id="rId47" Target="https://www.frontiersin.org/journals/psychology/articles/10.3389/fpsyg.2021.671817/full" TargetMode="External" /><Relationship Type="http://schemas.openxmlformats.org/officeDocument/2006/relationships/hyperlink" Id="rId39" Target="https://www.gov.pl/web/cyfryzacja/male-dzieci-i-ekrany" TargetMode="External" /><Relationship Type="http://schemas.openxmlformats.org/officeDocument/2006/relationships/hyperlink" Id="rId24" Target="https://www.healthychildren.org/English/family-life/Media/Pages/kids-and-screen-time-5-cs-questions-for-toddlers-and-preschoolers.aspx" TargetMode="External" /><Relationship Type="http://schemas.openxmlformats.org/officeDocument/2006/relationships/hyperlink" Id="rId49" Target="https://www.healthychildren.org/English/news/Pages/creating-a-child-friendly-digital-world-AAP-releases-new-media-recommendations.aspx" TargetMode="External" /><Relationship Type="http://schemas.openxmlformats.org/officeDocument/2006/relationships/hyperlink" Id="rId36" Target="https://www.nature.com/articles/s41598-021-90867-3.pdf" TargetMode="External" /><Relationship Type="http://schemas.openxmlformats.org/officeDocument/2006/relationships/hyperlink" Id="rId35" Target="https://www.nature.com/articles/s41598-022-20922-0" TargetMode="External" /><Relationship Type="http://schemas.openxmlformats.org/officeDocument/2006/relationships/hyperlink" Id="rId21" Target="https://www.ncbi.nlm.nih.gov/books/n/who311664/ch2/" TargetMode="External" /><Relationship Type="http://schemas.openxmlformats.org/officeDocument/2006/relationships/hyperlink" Id="rId43" Target="https://www.sciencedirect.com/science/article/abs/pii/S0273229717300825" TargetMode="External" /><Relationship Type="http://schemas.openxmlformats.org/officeDocument/2006/relationships/hyperlink" Id="rId44" Target="https://www.sciencedirect.com/science/article/pii/S0010945221000629" TargetMode="External" /><Relationship Type="http://schemas.openxmlformats.org/officeDocument/2006/relationships/hyperlink" Id="rId31" Target="https://www.sciencedirect.com/science/article/pii/S0747563223000900" TargetMode="External" /><Relationship Type="http://schemas.openxmlformats.org/officeDocument/2006/relationships/hyperlink" Id="rId38" Target="https://www.sciencedirect.com/science/article/pii/S0885201423000242" TargetMode="External" /><Relationship Type="http://schemas.openxmlformats.org/officeDocument/2006/relationships/hyperlink" Id="rId30" Target="https://www.sciencedirect.com/science/article/pii/S1747938X2400023X" TargetMode="External" /><Relationship Type="http://schemas.openxmlformats.org/officeDocument/2006/relationships/hyperlink" Id="rId46" Target="https://www.sciencedirect.com/science/article/pii/S187892932100116X" TargetMode="External" /><Relationship Type="http://schemas.openxmlformats.org/officeDocument/2006/relationships/hyperlink" Id="rId45" Target="https://www.sciencedirect.com/science/article/pii/S18789293250005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2026-04-27T08:45:22Z</dcterms:created>
  <dcterms:modified xsi:type="dcterms:W3CDTF">2026-04-27T08:45:22Z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