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Projekt koncepcyjny</w:t>
      </w:r>
      <w:r>
        <w:rPr>
          <w:b/>
          <w:sz w:val="36"/>
        </w:rPr>
        <w:t xml:space="preserve"> projektu badawczego</w:t>
        <w:br/>
        <w:t>Solvera - AI-QC i Physical AI</w:t>
      </w:r>
    </w:p>
    <w:p>
      <w:pPr>
        <w:pStyle w:val="Normal"/>
        <w:jc w:val="center"/>
        <w:rPr>
          <w:color w:themeColor="dark1" w:themeTint="a6" w:val="595959"/>
          <w:sz w:val="24"/>
          <w:szCs w:val="24"/>
          <w14:textFill>
            <w14:solidFill>
              <w14:schemeClr w14:val="dk1">
                <w14:lumMod w14:val="6500000"/>
                <w14:lumOff w14:val="3500000"/>
              </w14:schemeClr>
            </w14:solidFill>
          </w14:textFill>
        </w:rPr>
      </w:pPr>
      <w:r>
        <w:rPr>
          <w:i/>
          <w:iCs/>
          <w:color w:themeColor="dark1" w:themeTint="a6" w:val="595959"/>
          <w:sz w:val="24"/>
          <w:szCs w:val="24"/>
          <w14:textFill>
            <w14:solidFill>
              <w14:schemeClr w14:val="dk1">
                <w14:lumMod w14:val="6500000"/>
                <w14:lumOff w14:val="3500000"/>
              </w14:schemeClr>
            </w14:solidFill>
          </w14:textFill>
        </w:rPr>
        <w:t>s</w:t>
      </w:r>
      <w:r>
        <w:rPr>
          <w:i/>
          <w:iCs/>
          <w:color w:themeColor="dark1" w:themeTint="a6" w:val="595959"/>
          <w:sz w:val="24"/>
          <w:szCs w:val="24"/>
          <w14:textFill>
            <w14:solidFill>
              <w14:schemeClr w14:val="dk1">
                <w14:lumMod w14:val="6500000"/>
                <w14:lumOff w14:val="3500000"/>
              </w14:schemeClr>
            </w14:solidFill>
          </w14:textFill>
        </w:rPr>
        <w:t>ztuczna inteligencja, systemy agentowe, robotyka, jakość przemysłowa</w:t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>Streszczenie</w:t>
      </w:r>
    </w:p>
    <w:p>
      <w:pPr>
        <w:pStyle w:val="Normal"/>
        <w:spacing w:lineRule="auto" w:line="276" w:before="0" w:after="120"/>
        <w:ind w:firstLine="425"/>
        <w:rPr/>
      </w:pPr>
      <w:r>
        <w:rPr>
          <w:b/>
        </w:rPr>
        <w:t xml:space="preserve">Projekt Solvera </w:t>
      </w:r>
      <w:r>
        <w:rPr/>
        <w:t xml:space="preserve">dotyczy opracowania i walidacji architektury inteligentnego środowiska AI-QC oraz Physical AI-QC, w którym wyspecjalizowane agenty AI, syntetyczne persony oraz opcjonalnie robot humanoidalny wspierają pracę specjalistów kontroli </w:t>
      </w:r>
      <w:r>
        <w:rPr>
          <w:lang w:val="pl-PL"/>
        </w:rPr>
        <w:t>jakości</w:t>
      </w:r>
      <w:r>
        <w:rPr/>
        <w:t xml:space="preserve">, utrzymania ruchu, planowania i doskonalenia procesów. Koncepcja zakłada odejście od generycznego asystenta na rzecz stabilnych </w:t>
      </w:r>
      <w:r>
        <w:rPr/>
        <w:t>i</w:t>
      </w:r>
      <w:r>
        <w:rPr/>
        <w:t xml:space="preserve"> zdefiniowanych stanowiskowo procedur poznawczych, które realizują konkretne funkcje organizacyjne i operacyjne.</w:t>
      </w:r>
    </w:p>
    <w:p>
      <w:pPr>
        <w:pStyle w:val="Normal"/>
        <w:spacing w:lineRule="auto" w:line="276" w:before="0" w:after="120"/>
        <w:ind w:firstLine="425"/>
        <w:rPr/>
      </w:pPr>
      <w:r>
        <w:rPr/>
        <w:t>Zakres projektu obejmuje analizę automatyzowalności pracy, projekt systemu agentowego, opracowanie syntetycznych person, integrację z systemami wizyjnymi i robotycznymi, wyjaśnialność decyzji, cyberbezpieczeństwo oraz walidację przemysłową.</w:t>
      </w:r>
    </w:p>
    <w:p>
      <w:pPr>
        <w:pStyle w:val="Heading1"/>
        <w:rPr/>
      </w:pPr>
      <w:r>
        <w:rPr/>
        <w:t>1. Uzasadnienie i kontekst</w:t>
      </w:r>
    </w:p>
    <w:p>
      <w:pPr>
        <w:pStyle w:val="Normal"/>
        <w:spacing w:lineRule="auto" w:line="276" w:before="0" w:after="120"/>
        <w:ind w:firstLine="425"/>
        <w:rPr/>
      </w:pPr>
      <w:r>
        <w:rPr/>
        <w:t>Transformacja przemysłu w kierunku modeli opartych na sztucznej inteligencji prowadzi do wzrostu znaczenia systemów wspomagających podejmowanie decyzji, nadzorujących jakość oraz automatyzujących zadania wymagające analizy informacji wieloźródłowej.</w:t>
      </w:r>
    </w:p>
    <w:p>
      <w:pPr>
        <w:pStyle w:val="Normal"/>
        <w:spacing w:lineRule="auto" w:line="276" w:before="0" w:after="120"/>
        <w:ind w:firstLine="425"/>
        <w:rPr/>
      </w:pPr>
      <w:r>
        <w:rPr/>
        <w:t>W praktyce rynkowej samo wdrożenie modelu językowego nie stanowi wystarczającej odpowiedzi na potrzeby przedsiębiorstwa. Konieczne jest osadzenie AI w stabilnej architekturze procesowej, zdefiniowanej według ról, odpowiedzialności, ograniczeń i mechanizmów kontroli jakości.</w:t>
      </w:r>
    </w:p>
    <w:p>
      <w:pPr>
        <w:pStyle w:val="Normal"/>
        <w:spacing w:lineRule="auto" w:line="276" w:before="0" w:after="120"/>
        <w:ind w:firstLine="425"/>
        <w:rPr/>
      </w:pPr>
      <w:r>
        <w:rPr/>
        <w:t>Notatki wskazują na potrzebę opracowania syntetycznych person, które nie imitują ogólnego asystenta, lecz realnie wspierają określone stanowiska i kompetencje organizacyjne, w tym kontrolę jakości, utrzymanie ruchu, planowanie, BHP oraz ciągłe doskonalenie.</w:t>
      </w:r>
    </w:p>
    <w:p>
      <w:pPr>
        <w:pStyle w:val="Heading1"/>
        <w:rPr/>
      </w:pPr>
      <w:r>
        <w:rPr/>
        <w:t>2. Cel główny projektu</w:t>
      </w:r>
    </w:p>
    <w:p>
      <w:pPr>
        <w:pStyle w:val="Normal"/>
        <w:spacing w:lineRule="auto" w:line="276" w:before="0" w:after="120"/>
        <w:ind w:firstLine="425"/>
        <w:rPr/>
      </w:pPr>
      <w:r>
        <w:rPr>
          <w:b/>
        </w:rPr>
        <w:t xml:space="preserve">Celem głównym projektu jest </w:t>
      </w:r>
      <w:r>
        <w:rPr/>
        <w:t>opracowanie, implementacja i walidacja architektury AI-QC/Physical AI-QC umożliwiającej augmentację oraz częściową automatyzację pracy specjalistów przemysłowych poprzez zestaw wyspecjalizowanych agentów AI, systemów wizyjnych i opcjonalnie robota humanoidalnego, działających w ramach kontrolowanego, wyjaśnialnego i bezpiecznego środowiska operacyjnego.</w:t>
      </w:r>
    </w:p>
    <w:p>
      <w:pPr>
        <w:pStyle w:val="Heading1"/>
        <w:rPr/>
      </w:pPr>
      <w:r>
        <w:rPr/>
        <w:t>3. Cele szczegółowe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I</w:t>
      </w:r>
      <w:r>
        <w:rPr>
          <w:b/>
          <w:bCs/>
        </w:rPr>
        <w:t xml:space="preserve">dentyfikacja procesów pracy </w:t>
      </w:r>
      <w:r>
        <w:rPr/>
        <w:t>podatnych na automatyzację i augmentację z użyciem AI;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O</w:t>
      </w:r>
      <w:r>
        <w:rPr>
          <w:b/>
          <w:bCs/>
        </w:rPr>
        <w:t xml:space="preserve">pracowanie metod oceny automatyzowalności </w:t>
      </w:r>
      <w:r>
        <w:rPr/>
        <w:t>teoretycznej i praktycznej stanowisk przemysłowych;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Z</w:t>
      </w:r>
      <w:r>
        <w:rPr>
          <w:b/>
          <w:bCs/>
        </w:rPr>
        <w:t>aprojektowanie</w:t>
      </w:r>
      <w:r>
        <w:rPr>
          <w:b/>
          <w:bCs/>
        </w:rPr>
        <w:t xml:space="preserve"> referencyjnej architektury </w:t>
      </w:r>
      <w:r>
        <w:rPr/>
        <w:t>systemu AI-QC i mechanizmu orkiestracji agentów;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S</w:t>
      </w:r>
      <w:r>
        <w:rPr>
          <w:b/>
          <w:bCs/>
        </w:rPr>
        <w:t>tworzenie biblioteki</w:t>
      </w:r>
      <w:r>
        <w:rPr/>
        <w:t xml:space="preserve"> syntetycznych person dopasowanych do zadań przemysłowych;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I</w:t>
      </w:r>
      <w:r>
        <w:rPr>
          <w:b/>
          <w:bCs/>
        </w:rPr>
        <w:t>ntegracja warstwy AI</w:t>
      </w:r>
      <w:r>
        <w:rPr/>
        <w:t xml:space="preserve"> z systemem wizyjnym oraz z robotem humanoidalnym, jeśli przewidziany jest komponent fizyczny;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O</w:t>
      </w:r>
      <w:r>
        <w:rPr>
          <w:b/>
          <w:bCs/>
        </w:rPr>
        <w:t>pracowanie</w:t>
      </w:r>
      <w:r>
        <w:rPr>
          <w:b/>
          <w:bCs/>
        </w:rPr>
        <w:t xml:space="preserve"> mechanizmów wyjaśnialności decyzji</w:t>
      </w:r>
      <w:r>
        <w:rPr/>
        <w:t xml:space="preserve"> i nadzoru nad zachowaniem agentów;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Z</w:t>
      </w:r>
      <w:r>
        <w:rPr>
          <w:b/>
          <w:bCs/>
        </w:rPr>
        <w:t>definiowanie</w:t>
      </w:r>
      <w:r>
        <w:rPr>
          <w:b/>
          <w:bCs/>
        </w:rPr>
        <w:t xml:space="preserve"> wymagań cyberbezpieczeństwa </w:t>
      </w:r>
      <w:r>
        <w:rPr/>
        <w:t>i odporności systemu;</w:t>
      </w:r>
    </w:p>
    <w:p>
      <w:pPr>
        <w:pStyle w:val="ListBullet"/>
        <w:numPr>
          <w:ilvl w:val="0"/>
          <w:numId w:val="14"/>
        </w:numPr>
        <w:spacing w:lineRule="auto" w:line="276" w:before="0" w:after="119"/>
        <w:jc w:val="start"/>
        <w:rPr/>
      </w:pPr>
      <w:r>
        <w:rPr>
          <w:b/>
          <w:bCs/>
        </w:rPr>
        <w:t>P</w:t>
      </w:r>
      <w:r>
        <w:rPr>
          <w:b/>
          <w:bCs/>
        </w:rPr>
        <w:t>rzeprowadzenie testów</w:t>
      </w:r>
      <w:r>
        <w:rPr/>
        <w:t>, modyfikacji i walidacji rozwiązania w środowisku przemysłowym.</w:t>
      </w:r>
    </w:p>
    <w:p>
      <w:pPr>
        <w:pStyle w:val="Heading1"/>
        <w:rPr/>
      </w:pPr>
      <w:r>
        <w:rPr/>
        <w:t>4. Zakres merytoryczny projektu</w:t>
      </w:r>
    </w:p>
    <w:p>
      <w:pPr>
        <w:pStyle w:val="Heading2"/>
        <w:rPr/>
      </w:pPr>
      <w:r>
        <w:rPr/>
        <w:t>4.1. Warstwa analityczna</w:t>
      </w:r>
    </w:p>
    <w:p>
      <w:pPr>
        <w:pStyle w:val="ListBullet2"/>
        <w:numPr>
          <w:ilvl w:val="0"/>
          <w:numId w:val="6"/>
        </w:numPr>
        <w:rPr/>
      </w:pPr>
      <w:r>
        <w:rPr/>
        <w:t>analiza zadań i procesów pracy w obszarach jakości, utrzymania ruchu, planowania oraz doskonalenia procesów;</w:t>
      </w:r>
    </w:p>
    <w:p>
      <w:pPr>
        <w:pStyle w:val="ListBullet2"/>
        <w:numPr>
          <w:ilvl w:val="0"/>
          <w:numId w:val="6"/>
        </w:numPr>
        <w:rPr/>
      </w:pPr>
      <w:r>
        <w:rPr/>
        <w:t>opis wymagań kompetencyjnych dla pracowników AI-QC;</w:t>
      </w:r>
    </w:p>
    <w:p>
      <w:pPr>
        <w:pStyle w:val="ListBullet2"/>
        <w:numPr>
          <w:ilvl w:val="0"/>
          <w:numId w:val="6"/>
        </w:numPr>
        <w:rPr/>
      </w:pPr>
      <w:r>
        <w:rPr/>
        <w:t>określenie warunków organizacyjnych i środowiskowych, które umożliwiają praktyczną automatyzację lub augmentację pracy;</w:t>
      </w:r>
    </w:p>
    <w:p>
      <w:pPr>
        <w:pStyle w:val="ListBullet2"/>
        <w:numPr>
          <w:ilvl w:val="0"/>
          <w:numId w:val="6"/>
        </w:numPr>
        <w:rPr/>
      </w:pPr>
      <w:r>
        <w:rPr/>
        <w:t>identyfikacja barier wdrożeniowych, w tym barier ludzkich, organizacyjnych, technicznych i prawnych.</w:t>
      </w:r>
    </w:p>
    <w:p>
      <w:pPr>
        <w:pStyle w:val="Heading2"/>
        <w:rPr/>
      </w:pPr>
      <w:r>
        <w:rPr/>
        <w:t>4.2. Warstwa architektoniczna</w:t>
      </w:r>
    </w:p>
    <w:p>
      <w:pPr>
        <w:pStyle w:val="ListBullet2"/>
        <w:numPr>
          <w:ilvl w:val="0"/>
          <w:numId w:val="7"/>
        </w:numPr>
        <w:spacing w:lineRule="auto" w:line="276" w:before="0" w:after="120"/>
        <w:contextualSpacing/>
        <w:rPr/>
      </w:pPr>
      <w:r>
        <w:rPr/>
        <w:t>projekt referencyjnej architektury środowiska AI-QC;</w:t>
      </w:r>
    </w:p>
    <w:p>
      <w:pPr>
        <w:pStyle w:val="ListBullet2"/>
        <w:numPr>
          <w:ilvl w:val="0"/>
          <w:numId w:val="7"/>
        </w:numPr>
        <w:spacing w:lineRule="auto" w:line="276" w:before="0" w:after="120"/>
        <w:contextualSpacing/>
        <w:rPr/>
      </w:pPr>
      <w:r>
        <w:rPr/>
        <w:t>definicja kanałów komunikacji: email, pliki, dokumentacja procesowa, dane produkcyjne;</w:t>
      </w:r>
    </w:p>
    <w:p>
      <w:pPr>
        <w:pStyle w:val="ListBullet2"/>
        <w:numPr>
          <w:ilvl w:val="0"/>
          <w:numId w:val="7"/>
        </w:numPr>
        <w:spacing w:lineRule="auto" w:line="276" w:before="0" w:after="120"/>
        <w:contextualSpacing/>
        <w:rPr/>
      </w:pPr>
      <w:r>
        <w:rPr/>
        <w:t>implementacja szkieletowej warstwy orkiestracji i przekazywania zadań;</w:t>
      </w:r>
    </w:p>
    <w:p>
      <w:pPr>
        <w:pStyle w:val="ListBullet2"/>
        <w:numPr>
          <w:ilvl w:val="0"/>
          <w:numId w:val="7"/>
        </w:numPr>
        <w:spacing w:lineRule="auto" w:line="276" w:before="0" w:after="120"/>
        <w:contextualSpacing/>
        <w:rPr/>
      </w:pPr>
      <w:r>
        <w:rPr/>
        <w:t>integracja wielu agentów w trybie współpracy i kontroli wzajemnej.</w:t>
      </w:r>
    </w:p>
    <w:p>
      <w:pPr>
        <w:pStyle w:val="Heading2"/>
        <w:rPr/>
      </w:pPr>
      <w:r>
        <w:rPr/>
        <w:t>4.3. Warstwa funkcjonalna</w:t>
      </w:r>
    </w:p>
    <w:p>
      <w:pPr>
        <w:pStyle w:val="ListBullet2"/>
        <w:numPr>
          <w:ilvl w:val="0"/>
          <w:numId w:val="8"/>
        </w:numPr>
        <w:spacing w:lineRule="auto" w:line="276" w:before="0" w:after="120"/>
        <w:contextualSpacing/>
        <w:rPr/>
      </w:pPr>
      <w:r>
        <w:rPr/>
        <w:t>diagnostyka problemów i analiza przyczyn źródłowych;</w:t>
      </w:r>
    </w:p>
    <w:p>
      <w:pPr>
        <w:pStyle w:val="ListBullet2"/>
        <w:numPr>
          <w:ilvl w:val="0"/>
          <w:numId w:val="8"/>
        </w:numPr>
        <w:spacing w:lineRule="auto" w:line="276" w:before="0" w:after="120"/>
        <w:contextualSpacing/>
        <w:rPr/>
      </w:pPr>
      <w:r>
        <w:rPr/>
        <w:t>analiza wzorców historycznych awarii;</w:t>
      </w:r>
    </w:p>
    <w:p>
      <w:pPr>
        <w:pStyle w:val="ListBullet2"/>
        <w:numPr>
          <w:ilvl w:val="0"/>
          <w:numId w:val="8"/>
        </w:numPr>
        <w:spacing w:lineRule="auto" w:line="276" w:before="0" w:after="120"/>
        <w:contextualSpacing/>
        <w:rPr/>
      </w:pPr>
      <w:r>
        <w:rPr/>
        <w:t>ocena wpływu zmian na wskaźniki operacyjne;</w:t>
      </w:r>
    </w:p>
    <w:p>
      <w:pPr>
        <w:pStyle w:val="ListBullet2"/>
        <w:numPr>
          <w:ilvl w:val="0"/>
          <w:numId w:val="8"/>
        </w:numPr>
        <w:spacing w:lineRule="auto" w:line="276" w:before="0" w:after="120"/>
        <w:contextualSpacing/>
        <w:rPr/>
      </w:pPr>
      <w:r>
        <w:rPr/>
        <w:t>identyfikacja wąskich gardeł i sprzeczności decyzyjnych;</w:t>
      </w:r>
    </w:p>
    <w:p>
      <w:pPr>
        <w:pStyle w:val="ListBullet2"/>
        <w:numPr>
          <w:ilvl w:val="0"/>
          <w:numId w:val="8"/>
        </w:numPr>
        <w:spacing w:lineRule="auto" w:line="276" w:before="0" w:after="120"/>
        <w:contextualSpacing/>
        <w:rPr/>
      </w:pPr>
      <w:r>
        <w:rPr/>
        <w:t>mapowanie motywacji i zachowań operatorów oraz zespołów;</w:t>
      </w:r>
    </w:p>
    <w:p>
      <w:pPr>
        <w:pStyle w:val="ListBullet2"/>
        <w:numPr>
          <w:ilvl w:val="0"/>
          <w:numId w:val="8"/>
        </w:numPr>
        <w:spacing w:lineRule="auto" w:line="276" w:before="0" w:after="120"/>
        <w:contextualSpacing/>
        <w:rPr/>
      </w:pPr>
      <w:r>
        <w:rPr/>
        <w:t>wspieranie eksperta poprzez modelowanie jego wiedzy w formie syntetycznej persony.</w:t>
      </w:r>
    </w:p>
    <w:p>
      <w:pPr>
        <w:pStyle w:val="Heading2"/>
        <w:rPr/>
      </w:pPr>
      <w:r>
        <w:rPr/>
        <w:t>4.4. Warstwa fizyczna i robotyczna</w:t>
      </w:r>
    </w:p>
    <w:p>
      <w:pPr>
        <w:pStyle w:val="ListBullet2"/>
        <w:numPr>
          <w:ilvl w:val="0"/>
          <w:numId w:val="9"/>
        </w:numPr>
        <w:spacing w:lineRule="auto" w:line="276" w:before="0" w:after="120"/>
        <w:contextualSpacing/>
        <w:rPr/>
      </w:pPr>
      <w:r>
        <w:rPr/>
        <w:t>system wizyjny do obserwacji otoczenia i detekcji zdarzeń;</w:t>
      </w:r>
    </w:p>
    <w:p>
      <w:pPr>
        <w:pStyle w:val="ListBullet2"/>
        <w:numPr>
          <w:ilvl w:val="0"/>
          <w:numId w:val="9"/>
        </w:numPr>
        <w:spacing w:lineRule="auto" w:line="276" w:before="0" w:after="120"/>
        <w:contextualSpacing/>
        <w:rPr/>
      </w:pPr>
      <w:r>
        <w:rPr/>
        <w:t>robot humanoidalny jako opcjonalny nośnik działań operacyjnych;</w:t>
      </w:r>
    </w:p>
    <w:p>
      <w:pPr>
        <w:pStyle w:val="ListBullet2"/>
        <w:numPr>
          <w:ilvl w:val="0"/>
          <w:numId w:val="9"/>
        </w:numPr>
        <w:spacing w:lineRule="auto" w:line="276" w:before="0" w:after="120"/>
        <w:contextualSpacing/>
        <w:rPr/>
      </w:pPr>
      <w:r>
        <w:rPr/>
        <w:t>nadrzędny model decyzyjny koordynujący zadania robota;</w:t>
      </w:r>
    </w:p>
    <w:p>
      <w:pPr>
        <w:pStyle w:val="ListBullet2"/>
        <w:numPr>
          <w:ilvl w:val="0"/>
          <w:numId w:val="9"/>
        </w:numPr>
        <w:spacing w:lineRule="auto" w:line="276" w:before="0" w:after="120"/>
        <w:contextualSpacing/>
        <w:rPr/>
      </w:pPr>
      <w:r>
        <w:rPr/>
        <w:t>mechanizmy bezpieczeństwa i ograniczeń działania w otoczeniu człowieka.</w:t>
      </w:r>
    </w:p>
    <w:p>
      <w:pPr>
        <w:pStyle w:val="Heading1"/>
        <w:spacing w:before="0" w:after="0"/>
        <w:rPr/>
      </w:pPr>
      <w:r>
        <w:rPr/>
        <w:t>5. Struktura projektu w formie pakietów prac</w:t>
      </w:r>
    </w:p>
    <w:p>
      <w:pPr>
        <w:pStyle w:val="Normal"/>
        <w:numPr>
          <w:ilvl w:val="0"/>
          <w:numId w:val="15"/>
        </w:numPr>
        <w:spacing w:lineRule="auto" w:line="276" w:before="0" w:after="120"/>
        <w:rPr/>
      </w:pPr>
      <w:r>
        <w:rPr>
          <w:b/>
        </w:rPr>
        <w:t>Pakiet prac 1. Analiza automatyzowalności i augmentacji pracy</w:t>
      </w:r>
      <w:r>
        <w:rPr/>
        <w:t>: Identyfikacja stanowisk i procesów, opracowanie modelu oceny automatyzowalności, wymagania dla pracowników AI-QC.</w:t>
      </w:r>
    </w:p>
    <w:p>
      <w:pPr>
        <w:pStyle w:val="Normal"/>
        <w:numPr>
          <w:ilvl w:val="0"/>
          <w:numId w:val="15"/>
        </w:numPr>
        <w:spacing w:lineRule="auto" w:line="276" w:before="0" w:after="120"/>
        <w:rPr/>
      </w:pPr>
      <w:r>
        <w:rPr>
          <w:b/>
        </w:rPr>
        <w:t>Pakiet prac 2. Architektura systemu AI-QC</w:t>
      </w:r>
      <w:r>
        <w:rPr/>
        <w:t>: Projekt środowiska, warstwa orkiestracji, integracja danych, prototyp szkieletu systemu.</w:t>
      </w:r>
    </w:p>
    <w:p>
      <w:pPr>
        <w:pStyle w:val="Normal"/>
        <w:numPr>
          <w:ilvl w:val="0"/>
          <w:numId w:val="15"/>
        </w:numPr>
        <w:spacing w:lineRule="auto" w:line="276" w:before="0" w:after="120"/>
        <w:rPr/>
      </w:pPr>
      <w:r>
        <w:rPr>
          <w:b/>
        </w:rPr>
        <w:t>Pakiet prac 3. Wyjaśnialność, system wizyjny i Physical AI</w:t>
      </w:r>
      <w:r>
        <w:rPr/>
        <w:t>: Explainable AI, system wizyjny, sterowanie robotem humanoidalnym, cyberbezpieczeństwo.</w:t>
      </w:r>
    </w:p>
    <w:p>
      <w:pPr>
        <w:pStyle w:val="Normal"/>
        <w:numPr>
          <w:ilvl w:val="0"/>
          <w:numId w:val="15"/>
        </w:numPr>
        <w:spacing w:lineRule="auto" w:line="276" w:before="0" w:after="120"/>
        <w:rPr/>
      </w:pPr>
      <w:r>
        <w:rPr>
          <w:b/>
        </w:rPr>
        <w:t>Pakiet prac 4. Syntetyczne persony i agenci AI</w:t>
      </w:r>
      <w:r>
        <w:rPr/>
        <w:t>: Biblioteka person, modele poznawcze, asystenci zadaniowi, klon eksperta.</w:t>
      </w:r>
    </w:p>
    <w:p>
      <w:pPr>
        <w:pStyle w:val="Normal"/>
        <w:numPr>
          <w:ilvl w:val="0"/>
          <w:numId w:val="15"/>
        </w:numPr>
        <w:spacing w:lineRule="auto" w:line="276" w:before="0" w:after="120"/>
        <w:rPr/>
      </w:pPr>
      <w:r>
        <w:rPr>
          <w:b/>
        </w:rPr>
        <w:t>Pakiet prac 5. Walidacja i demonstrator przemysłowy</w:t>
      </w:r>
      <w:r>
        <w:rPr/>
        <w:t>: Testy, iteracje, modyfikacje i wynik końcowy wdrożeniowy.</w:t>
      </w:r>
    </w:p>
    <w:p>
      <w:pPr>
        <w:pStyle w:val="Heading1"/>
        <w:rPr/>
      </w:pPr>
      <w:r>
        <w:rPr/>
        <w:t xml:space="preserve">6. </w:t>
      </w:r>
      <w:r>
        <w:rPr/>
        <w:t>Role potrzebne</w:t>
      </w:r>
      <w:r>
        <w:rPr/>
        <w:t xml:space="preserve"> </w:t>
      </w:r>
      <w:r>
        <w:rPr/>
        <w:t>do</w:t>
      </w:r>
      <w:r>
        <w:rPr/>
        <w:t xml:space="preserve"> projek</w:t>
      </w:r>
      <w:r>
        <w:rPr/>
        <w:t>tu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Kierownik projektu: </w:t>
      </w:r>
      <w:r>
        <w:rPr/>
        <w:t>Nadzór merytoryczny, planowanie, zarządzanie ryzykiem, koordynacja partnerów.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Lider obszaru AI i agentów: </w:t>
      </w:r>
      <w:r>
        <w:rPr/>
        <w:t>Projektowanie architektury agentowej, syntetycznych person, orkiestracji i logiki decyzyjnej.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Lider obszaru robotyki i systemów fizycznych: </w:t>
      </w:r>
      <w:r>
        <w:rPr/>
        <w:t>Integracja robota humanoidalnego, sterowanie nadrzędne, bezpieczeństwo działań fizycznych.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Lider obszaru wizyjnego: </w:t>
      </w:r>
      <w:r>
        <w:rPr/>
        <w:t>Projekt i walidacja systemów percepcji oraz detekcji zdarzeń.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Ekspert ds. kontroli jakości: </w:t>
      </w:r>
      <w:r>
        <w:rPr/>
        <w:t>Definicja scenariuszy użycia, walidacja biznesowa, ocena użyteczności wyników.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Ekspert ds. utrzymania ruchu i procesów: </w:t>
      </w:r>
      <w:r>
        <w:rPr/>
        <w:t>Dostarczanie wiedzy domenowej, opis awarii, analiza mechanizmów i wąskich gardeł.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Ekspert ds. cyberbezpieczeństwa: </w:t>
      </w:r>
      <w:r>
        <w:rPr/>
        <w:t>Analiza podatności, ograniczenia dostępu, polityki bezpieczeństwa i odporności systemu.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Ekspert naukowy ds. człowiek–AI: </w:t>
      </w:r>
      <w:r>
        <w:rPr/>
        <w:t>Ocena wpływu technologii na pracę, zaufanie, obciążenie poznawcze i akceptację użytkowników.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Inżynier wdrożeniowy / MLOps: </w:t>
      </w:r>
      <w:r>
        <w:rPr/>
        <w:t>Uruchamianie, monitorowanie, wersjonowanie modeli, utrzymanie środowiska testowego.</w:t>
      </w:r>
    </w:p>
    <w:p>
      <w:pPr>
        <w:pStyle w:val="Normal"/>
        <w:widowControl/>
        <w:numPr>
          <w:ilvl w:val="0"/>
          <w:numId w:val="13"/>
        </w:numPr>
        <w:suppressAutoHyphens w:val="false"/>
        <w:bidi w:val="0"/>
        <w:spacing w:lineRule="auto" w:line="240" w:before="0" w:after="170"/>
        <w:ind w:hanging="340" w:start="680" w:end="0"/>
        <w:jc w:val="both"/>
        <w:rPr/>
      </w:pPr>
      <w:r>
        <w:rPr>
          <w:b/>
        </w:rPr>
        <w:t xml:space="preserve">Analityk danych: </w:t>
      </w:r>
      <w:r>
        <w:rPr/>
        <w:t>Przygotowanie danych, ich jakość, etykietowanie i analiza wyników eksperymentalnych.</w:t>
      </w:r>
    </w:p>
    <w:p>
      <w:pPr>
        <w:pStyle w:val="Heading1"/>
        <w:rPr/>
      </w:pPr>
      <w:r>
        <w:rPr/>
        <w:t>7. Zadania projektowe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T1. Analiza literaturowa i benchmarking rozwiązań AI-QC oraz Physical AI.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 xml:space="preserve">T2. Mapowanie procesów przemysłowych i identyfikacja obszarów automatyzacji </w:t>
      </w:r>
      <w:r>
        <w:rPr/>
        <w:t>oraz</w:t>
      </w:r>
      <w:r>
        <w:rPr/>
        <w:t xml:space="preserve"> augmentacji.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T3. Definicja wymagań funkcjonalnych i niefunkcjonalnych dla systemu.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T4. Opracowanie architektury referencyjnej i przepływów informacji między agentami.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T5. Zaprojektowanie oraz implementacja bibliotek syntetycznych person.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T6. Opracowanie mechanizmu orkiestracji i oponenta strukturalnego.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T7. Integracja systemu wizyjnego, danych procesowych i dokumentacji.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T8. Projekt warstwy wyjaśnialności decyzji i rejestrowania logiki działania.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T9. Analiza i wdrożenie zabezpieczeń cybernetycznych.</w:t>
      </w:r>
    </w:p>
    <w:p>
      <w:pPr>
        <w:pStyle w:val="ListNumber"/>
        <w:widowControl/>
        <w:numPr>
          <w:ilvl w:val="0"/>
          <w:numId w:val="16"/>
        </w:numPr>
        <w:suppressAutoHyphens w:val="false"/>
        <w:bidi w:val="0"/>
        <w:spacing w:lineRule="auto" w:line="276" w:before="0" w:after="113"/>
        <w:jc w:val="both"/>
        <w:rPr/>
      </w:pPr>
      <w:r>
        <w:rPr/>
        <w:t>T10. Walidacja laboratoryjna i przemysłowa wraz z iteracyjną korektą rozwiązania.</w:t>
      </w:r>
    </w:p>
    <w:p>
      <w:pPr>
        <w:pStyle w:val="Heading1"/>
        <w:rPr/>
      </w:pPr>
      <w:r>
        <w:rPr/>
        <w:t>8. Rezultaty i produkty projektu</w:t>
      </w:r>
    </w:p>
    <w:p>
      <w:pPr>
        <w:pStyle w:val="ListBullet"/>
        <w:numPr>
          <w:ilvl w:val="0"/>
          <w:numId w:val="11"/>
        </w:numPr>
        <w:spacing w:lineRule="auto" w:line="276" w:before="0" w:after="119"/>
        <w:rPr/>
      </w:pPr>
      <w:r>
        <w:rPr/>
        <w:t>model koncepcyjny i architektura docelowa AI-QC/Physical AI-QC;</w:t>
      </w:r>
    </w:p>
    <w:p>
      <w:pPr>
        <w:pStyle w:val="ListBullet"/>
        <w:numPr>
          <w:ilvl w:val="0"/>
          <w:numId w:val="11"/>
        </w:numPr>
        <w:spacing w:lineRule="auto" w:line="276" w:before="0" w:after="119"/>
        <w:rPr/>
      </w:pPr>
      <w:r>
        <w:rPr/>
        <w:t>metodyka oceny automatyzowalności i augmentowalności pracy;</w:t>
      </w:r>
    </w:p>
    <w:p>
      <w:pPr>
        <w:pStyle w:val="ListBullet"/>
        <w:numPr>
          <w:ilvl w:val="0"/>
          <w:numId w:val="11"/>
        </w:numPr>
        <w:spacing w:lineRule="auto" w:line="276" w:before="0" w:after="119"/>
        <w:rPr/>
      </w:pPr>
      <w:r>
        <w:rPr/>
        <w:t>biblioteka syntetycznych person i schemat ich wykorzystania;</w:t>
      </w:r>
    </w:p>
    <w:p>
      <w:pPr>
        <w:pStyle w:val="ListBullet"/>
        <w:numPr>
          <w:ilvl w:val="0"/>
          <w:numId w:val="11"/>
        </w:numPr>
        <w:spacing w:lineRule="auto" w:line="276" w:before="0" w:after="119"/>
        <w:rPr/>
      </w:pPr>
      <w:r>
        <w:rPr/>
        <w:t>prototyp środowiska agentowego i mechanizmu orkiestracji;</w:t>
      </w:r>
    </w:p>
    <w:p>
      <w:pPr>
        <w:pStyle w:val="ListBullet"/>
        <w:numPr>
          <w:ilvl w:val="0"/>
          <w:numId w:val="11"/>
        </w:numPr>
        <w:spacing w:lineRule="auto" w:line="276" w:before="0" w:after="119"/>
        <w:rPr/>
      </w:pPr>
      <w:r>
        <w:rPr/>
        <w:t>prototyp integracji z systemem wizyjnym i komponentem robotycznym;</w:t>
      </w:r>
    </w:p>
    <w:p>
      <w:pPr>
        <w:pStyle w:val="ListBullet"/>
        <w:numPr>
          <w:ilvl w:val="0"/>
          <w:numId w:val="11"/>
        </w:numPr>
        <w:spacing w:lineRule="auto" w:line="276" w:before="0" w:after="119"/>
        <w:rPr/>
      </w:pPr>
      <w:r>
        <w:rPr/>
        <w:t>raport z testów i walidacji przemysłowej;</w:t>
      </w:r>
    </w:p>
    <w:p>
      <w:pPr>
        <w:pStyle w:val="ListBullet"/>
        <w:numPr>
          <w:ilvl w:val="0"/>
          <w:numId w:val="11"/>
        </w:numPr>
        <w:spacing w:lineRule="auto" w:line="276" w:before="0" w:after="119"/>
        <w:rPr/>
      </w:pPr>
      <w:r>
        <w:rPr/>
        <w:t>rekomendacje wdrożeniowe dla partnera przemysłowego i jednostki naukowej.</w:t>
      </w:r>
    </w:p>
    <w:p>
      <w:pPr>
        <w:pStyle w:val="Heading1"/>
        <w:rPr/>
      </w:pPr>
      <w:r>
        <w:rPr/>
        <w:t>9. Ryzyka i założenia wdrożeniowe</w:t>
      </w:r>
    </w:p>
    <w:p>
      <w:pPr>
        <w:pStyle w:val="ListBullet"/>
        <w:numPr>
          <w:ilvl w:val="0"/>
          <w:numId w:val="12"/>
        </w:numPr>
        <w:spacing w:lineRule="auto" w:line="276" w:before="0" w:after="119"/>
        <w:rPr/>
      </w:pPr>
      <w:r>
        <w:rPr/>
        <w:t>Ryzyko nadmiernej ogólności modeli AI należy ograniczyć poprzez precyzyjne definiowanie person, ról i ograniczeń.</w:t>
      </w:r>
    </w:p>
    <w:p>
      <w:pPr>
        <w:pStyle w:val="ListBullet"/>
        <w:numPr>
          <w:ilvl w:val="0"/>
          <w:numId w:val="12"/>
        </w:numPr>
        <w:spacing w:lineRule="auto" w:line="276" w:before="0" w:after="119"/>
        <w:rPr/>
      </w:pPr>
      <w:r>
        <w:rPr/>
        <w:t>Ryzyko błędów decyzyjnych wymaga mechanizmów weryfikacji, pracy wieloagentowej i wyjaśnialności.</w:t>
      </w:r>
    </w:p>
    <w:p>
      <w:pPr>
        <w:pStyle w:val="ListBullet"/>
        <w:numPr>
          <w:ilvl w:val="0"/>
          <w:numId w:val="12"/>
        </w:numPr>
        <w:spacing w:lineRule="auto" w:line="276" w:before="0" w:after="119"/>
        <w:rPr/>
      </w:pPr>
      <w:r>
        <w:rPr/>
        <w:t>Ryzyko wdrożeniowe związane z oporem organizacyjnym należy adresować przez etapowe pilotaże i udział użytkowników końcowych.</w:t>
      </w:r>
    </w:p>
    <w:p>
      <w:pPr>
        <w:pStyle w:val="ListBullet"/>
        <w:numPr>
          <w:ilvl w:val="0"/>
          <w:numId w:val="12"/>
        </w:numPr>
        <w:spacing w:lineRule="auto" w:line="276" w:before="0" w:after="119"/>
        <w:rPr/>
      </w:pPr>
      <w:r>
        <w:rPr/>
        <w:t>Ryzyko cyberbezpieczeństwa należy uwzględnić już na etapie architektury, a nie dopiero podczas integracji.</w:t>
      </w:r>
    </w:p>
    <w:p>
      <w:pPr>
        <w:pStyle w:val="Heading1"/>
        <w:rPr/>
      </w:pPr>
      <w:r>
        <w:rPr/>
        <w:t>10. Rekomendowana logika realizacji</w:t>
      </w:r>
    </w:p>
    <w:p>
      <w:pPr>
        <w:pStyle w:val="ListBullet"/>
        <w:numPr>
          <w:ilvl w:val="0"/>
          <w:numId w:val="10"/>
        </w:numPr>
        <w:spacing w:lineRule="auto" w:line="276" w:before="0" w:after="113"/>
        <w:rPr>
          <w:sz w:val="22"/>
          <w:szCs w:val="22"/>
        </w:rPr>
      </w:pPr>
      <w:r>
        <w:rPr>
          <w:sz w:val="22"/>
          <w:szCs w:val="22"/>
        </w:rPr>
        <w:t>Etap 1: diagnoza procesów i definicja wymagań.</w:t>
      </w:r>
    </w:p>
    <w:p>
      <w:pPr>
        <w:pStyle w:val="ListBullet"/>
        <w:numPr>
          <w:ilvl w:val="0"/>
          <w:numId w:val="10"/>
        </w:numPr>
        <w:spacing w:lineRule="auto" w:line="276" w:before="0" w:after="113"/>
        <w:rPr>
          <w:sz w:val="22"/>
          <w:szCs w:val="22"/>
        </w:rPr>
      </w:pPr>
      <w:r>
        <w:rPr>
          <w:sz w:val="22"/>
          <w:szCs w:val="22"/>
        </w:rPr>
        <w:t>Etap 2: projekt architektury i person syntetycznych.</w:t>
      </w:r>
    </w:p>
    <w:p>
      <w:pPr>
        <w:pStyle w:val="ListBullet"/>
        <w:numPr>
          <w:ilvl w:val="0"/>
          <w:numId w:val="10"/>
        </w:numPr>
        <w:spacing w:lineRule="auto" w:line="276" w:before="0" w:after="113"/>
        <w:rPr>
          <w:sz w:val="22"/>
          <w:szCs w:val="22"/>
        </w:rPr>
      </w:pPr>
      <w:r>
        <w:rPr>
          <w:sz w:val="22"/>
          <w:szCs w:val="22"/>
        </w:rPr>
        <w:t>Etap 3: budowa prototypu oraz integracja modułów.</w:t>
      </w:r>
    </w:p>
    <w:p>
      <w:pPr>
        <w:pStyle w:val="ListBullet"/>
        <w:numPr>
          <w:ilvl w:val="0"/>
          <w:numId w:val="10"/>
        </w:numPr>
        <w:spacing w:lineRule="auto" w:line="276" w:before="0" w:after="113"/>
        <w:rPr>
          <w:sz w:val="22"/>
          <w:szCs w:val="22"/>
        </w:rPr>
      </w:pPr>
      <w:r>
        <w:rPr>
          <w:sz w:val="22"/>
          <w:szCs w:val="22"/>
        </w:rPr>
        <w:t>Etap 4: testy laboratoryjne i korekty funkcjonalne.</w:t>
      </w:r>
    </w:p>
    <w:p>
      <w:pPr>
        <w:pStyle w:val="ListBullet"/>
        <w:numPr>
          <w:ilvl w:val="0"/>
          <w:numId w:val="10"/>
        </w:numPr>
        <w:spacing w:lineRule="auto" w:line="276" w:before="0" w:after="113"/>
        <w:rPr>
          <w:sz w:val="22"/>
          <w:szCs w:val="22"/>
        </w:rPr>
      </w:pPr>
      <w:r>
        <w:rPr>
          <w:sz w:val="22"/>
          <w:szCs w:val="22"/>
        </w:rPr>
        <w:t>Etap 5: walidacja przemysłowa i przygotowanie do upowszechnienia.</w:t>
      </w:r>
    </w:p>
    <w:p>
      <w:pPr>
        <w:pStyle w:val="Heading1"/>
        <w:rPr/>
      </w:pPr>
      <w:r>
        <w:rPr/>
        <w:t>11. Wnioski końcowe</w:t>
      </w:r>
    </w:p>
    <w:p>
      <w:pPr>
        <w:pStyle w:val="Normal"/>
        <w:spacing w:lineRule="auto" w:line="276" w:before="0" w:after="120"/>
        <w:ind w:firstLine="425"/>
        <w:rPr/>
      </w:pPr>
      <w:r>
        <w:rPr>
          <w:b/>
        </w:rPr>
        <w:t xml:space="preserve">Solvera </w:t>
      </w:r>
      <w:r>
        <w:rPr/>
        <w:t>powinna być traktowana jako projekt platformowy, łączący badania nad pracą człowieka, architekturą agentową, percepcją maszynową i robotyką. Największą wartość koncepcyjną stanowi przejście od ogólnego „asystenta AI” do wyspecjalizowanych, zdefiniowanych stanowiskowo person, które działają w oparciu o wiedzę organizacyjną, procedury poznawcze i kontrolowane mechanizmy współpracy z człowiekiem. Taki model odpowiada praktyce rynkowej, ponieważ łączy nowość badawczą z mierzalnym potencjałem wdrożeniowym.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17" w:right="1417" w:gutter="0" w:header="0" w:top="1304" w:footer="720" w:bottom="1134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Times New Roman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Strona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Strona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90"/>
  <w:defaultTabStop w:val="643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false"/>
      <w:bidi w:val="0"/>
      <w:spacing w:lineRule="auto" w:line="276" w:before="0" w:after="113"/>
      <w:jc w:val="both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97" w:after="113"/>
      <w:jc w:val="star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27" w:after="113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Znakinumeracji">
    <w:name w:val="Znaki numeracji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ascii="Calibri" w:hAnsi="Calibri" w:cs="Noto Sans Devanagari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27"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1"/>
      </w:numPr>
      <w:spacing w:lineRule="auto" w:line="276" w:before="0" w:after="113"/>
      <w:contextualSpacing/>
      <w:jc w:val="start"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3"/>
      </w:numPr>
      <w:spacing w:before="0" w:after="170"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4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LibreOffice/25.8.6.2$Linux_X86_64 LibreOffice_project/580$Build-2</Application>
  <AppVersion>15.0000</AppVersion>
  <Pages>5</Pages>
  <Words>1060</Words>
  <Characters>7771</Characters>
  <CharactersWithSpaces>8670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>Mateusz Pomianek</cp:lastModifiedBy>
  <dcterms:modified xsi:type="dcterms:W3CDTF">2026-05-19T10:20:38Z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