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76" w:before="360" w:after="80"/>
        <w:rPr/>
      </w:pPr>
      <w:bookmarkStart w:id="0" w:name="header"/>
      <w:bookmarkStart w:id="1" w:name="X8448e762bd1fe873580ffd4dd34f871b37e8691"/>
      <w:bookmarkStart w:id="2" w:name="content"/>
      <w:bookmarkEnd w:id="0"/>
      <w:r>
        <w:rPr/>
        <w:t>Przegląd literatury naukowej o neuro-lingwistycznym programowaniu oraz ocena testu Insightful Profiler iP121</w:t>
      </w:r>
    </w:p>
    <w:p>
      <w:pPr>
        <w:pStyle w:val="Heading2"/>
        <w:spacing w:lineRule="auto" w:line="276"/>
        <w:rPr/>
      </w:pPr>
      <w:bookmarkStart w:id="3" w:name="streszczenie-wykonawcze"/>
      <w:r>
        <w:rPr/>
        <w:t>Streszczenie</w:t>
      </w:r>
    </w:p>
    <w:p>
      <w:pPr>
        <w:pStyle w:val="FirstParagraph"/>
        <w:spacing w:lineRule="auto" w:line="276"/>
        <w:jc w:val="both"/>
        <w:rPr/>
      </w:pPr>
      <w:r>
        <w:rPr/>
        <w:t xml:space="preserve">Neuro-Linguistic Programming, dalej: </w:t>
      </w:r>
      <w:r>
        <w:rPr>
          <w:b/>
          <w:bCs/>
        </w:rPr>
        <w:t>NLP</w:t>
      </w:r>
      <w:r>
        <w:rPr/>
        <w:t xml:space="preserve">, powstało w latach 70. XX wieku jako eklektyczny projekt modelowania praktyki uznanych psychoterapeutów, przede wszystkim Fritza Perlsa, Virginii Satir i Miltona Ericksona. Już na poziomie definicyjnym jest ono jednak nieostre: w literaturze spotyka się zarówno bardzo szerokie ujęcia („badanie subiektywnego doświadczenia”), jak i definicje akcentujące „doskonałość osobistą”, komunikację lub zmianę. Taka niejednoznaczność utrudnia zarówno operacjonalizację teorii, jak i rzetelne testowanie empiryczne jej wyróżnikowych twierdzeń. </w:t>
      </w:r>
      <w:hyperlink r:id="rId2">
        <w:r>
          <w:rPr>
            <w:rStyle w:val="Hyperlink"/>
          </w:rPr>
          <w:t>[1]</w:t>
        </w:r>
      </w:hyperlink>
    </w:p>
    <w:p>
      <w:pPr>
        <w:pStyle w:val="BodyText"/>
        <w:spacing w:lineRule="auto" w:line="276"/>
        <w:jc w:val="both"/>
        <w:rPr/>
      </w:pPr>
      <w:r>
        <w:rPr/>
        <w:t xml:space="preserve">Całościowy obraz dowodów jest sceptyczny. Najważniejsze przeglądy krytyczne i systematyczne wskazują, że </w:t>
      </w:r>
      <w:r>
        <w:rPr>
          <w:b/>
          <w:bCs/>
        </w:rPr>
        <w:t>unikalne założenia NLP</w:t>
      </w:r>
      <w:r>
        <w:rPr/>
        <w:t xml:space="preserve"> są słabo wspierane przez badania, a w zastosowaniach zdrowotnych i coachingowych baza dowodowa jest mała, heterogeniczna i metodologicznie słaba. Dodatnie wyniki pojawiają się w pojedynczych badaniach lub wąskich zastosowaniach, ale nie zmieniają one ogólnego wniosku, że NLP nie ma takiej jakości i skali wsparcia empirycznego jak podejścia dobrze ugruntowane, np. CBT czy standardowe, wystandaryzowane testy osobowości. </w:t>
      </w:r>
      <w:hyperlink r:id="rId3">
        <w:r>
          <w:rPr>
            <w:rStyle w:val="Hyperlink"/>
          </w:rPr>
          <w:t>[2]</w:t>
        </w:r>
      </w:hyperlink>
    </w:p>
    <w:p>
      <w:pPr>
        <w:pStyle w:val="BodyText"/>
        <w:spacing w:lineRule="auto" w:line="276"/>
        <w:jc w:val="both"/>
        <w:rPr/>
      </w:pPr>
      <w:r>
        <w:rPr/>
        <w:t xml:space="preserve">Najlepiej przebadane, charakterystyczne twierdzenia NLP — na przykład o związku ruchów gałek ocznych z reprezentacjami poznawczymi lub kłamstwem — nie uzyskały potwierdzenia w badaniach eksperymentalnych. Richard Wiseman i współpracownicy nie znaleźli wsparcia dla wzorców ruchów oczu postulowanych przez NLP w trzech badaniach, a wcześniejsze przeglądy wykazywały brak przekonujących dowodów dla systemów reprezentacyjnych i „predicate matching”. Równocześnie istnieją pojedyncze badania raportujące poprawę w obszarach takich jak trudności psychologiczne, lęk w szczególnych sytuacjach medycznych czy wybrane wyniki po interwencji, lecz zwykle są to badania małe, z ryzykiem błędu systematycznego i ograniczoną replikacją. </w:t>
      </w:r>
      <w:hyperlink r:id="rId4">
        <w:r>
          <w:rPr>
            <w:rStyle w:val="Hyperlink"/>
          </w:rPr>
          <w:t>[3]</w:t>
        </w:r>
      </w:hyperlink>
    </w:p>
    <w:p>
      <w:pPr>
        <w:pStyle w:val="BodyText"/>
        <w:spacing w:lineRule="auto" w:line="276"/>
        <w:jc w:val="both"/>
        <w:rPr/>
      </w:pPr>
      <w:r>
        <w:rPr/>
        <w:t xml:space="preserve">W odniesieniu do </w:t>
      </w:r>
      <w:r>
        <w:rPr>
          <w:b/>
          <w:bCs/>
        </w:rPr>
        <w:t>Insightful Profiler™ (iP121)</w:t>
      </w:r>
      <w:r>
        <w:rPr/>
        <w:t xml:space="preserve"> oficjalne materiały producenta deklarują, że jest to 121</w:t>
        <w:noBreakHyphen/>
        <w:t>pozycyjny, około 20</w:t>
        <w:noBreakHyphen/>
        <w:t xml:space="preserve">minutowy kwestionariusz „osobowości zawodowej”, oparty na modelu Wielkiej Piątki, z wysoką zgodnością wewnętrzną skal (α ok. 0,82–0,92), wysoką stabilnością retestową, polską normalizacją i „normami kroczącymi”. Producent komunikuje też aktualizację norm opartą na 26 885 kompletnych profilach oraz łączną liczbę 35 754 ukończonych kwestionariuszy. Są to jednak przede wszystkim </w:t>
      </w:r>
      <w:r>
        <w:rPr>
          <w:b/>
          <w:bCs/>
        </w:rPr>
        <w:t>deklaracje marketingowo</w:t>
        <w:noBreakHyphen/>
        <w:t>techniczne</w:t>
      </w:r>
      <w:r>
        <w:rPr/>
        <w:t xml:space="preserve">, a nie pełna, publicznie dostępna dokumentacja psychometryczna w standardzie znanym z uznanych testów. </w:t>
      </w:r>
      <w:hyperlink r:id="rId5">
        <w:r>
          <w:rPr>
            <w:rStyle w:val="Hyperlink"/>
          </w:rPr>
          <w:t>[4]</w:t>
        </w:r>
      </w:hyperlink>
    </w:p>
    <w:p>
      <w:pPr>
        <w:pStyle w:val="BodyText"/>
        <w:spacing w:lineRule="auto" w:line="276"/>
        <w:jc w:val="both"/>
        <w:rPr/>
      </w:pPr>
      <w:r>
        <w:rPr/>
        <w:t xml:space="preserve">Najważniejszy wniosek praktyczny jest więc ostrożny: </w:t>
      </w:r>
      <w:r>
        <w:rPr>
          <w:b/>
          <w:bCs/>
        </w:rPr>
        <w:t>iP121 można rozważać jako narzędzie pomocnicze w diagnozie rozwojowej lub HR</w:t>
      </w:r>
      <w:r>
        <w:rPr/>
        <w:t xml:space="preserve">, ale obecnie nie powinien być traktowany jako samowystarczalna podstawa decyzji wysokiej stawki ani jako narzędzie o udokumentowanej przydatności klinicznej. W publicznie dostępnych materiałach nie znalazłem pełnych danych o strukturze czynnikowej, trafności kryterialnej/predykcyjnej, inwariancji pomiaru, błędzie standardowym pomiaru, tabelach norm ani czułości/swoistości dla punktów odcięcia. To nie dowodzi, że takie analizy nie istnieją, ale oznacza, że </w:t>
      </w:r>
      <w:r>
        <w:rPr>
          <w:b/>
          <w:bCs/>
        </w:rPr>
        <w:t>nie można ich było niezależnie zweryfikować na podstawie źródeł publicznych dostępnych w dniu przygotowania przeglądu</w:t>
      </w:r>
      <w:r>
        <w:rPr/>
        <w:t xml:space="preserve">. </w:t>
      </w:r>
      <w:hyperlink r:id="rId6">
        <w:r>
          <w:rPr>
            <w:rStyle w:val="Hyperlink"/>
          </w:rPr>
          <w:t>[5]</w:t>
        </w:r>
      </w:hyperlink>
      <w:bookmarkEnd w:id="3"/>
    </w:p>
    <w:p>
      <w:pPr>
        <w:pStyle w:val="Heading2"/>
        <w:spacing w:lineRule="auto" w:line="276"/>
        <w:rPr/>
      </w:pPr>
      <w:r>
        <w:rPr/>
        <w:t>Zakres, metoda i założenia</w:t>
      </w:r>
    </w:p>
    <w:p>
      <w:pPr>
        <w:pStyle w:val="FirstParagraph"/>
        <w:spacing w:lineRule="auto" w:line="276"/>
        <w:jc w:val="both"/>
        <w:rPr/>
      </w:pPr>
      <w:r>
        <w:rPr/>
        <w:t xml:space="preserve">Przegląd oparto na czterech grupach źródeł: recenzowanych artykułach i przeglądach dotyczących NLP; badaniach pierwotnych nad skutecznością i wyróżnikowymi hipotezami NLP; oficjalnych materiałach producenta iP121; oraz oficjalnych standardach i regulacjach dotyczących testów psychologicznych, etyki i ochrony danych w Polsce i UE. Priorytet nadano źródłom pierwotnym, recenzowanym oraz polskojęzycznym, gdy były dostępne. W części dotyczącej iP121 duży ciężar dowodowy mają dokumenty producenta, ponieważ </w:t>
      </w:r>
      <w:r>
        <w:rPr>
          <w:b/>
          <w:bCs/>
        </w:rPr>
        <w:t>nie znalazłem łatwo dostępnej, niezależnej, recenzowanej walidacji iP121</w:t>
      </w:r>
      <w:r>
        <w:rPr/>
        <w:t xml:space="preserve"> w publicznym obiegu naukowym. </w:t>
      </w:r>
      <w:hyperlink r:id="rId7">
        <w:r>
          <w:rPr>
            <w:rStyle w:val="Hyperlink"/>
          </w:rPr>
          <w:t>[6]</w:t>
        </w:r>
      </w:hyperlink>
    </w:p>
    <w:p>
      <w:pPr>
        <w:pStyle w:val="BodyText"/>
        <w:spacing w:lineRule="auto" w:line="276"/>
        <w:jc w:val="both"/>
        <w:rPr/>
      </w:pPr>
      <w:r>
        <w:rPr/>
        <w:t xml:space="preserve">W dalszej analizie przyjmuję, że „iP121” oznacza </w:t>
      </w:r>
      <w:r>
        <w:rPr>
          <w:b/>
          <w:bCs/>
        </w:rPr>
        <w:t>Insightful Profiler™ (iP121)</w:t>
      </w:r>
      <w:r>
        <w:rPr/>
        <w:t xml:space="preserve"> oferowany przez Advisio Poland/iP121.ai, czyli narzędzie do profilowania osobowości zawodowej i wspierania rekrutacji, awansu, sukcesji oraz rozwoju. Przyjmuję też, że pytanie użytkownika dotyczy zastosowań przez psychologów i psychoterapeutów w Polsce, a więc w kontekście standardów PTP, ochrony danych osobowych, prawa pracy </w:t>
      </w:r>
      <w:r>
        <w:rPr/>
        <w:t>oraz</w:t>
      </w:r>
      <w:r>
        <w:rPr/>
        <w:t xml:space="preserve"> jeśli narzędzie byłoby używane w świadczeniach zdrowotnych, także praw pacjenta i dokumentacji </w:t>
        <w:br/>
        <w:t xml:space="preserve">medycznej </w:t>
      </w:r>
      <w:hyperlink r:id="rId8">
        <w:r>
          <w:rPr>
            <w:rStyle w:val="Hyperlink"/>
          </w:rPr>
          <w:t>[7]</w:t>
        </w:r>
      </w:hyperlink>
      <w:r>
        <w:rPr>
          <w:rStyle w:val="Hyperlink"/>
        </w:rPr>
        <w:t>.</w:t>
      </w:r>
    </w:p>
    <w:tbl>
      <w:tblPr>
        <w:tblStyle w:val="Table"/>
        <w:tblW w:w="952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703"/>
        <w:gridCol w:w="4477"/>
        <w:gridCol w:w="3345"/>
      </w:tblGrid>
      <w:tr>
        <w:trPr>
          <w:tblHeader w:val="true"/>
        </w:trPr>
        <w:tc>
          <w:tcPr>
            <w:tcW w:w="1703"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Obszar</w:t>
            </w:r>
          </w:p>
        </w:tc>
        <w:tc>
          <w:tcPr>
            <w:tcW w:w="4477"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Założenie lub luka</w:t>
            </w:r>
          </w:p>
        </w:tc>
        <w:tc>
          <w:tcPr>
            <w:tcW w:w="3345"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Znaczenie dla wniosków</w:t>
            </w:r>
          </w:p>
        </w:tc>
      </w:tr>
      <w:tr>
        <w:trPr/>
        <w:tc>
          <w:tcPr>
            <w:tcW w:w="170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Tożsamość narzędzia</w:t>
            </w:r>
          </w:p>
        </w:tc>
        <w:tc>
          <w:tcPr>
            <w:tcW w:w="4477"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Analizowany test to Insightful Profiler™ (iP121) producenta Advisio Poland. </w:t>
            </w:r>
            <w:hyperlink r:id="rId9">
              <w:r>
                <w:rPr>
                  <w:rStyle w:val="Hyperlink"/>
                  <w:rFonts w:eastAsia="Aptos" w:cs=""/>
                  <w:kern w:val="0"/>
                  <w:sz w:val="20"/>
                  <w:szCs w:val="20"/>
                  <w:lang w:val="pl-PL" w:eastAsia="en-US" w:bidi="ar-SA"/>
                </w:rPr>
                <w:t>[8]</w:t>
              </w:r>
            </w:hyperlink>
          </w:p>
        </w:tc>
        <w:tc>
          <w:tcPr>
            <w:tcW w:w="334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Pozwala ograniczyć analizę do jednego produktu i jego oficjalnej dokumentacji.</w:t>
            </w:r>
          </w:p>
        </w:tc>
      </w:tr>
      <w:tr>
        <w:trPr/>
        <w:tc>
          <w:tcPr>
            <w:tcW w:w="170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Zakres użycia</w:t>
            </w:r>
          </w:p>
        </w:tc>
        <w:tc>
          <w:tcPr>
            <w:tcW w:w="4477"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Producent pozycjonuje iP121 jako narzędzie do rekrutacji i rozwoju zawodowego, nie do diagnostyki zaburzeń psychicznych. </w:t>
            </w:r>
            <w:hyperlink r:id="rId10">
              <w:r>
                <w:rPr>
                  <w:rStyle w:val="Hyperlink"/>
                  <w:rFonts w:eastAsia="Aptos" w:cs=""/>
                  <w:kern w:val="0"/>
                  <w:sz w:val="20"/>
                  <w:szCs w:val="20"/>
                  <w:lang w:val="pl-PL" w:eastAsia="en-US" w:bidi="ar-SA"/>
                </w:rPr>
                <w:t>[9]</w:t>
              </w:r>
            </w:hyperlink>
          </w:p>
        </w:tc>
        <w:tc>
          <w:tcPr>
            <w:tcW w:w="334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Wnioski kliniczne muszą być szczególnie ostrożne.</w:t>
            </w:r>
          </w:p>
        </w:tc>
      </w:tr>
      <w:tr>
        <w:trPr/>
        <w:tc>
          <w:tcPr>
            <w:tcW w:w="170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Publiczna dokumentacja</w:t>
            </w:r>
          </w:p>
        </w:tc>
        <w:tc>
          <w:tcPr>
            <w:tcW w:w="4477"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Publicznie dostępne materiały zawierają deklaracje o rzetelności, trafności, normach i raportach, lecz nie pełny podręcznik techniczny z analizami CFA/EFA, inwariancją, SEM ani tabelami norm. </w:t>
            </w:r>
            <w:hyperlink r:id="rId11">
              <w:r>
                <w:rPr>
                  <w:rStyle w:val="Hyperlink"/>
                  <w:rFonts w:eastAsia="Aptos" w:cs=""/>
                  <w:kern w:val="0"/>
                  <w:sz w:val="20"/>
                  <w:szCs w:val="20"/>
                  <w:lang w:val="pl-PL" w:eastAsia="en-US" w:bidi="ar-SA"/>
                </w:rPr>
                <w:t>[10]</w:t>
              </w:r>
            </w:hyperlink>
          </w:p>
        </w:tc>
        <w:tc>
          <w:tcPr>
            <w:tcW w:w="334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Ocena psychometryczna iP121 pozostaje częściowo niezweryfikowana.</w:t>
            </w:r>
          </w:p>
        </w:tc>
      </w:tr>
      <w:tr>
        <w:trPr/>
        <w:tc>
          <w:tcPr>
            <w:tcW w:w="170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Wymóg dowodowy</w:t>
            </w:r>
          </w:p>
        </w:tc>
        <w:tc>
          <w:tcPr>
            <w:tcW w:w="4477"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Standardy AERA/APA/NCME, EFPA, ITC i PTP wymagają, by dokumentacja testu adekwatnie uzasadniała interpretacje, normy, rzetelność, trafność i fair use. </w:t>
            </w:r>
            <w:hyperlink r:id="rId12">
              <w:r>
                <w:rPr>
                  <w:rStyle w:val="Hyperlink"/>
                  <w:rFonts w:eastAsia="Aptos" w:cs=""/>
                  <w:kern w:val="0"/>
                  <w:sz w:val="20"/>
                  <w:szCs w:val="20"/>
                  <w:lang w:val="pl-PL" w:eastAsia="en-US" w:bidi="ar-SA"/>
                </w:rPr>
                <w:t>[11]</w:t>
              </w:r>
            </w:hyperlink>
          </w:p>
        </w:tc>
        <w:tc>
          <w:tcPr>
            <w:tcW w:w="334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Braki dokumentacji publicznej należy traktować jako realne ograniczenie praktyczne.</w:t>
            </w:r>
          </w:p>
        </w:tc>
      </w:tr>
      <w:tr>
        <w:trPr/>
        <w:tc>
          <w:tcPr>
            <w:tcW w:w="170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Rekrutacja i prawo pracy</w:t>
            </w:r>
          </w:p>
        </w:tc>
        <w:tc>
          <w:tcPr>
            <w:tcW w:w="4477"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 Polsce przetwarzanie dodatkowych danych pracowniczych opiera się na art. 22¹a i 22¹b Kodeksu pracy; szczególne kategorie danych mogą być przetwarzane tylko w określonych warunkach. </w:t>
            </w:r>
            <w:hyperlink r:id="rId13">
              <w:r>
                <w:rPr>
                  <w:rStyle w:val="Hyperlink"/>
                  <w:rFonts w:eastAsia="Aptos" w:cs=""/>
                  <w:kern w:val="0"/>
                  <w:sz w:val="20"/>
                  <w:szCs w:val="20"/>
                  <w:lang w:val="pl-PL" w:eastAsia="en-US" w:bidi="ar-SA"/>
                </w:rPr>
                <w:t>[12]</w:t>
              </w:r>
            </w:hyperlink>
          </w:p>
        </w:tc>
        <w:tc>
          <w:tcPr>
            <w:tcW w:w="334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Użycie osobowościowych testów HR bywa prawnie wrażliwe, zwłaszcza gdy wkracza w obszar danych szczególnych.</w:t>
            </w:r>
            <w:bookmarkStart w:id="4" w:name="zakres-metoda-i-założenia"/>
            <w:bookmarkEnd w:id="4"/>
          </w:p>
        </w:tc>
      </w:tr>
    </w:tbl>
    <w:p>
      <w:pPr>
        <w:pStyle w:val="Heading2"/>
        <w:spacing w:lineRule="auto" w:line="276"/>
        <w:rPr/>
      </w:pPr>
      <w:r>
        <w:rPr/>
        <w:t>NLP: definicja i podstawy teoretyczne</w:t>
      </w:r>
    </w:p>
    <w:p>
      <w:pPr>
        <w:pStyle w:val="FirstParagraph"/>
        <w:spacing w:lineRule="auto" w:line="276"/>
        <w:jc w:val="both"/>
        <w:rPr/>
      </w:pPr>
      <w:r>
        <w:rPr/>
        <w:t xml:space="preserve">W krytycznych przeglądach zwraca się uwagę, że NLP trudno zdefiniować </w:t>
        <w:br/>
        <w:t xml:space="preserve">w sposób wystarczająco precyzyjny do testowania naukowego. Passmore i Rowson pokazują, że definicje NLP wahają się od bardzo ogólnego „badania subiektywnego doświadczenia” po „sztukę i naukę osobistej doskonałości”, </w:t>
        <w:br/>
        <w:t xml:space="preserve">a żadna z nich nie wyznacza wyraźnej granicy między NLP a innymi nurtami pomocy psychologicznej lub komunikacji. Taka płynność pojęciowa zwiększa ryzyko, że dodatnie efekty przypisywane NLP wynikają z technik wspólnych wielu podejściom, a nie z jego unikatowych mechanizmów. </w:t>
      </w:r>
      <w:hyperlink r:id="rId14">
        <w:r>
          <w:rPr>
            <w:rStyle w:val="Hyperlink"/>
          </w:rPr>
          <w:t>[13]</w:t>
        </w:r>
      </w:hyperlink>
    </w:p>
    <w:p>
      <w:pPr>
        <w:pStyle w:val="BodyText"/>
        <w:spacing w:lineRule="auto" w:line="276"/>
        <w:jc w:val="both"/>
        <w:rPr/>
      </w:pPr>
      <w:r>
        <w:rPr/>
        <w:t xml:space="preserve">Historycznie NLP wyrosło z obserwacji praktyki terapeutycznej Perlsa, Satir </w:t>
        <w:br/>
        <w:t xml:space="preserve">i Ericksona oraz z założenia Bandlera i Grindera, że skutecznych praktyków można „zamodelować”, uogólnić wspólne wzorce i przenieść je do komunikacji oraz terapii. Do centralnych idei zaliczano między innymi tezę, że „mapa nie jest terytorium”, koncepcję systemów reprezentacyjnych, rolę dopasowania językowego, znaczenie ruchów gałek ocznych jako wskaźnika procesów poznawczych, „anchoring”, „reframing” i różne szybkie techniki zmiany, takie jak „fast phobia fix”. Jednocześnie sami krytycy podkreślają, że część tych pomysłów jest zapożyczona z innych tradycji, a część bywa prezentowana bez spójnego, falsyfikowalnego modelu. </w:t>
      </w:r>
      <w:hyperlink r:id="rId15">
        <w:r>
          <w:rPr>
            <w:rStyle w:val="Hyperlink"/>
          </w:rPr>
          <w:t>[14]</w:t>
        </w:r>
      </w:hyperlink>
    </w:p>
    <w:p>
      <w:pPr>
        <w:pStyle w:val="BodyText"/>
        <w:spacing w:lineRule="auto" w:line="276"/>
        <w:jc w:val="both"/>
        <w:rPr/>
      </w:pPr>
      <w:r>
        <w:rPr/>
        <w:t xml:space="preserve">Passmore i Rowson zauważają dodatkowo, że już na etapie genezy NLP pojawiało się napięcie między językiem naukowym a praktyką testowania hipotez; w ich rekonstrukcji twierdzenia NLP „brzmią naukowo”, ale historycznie często nie towarzyszyło im konsekwentne zaplecze falsyfikacyjne. To ważne, bo w ocenie rygoru nie wystarcza atrakcyjność teorii ani popularność rynkowa — potrzebne są powtarzalne, dobrze kontrolowane wyniki badań. </w:t>
      </w:r>
      <w:hyperlink r:id="rId16">
        <w:r>
          <w:rPr>
            <w:rStyle w:val="Hyperlink"/>
          </w:rPr>
          <w:t>[15]</w:t>
        </w:r>
      </w:hyperlink>
    </w:p>
    <w:p>
      <w:pPr>
        <w:pStyle w:val="BodyText"/>
        <w:spacing w:lineRule="auto" w:line="276"/>
        <w:jc w:val="both"/>
        <w:rPr/>
      </w:pPr>
      <w:r>
        <w:rPr/>
        <w:t xml:space="preserve">W praktyce warto więc oddzielać dwie rzeczy. Po pierwsze, </w:t>
      </w:r>
      <w:r>
        <w:rPr>
          <w:b/>
          <w:bCs/>
        </w:rPr>
        <w:t>ogólne techniki komunikacyjne lub relacyjne</w:t>
      </w:r>
      <w:r>
        <w:rPr/>
        <w:t xml:space="preserve">, które mogą być użyteczne, ale nie są specyficznie „własnością” NLP. Po drugie, </w:t>
      </w:r>
      <w:r>
        <w:rPr>
          <w:b/>
          <w:bCs/>
        </w:rPr>
        <w:t>twierdzenia wyróżnikowe NLP</w:t>
      </w:r>
      <w:r>
        <w:rPr/>
        <w:t xml:space="preserve">, takie jak systemy reprezentacyjne, predykaty czy diagnostyczna interpretacja ruchów oczu — i to właśnie one powinny być rdzeniem oceny naukowej marki „NLP”. Takie ustawienie pytania przyjmują zarówno krytyczne przeglądy, jak i badania eksperymentalne. </w:t>
      </w:r>
      <w:hyperlink r:id="rId17">
        <w:r>
          <w:rPr>
            <w:rStyle w:val="Hyperlink"/>
          </w:rPr>
          <w:t>[16]</w:t>
        </w:r>
      </w:hyperlink>
    </w:p>
    <w:tbl>
      <w:tblPr>
        <w:tblStyle w:val="FigureTable"/>
        <w:tblW w:w="9405" w:type="dxa"/>
        <w:jc w:val="center"/>
        <w:tblInd w:w="0" w:type="dxa"/>
        <w:tblLayout w:type="fixed"/>
        <w:tblCellMar>
          <w:top w:w="0" w:type="dxa"/>
          <w:left w:w="108" w:type="dxa"/>
          <w:bottom w:w="0" w:type="dxa"/>
          <w:right w:w="108" w:type="dxa"/>
        </w:tblCellMar>
        <w:tblLook w:firstColumn="0" w:lastRow="0" w:lastColumn="0" w:firstRow="0"/>
      </w:tblPr>
      <w:tblGrid>
        <w:gridCol w:w="9405"/>
      </w:tblGrid>
      <w:tr>
        <w:trPr/>
        <w:tc>
          <w:tcPr>
            <w:tcW w:w="9405" w:type="dxa"/>
            <w:tcBorders/>
          </w:tcPr>
          <w:p>
            <w:pPr>
              <w:pStyle w:val="Compact"/>
              <w:spacing w:lineRule="auto" w:line="276" w:before="36" w:after="36"/>
              <w:jc w:val="center"/>
              <w:rPr/>
            </w:pPr>
            <w:r>
              <w:rPr/>
              <w:drawing>
                <wp:inline distT="0" distB="0" distL="0" distR="0">
                  <wp:extent cx="5824220" cy="2049145"/>
                  <wp:effectExtent l="0" t="0" r="0" b="0"/>
                  <wp:docPr id="1"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Rendered Mermaid diagram 1"/>
                          <pic:cNvPicPr>
                            <a:picLocks noChangeAspect="1" noChangeArrowheads="1"/>
                          </pic:cNvPicPr>
                        </pic:nvPicPr>
                        <pic:blipFill>
                          <a:blip r:embed="rId18"/>
                          <a:stretch>
                            <a:fillRect/>
                          </a:stretch>
                        </pic:blipFill>
                        <pic:spPr bwMode="auto">
                          <a:xfrm>
                            <a:off x="0" y="0"/>
                            <a:ext cx="5824220" cy="2049145"/>
                          </a:xfrm>
                          <a:prstGeom prst="rect">
                            <a:avLst/>
                          </a:prstGeom>
                          <a:noFill/>
                        </pic:spPr>
                      </pic:pic>
                    </a:graphicData>
                  </a:graphic>
                </wp:inline>
              </w:drawing>
            </w:r>
            <w:r>
              <w:rPr/>
              <w:br/>
            </w:r>
          </w:p>
        </w:tc>
      </w:tr>
    </w:tbl>
    <w:p>
      <w:pPr>
        <w:pStyle w:val="BodyText"/>
        <w:spacing w:lineRule="auto" w:line="276"/>
        <w:jc w:val="both"/>
        <w:rPr/>
      </w:pPr>
      <w:r>
        <w:rPr/>
        <w:t xml:space="preserve">Powyższa oś czasu dobrze pokazuje, że baza dowodowa NLP rozwijała się nierówno: po okresie dużej aktywności badawczej w latach 80. nastąpił spadek zainteresowania, a późniejsze badania częściej miały charakter lokalnych prób zastosowań niż konsekwentnego programu teorio-twórczego. Przegląd Witkowskiego opisuje tę dynamikę bardzo wyraźnie, a nowsze przeglądy nie odwracają ogólnego wniosku. </w:t>
      </w:r>
      <w:hyperlink r:id="rId19">
        <w:r>
          <w:rPr>
            <w:rStyle w:val="Hyperlink"/>
          </w:rPr>
          <w:t>[17]</w:t>
        </w:r>
      </w:hyperlink>
    </w:p>
    <w:p>
      <w:pPr>
        <w:pStyle w:val="Heading2"/>
        <w:spacing w:lineRule="auto" w:line="276"/>
        <w:rPr/>
      </w:pPr>
      <w:bookmarkStart w:id="5" w:name="skuteczność-nlp-i-jakość-dowodów"/>
      <w:r>
        <w:rPr/>
        <w:t>Skuteczność NLP i jakość dowodów</w:t>
      </w:r>
    </w:p>
    <w:p>
      <w:pPr>
        <w:pStyle w:val="FirstParagraph"/>
        <w:spacing w:lineRule="auto" w:line="276"/>
        <w:jc w:val="both"/>
        <w:rPr/>
      </w:pPr>
      <w:r>
        <w:rPr/>
        <w:t xml:space="preserve">Najbardziej rygorystyczny sposób podsumowania literatury jest następujący: </w:t>
      </w:r>
      <w:r>
        <w:rPr>
          <w:b/>
          <w:bCs/>
        </w:rPr>
        <w:t>nie ma dziś podstaw, by uznać NLP za podejście o mocno ugruntowanej skuteczności w zastosowaniach klinicznych lub nieklinicznych</w:t>
      </w:r>
      <w:r>
        <w:rPr/>
        <w:t xml:space="preserve">, choć istnieją pojedyncze badania raportujące korzystne wyniki. Systematyczny przegląd Sturt i współpracowników objął 10 badań eksperymentalnych w ochronie zdrowia; przegląd ten wykazał 23 miary i 18 raportowanych wyników, ale ostateczny wniosek był taki, że istnieje mało dowodów na poprawę wyników zdrowotnych po interwencjach NLP, a jakość badań i raportowania była ograniczona. KCL streszczało ten wynik jako „little evidence for NLP in healthcare”. </w:t>
      </w:r>
      <w:hyperlink r:id="rId20">
        <w:r>
          <w:rPr>
            <w:rStyle w:val="Hyperlink"/>
          </w:rPr>
          <w:t>[18]</w:t>
        </w:r>
      </w:hyperlink>
    </w:p>
    <w:p>
      <w:pPr>
        <w:pStyle w:val="BodyText"/>
        <w:spacing w:lineRule="auto" w:line="276"/>
        <w:jc w:val="both"/>
        <w:rPr/>
      </w:pPr>
      <w:r>
        <w:rPr/>
        <w:t xml:space="preserve">W obszarze zastosowań organizacyjnych i coachingowych obraz jest podobny. Kotera, Sheffield i Van Gordon znaleźli 952 rekordy, ale tylko </w:t>
      </w:r>
      <w:r>
        <w:rPr>
          <w:b/>
          <w:bCs/>
        </w:rPr>
        <w:t>siedem</w:t>
      </w:r>
      <w:r>
        <w:rPr/>
        <w:t xml:space="preserve"> badań spełniło kryteria włączenia; łącznie obejmowały one </w:t>
      </w:r>
      <w:r>
        <w:rPr>
          <w:b/>
          <w:bCs/>
        </w:rPr>
        <w:t>190 uczestników</w:t>
      </w:r>
      <w:r>
        <w:rPr/>
        <w:t xml:space="preserve">. Autorzy piszą, że NLP może poprawiać niektóre wyniki związane z pracą, takie jak samoocena czy stres zawodowy, ale jednocześnie podkreślają, że korzyści były „overpromised and undersupported”, a liczba i jakość dowodów były słabe. Co znamienne, w tej próbie </w:t>
      </w:r>
      <w:r>
        <w:rPr>
          <w:b/>
          <w:bCs/>
        </w:rPr>
        <w:t>żadne</w:t>
      </w:r>
      <w:r>
        <w:rPr/>
        <w:t xml:space="preserve"> badanie ilościowe nie miało projektu RCT. Passmore i Rowson dochodzą w coachingu do jeszcze ostrzejszego wniosku: psychologowie coachingu zainteresowani evidence</w:t>
        <w:noBreakHyphen/>
        <w:t xml:space="preserve">based practice powinni raczej ignorować markę NLP na rzecz modeli o jasno udokumentowanej skuteczności. </w:t>
      </w:r>
      <w:hyperlink r:id="rId21">
        <w:r>
          <w:rPr>
            <w:rStyle w:val="Hyperlink"/>
          </w:rPr>
          <w:t>[19]</w:t>
        </w:r>
      </w:hyperlink>
    </w:p>
    <w:p>
      <w:pPr>
        <w:pStyle w:val="BodyText"/>
        <w:spacing w:lineRule="auto" w:line="276"/>
        <w:jc w:val="both"/>
        <w:rPr/>
      </w:pPr>
      <w:r>
        <w:rPr/>
        <w:t xml:space="preserve">Dla poglądu na wartość wyróżnikowych hipotez NLP szczególnie ważne są badania eksperymentalne nad ruchem gałek ocznych i systemami reprezentacyjnymi. Wiseman i współpracownicy przeprowadzili trzy badania nad twierdzeniem, że określone ruchy oczu zdradzają kłamstwo lub prawdomówność; we wszystkich trzech analizach nie znaleziono wsparcia dla wzorca postulowanego przez praktyków NLP. Wcześniejszy przegląd ujęty przez Witkowskiego wskazywał podobnie, że twierdzenia dotyczące systemów reprezentacyjnych i korzyści z „predicate matching” były badane i generalnie nie uzyskały przekonującego potwierdzenia. </w:t>
      </w:r>
      <w:hyperlink r:id="rId22">
        <w:r>
          <w:rPr>
            <w:rStyle w:val="Hyperlink"/>
          </w:rPr>
          <w:t>[20]</w:t>
        </w:r>
      </w:hyperlink>
    </w:p>
    <w:p>
      <w:pPr>
        <w:pStyle w:val="BodyText"/>
        <w:spacing w:lineRule="auto" w:line="276"/>
        <w:jc w:val="both"/>
        <w:rPr/>
      </w:pPr>
      <w:r>
        <w:rPr/>
        <w:t>Jednocześnie byłoby nieuczciwe przemilczeć badania dodatnie. Stipancic i współpracownicy opisali randomizowane badanie 106 klientów psychoterapii, w którym grupa terapii NLPt uzyskała istotny spadek objawów i wzrost jakości życia względem grupy kontrolnej typu wait</w:t>
        <w:noBreakHyphen/>
        <w:t>list; raportowane wielkości efektu dla objawów wyniosły 0,65 po terapii i 1,09 w follow</w:t>
        <w:noBreakHyphen/>
        <w:t xml:space="preserve">up, a dla jakości życia 0,51–0,73. Bigley i współpracownicy opisali prospektywne badanie 50 dorosłych z klaustrofobią uniemożliwiającą MRI; po sesji NLP 38 z 50 osób, czyli 76%, ukończyło badanie MRI, a mediany lęku istotnie spadły. Peng i współpracownicy w RCT po udarze niedokrwiennym raportowali, że NLP plus edukacja zdrowotna zmniejszały depresję i lęk bezpośrednio po interwencji, ale </w:t>
      </w:r>
      <w:r>
        <w:rPr>
          <w:b/>
          <w:bCs/>
        </w:rPr>
        <w:t>nie</w:t>
      </w:r>
      <w:r>
        <w:rPr/>
        <w:t xml:space="preserve"> po sześciu miesiącach. W niedawnym RCT dotyczącym porodu Kiliçli i Gül stwierdzili redukcję bólu i lęku porodowego, skrócenie czasu porodu i większą satysfakcję matek. </w:t>
      </w:r>
      <w:hyperlink r:id="rId23">
        <w:r>
          <w:rPr>
            <w:rStyle w:val="Hyperlink"/>
          </w:rPr>
          <w:t>[21]</w:t>
        </w:r>
      </w:hyperlink>
    </w:p>
    <w:p>
      <w:pPr>
        <w:pStyle w:val="BodyText"/>
        <w:spacing w:lineRule="auto" w:line="276"/>
        <w:jc w:val="both"/>
        <w:rPr/>
      </w:pPr>
      <w:r>
        <w:rPr/>
        <w:t xml:space="preserve">Problem polega na tym, że te dodatnie badania nie budują jeszcze stabilnej, wysokiej jakości bazy dowodowej. Metaanaliza Zaharii, Reinera i Schütza wprawdzie raportuje łączny standaryzowany efekt średni </w:t>
      </w:r>
      <w:r>
        <w:rPr>
          <w:b/>
          <w:bCs/>
        </w:rPr>
        <w:t>SMD = 0,54</w:t>
      </w:r>
      <w:r>
        <w:rPr/>
        <w:t xml:space="preserve"> z 95% CI [0,20; 0,88], ale sami autorzy przyznają „major lack of high-quality data”, niewystarczające dane do silnego rekomendowania tej formy terapii oraz fakt, że większość dostępnych wyników pochodzi z małych badań obserwacyjnych. W ich tabeli jakości wiele badań uzyskuje tylko 50–70% punktów jakościowych, a tylko w czterech z dwunastu badań terapeutą był profesjonalny praktyk. To oznacza, że nawet „przychylna” metaanaliza NLP nie daje podstaw do mocnych wniosków klinicznych. </w:t>
      </w:r>
      <w:hyperlink r:id="rId24">
        <w:r>
          <w:rPr>
            <w:rStyle w:val="Hyperlink"/>
          </w:rPr>
          <w:t>[22]</w:t>
        </w:r>
      </w:hyperlink>
    </w:p>
    <w:tbl>
      <w:tblPr>
        <w:tblStyle w:val="Table"/>
        <w:tblW w:w="952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320"/>
        <w:gridCol w:w="1178"/>
        <w:gridCol w:w="2437"/>
        <w:gridCol w:w="2265"/>
        <w:gridCol w:w="1590"/>
        <w:gridCol w:w="735"/>
      </w:tblGrid>
      <w:tr>
        <w:trPr>
          <w:tblHeader w:val="true"/>
        </w:trPr>
        <w:tc>
          <w:tcPr>
            <w:tcW w:w="1320"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Badanie lub przegląd</w:t>
            </w:r>
          </w:p>
        </w:tc>
        <w:tc>
          <w:tcPr>
            <w:tcW w:w="1178"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Obszar</w:t>
            </w:r>
          </w:p>
        </w:tc>
        <w:tc>
          <w:tcPr>
            <w:tcW w:w="2437"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Projekt i próba</w:t>
            </w:r>
          </w:p>
        </w:tc>
        <w:tc>
          <w:tcPr>
            <w:tcW w:w="2265"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Główny wynik</w:t>
            </w:r>
          </w:p>
        </w:tc>
        <w:tc>
          <w:tcPr>
            <w:tcW w:w="1590"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Główne ograniczenia</w:t>
            </w:r>
          </w:p>
        </w:tc>
        <w:tc>
          <w:tcPr>
            <w:tcW w:w="735"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Źródło</w:t>
            </w:r>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Witkowski 2010</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Ogólna ocena NLP</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Przegląd 35 lat badań; z 315 publikacji wybrano 63 z bardziej prestiżowych źródeł, a 33 zaklasyfikowano do analizy wyników</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18,2% wyników wspierających, 54,5% niewspierających, 27,3% niejednoznacznych; większa waga metodologiczna badań niewspierających</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Przegląd wtórny; zależny od jakości zastanych badań</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25">
              <w:r>
                <w:rPr>
                  <w:rStyle w:val="Hyperlink"/>
                  <w:rFonts w:eastAsia="Aptos" w:cs=""/>
                  <w:kern w:val="0"/>
                  <w:sz w:val="20"/>
                  <w:szCs w:val="20"/>
                  <w:lang w:val="pl-PL" w:eastAsia="en-US" w:bidi="ar-SA"/>
                </w:rPr>
                <w:t>[23]</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Wiseman i wsp. 2012</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Wyróżnikowa hipoteza NLP</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3 badania eksperymentalne</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Brak wsparcia dla tezy, że wzorce ruchów oczu pomagają wykrywać kłamstwo</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Dotyczy tylko jednej klasy twierdzeń NLP</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26">
              <w:r>
                <w:rPr>
                  <w:rStyle w:val="Hyperlink"/>
                  <w:rFonts w:eastAsia="Aptos" w:cs=""/>
                  <w:kern w:val="0"/>
                  <w:sz w:val="20"/>
                  <w:szCs w:val="20"/>
                  <w:lang w:val="pl-PL" w:eastAsia="en-US" w:bidi="ar-SA"/>
                </w:rPr>
                <w:t>[24]</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Sturt i wsp. 2012</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Zdrowie</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Przegląd systematyczny 10 badań eksperymentalnych</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t>
            </w:r>
            <w:r>
              <w:rPr>
                <w:rFonts w:eastAsia="Aptos" w:cs=""/>
                <w:kern w:val="0"/>
                <w:sz w:val="20"/>
                <w:szCs w:val="20"/>
                <w:lang w:val="pl-PL" w:eastAsia="en-US" w:bidi="ar-SA"/>
              </w:rPr>
              <w:t>Little evidence” dla poprawy wyników zdrowotnych; 23 miary, 18 wyników, słabe raportowanie</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Mało badań, heterogeniczność, słaba jakość</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27">
              <w:r>
                <w:rPr>
                  <w:rStyle w:val="Hyperlink"/>
                  <w:rFonts w:eastAsia="Aptos" w:cs=""/>
                  <w:kern w:val="0"/>
                  <w:sz w:val="20"/>
                  <w:szCs w:val="20"/>
                  <w:lang w:val="pl-PL" w:eastAsia="en-US" w:bidi="ar-SA"/>
                </w:rPr>
                <w:t>[25]</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Stipancic i wsp. 2010</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Psychoterapia</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Randomizacja 106 klientów do terapii vs wait</w:t>
              <w:noBreakHyphen/>
              <w:t>list</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ES dla objawów 0,65 po terapii i 1,09 w follow</w:t>
              <w:noBreakHyphen/>
              <w:t>up; QoL 0,51–0,73</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Kontrola oczekująca, brak silniejszego aktywnego komparatora</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28">
              <w:r>
                <w:rPr>
                  <w:rStyle w:val="Hyperlink"/>
                  <w:rFonts w:eastAsia="Aptos" w:cs=""/>
                  <w:kern w:val="0"/>
                  <w:sz w:val="20"/>
                  <w:szCs w:val="20"/>
                  <w:lang w:val="pl-PL" w:eastAsia="en-US" w:bidi="ar-SA"/>
                </w:rPr>
                <w:t>[26]</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Bigley i wsp. 2010</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Interwencja medyczna</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Badanie prospektywne, 50 dorosłych z nieudaną MRI z powodu klaustrofobii</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76% ukończyło MRI po NLP; spadek lęku</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Bez randomizacji; duży możliwy efekt doświadczenia praktyka</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29">
              <w:r>
                <w:rPr>
                  <w:rStyle w:val="Hyperlink"/>
                  <w:rFonts w:eastAsia="Aptos" w:cs=""/>
                  <w:kern w:val="0"/>
                  <w:sz w:val="20"/>
                  <w:szCs w:val="20"/>
                  <w:lang w:val="pl-PL" w:eastAsia="en-US" w:bidi="ar-SA"/>
                </w:rPr>
                <w:t>[27]</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Peng i wsp. 2015</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 udarze niedokrwiennym</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RCT, 180 pacjentów, 4 sesje NLP + edukacja vs usual care</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Mniej depresji i lęku bezpośrednio po interwencji, brak efektu po 6 miesiącach</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Efekt nietrwały, brak danych o mechanizmie swoistym</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30">
              <w:r>
                <w:rPr>
                  <w:rStyle w:val="Hyperlink"/>
                  <w:rFonts w:eastAsia="Aptos" w:cs=""/>
                  <w:kern w:val="0"/>
                  <w:sz w:val="20"/>
                  <w:szCs w:val="20"/>
                  <w:lang w:val="pl-PL" w:eastAsia="en-US" w:bidi="ar-SA"/>
                </w:rPr>
                <w:t>[28]</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Zaharia i wsp. 2015</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Psychoterapia NLPt</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Metaanaliza 12 badań prospektywnych</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Łącznie SMD = 0,54, ale autorzy wskazują na niedobór badań wysokiej jakości</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Małe próby, wiele badań obserwacyjnych, ryzyko zawyżenia efektu</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31">
              <w:r>
                <w:rPr>
                  <w:rStyle w:val="Hyperlink"/>
                  <w:rFonts w:eastAsia="Aptos" w:cs=""/>
                  <w:kern w:val="0"/>
                  <w:sz w:val="20"/>
                  <w:szCs w:val="20"/>
                  <w:lang w:val="pl-PL" w:eastAsia="en-US" w:bidi="ar-SA"/>
                </w:rPr>
                <w:t>[22]</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Kotera i wsp. 2018/2019</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Organizacje i HR</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Przegląd systematyczny 7 badań, 190 uczestników</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Słabe ilościowo i jakościowo dowody; możliwe korzyści, ale „overpromised and undersupported”</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Żadne badanie ilościowe nie było RCT; selekcja, brak follow</w:t>
              <w:noBreakHyphen/>
              <w:t>up</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32">
              <w:r>
                <w:rPr>
                  <w:rStyle w:val="Hyperlink"/>
                  <w:rFonts w:eastAsia="Aptos" w:cs=""/>
                  <w:kern w:val="0"/>
                  <w:sz w:val="20"/>
                  <w:szCs w:val="20"/>
                  <w:lang w:val="pl-PL" w:eastAsia="en-US" w:bidi="ar-SA"/>
                </w:rPr>
                <w:t>[29]</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Passmore i Rowson 2019</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Coaching</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Krytyczny przegląd literatury</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Unikatowe praktyki NLP słabo wspierane; w coachingu prawie brak dowodów na skuteczność brandu NLP</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Koncentruje się na wyróżnikowych elementach NLP, nie na nieswoistych technikach</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33">
              <w:r>
                <w:rPr>
                  <w:rStyle w:val="Hyperlink"/>
                  <w:rFonts w:eastAsia="Aptos" w:cs=""/>
                  <w:kern w:val="0"/>
                  <w:sz w:val="20"/>
                  <w:szCs w:val="20"/>
                  <w:lang w:val="pl-PL" w:eastAsia="en-US" w:bidi="ar-SA"/>
                </w:rPr>
                <w:t>[30]</w:t>
              </w:r>
            </w:hyperlink>
          </w:p>
        </w:tc>
      </w:tr>
      <w:tr>
        <w:trPr/>
        <w:tc>
          <w:tcPr>
            <w:tcW w:w="132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Kiliçli i Gül 2024</w:t>
            </w:r>
          </w:p>
        </w:tc>
        <w:tc>
          <w:tcPr>
            <w:tcW w:w="1178"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Położnictwo</w:t>
            </w:r>
          </w:p>
        </w:tc>
        <w:tc>
          <w:tcPr>
            <w:tcW w:w="2437"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RCT u pierworódek</w:t>
            </w:r>
          </w:p>
        </w:tc>
        <w:tc>
          <w:tcPr>
            <w:tcW w:w="226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Autorzy raportują mniej bólu i lęku, krótszy poród i większą satysfakcję</w:t>
            </w:r>
          </w:p>
        </w:tc>
        <w:tc>
          <w:tcPr>
            <w:tcW w:w="159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Zbyt nowy i zbyt pojedynczy wynik, by zmieniać ogólny konsensus</w:t>
            </w:r>
          </w:p>
        </w:tc>
        <w:tc>
          <w:tcPr>
            <w:tcW w:w="735"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34">
              <w:r>
                <w:rPr>
                  <w:rStyle w:val="Hyperlink"/>
                  <w:rFonts w:eastAsia="Aptos" w:cs=""/>
                  <w:kern w:val="0"/>
                  <w:sz w:val="20"/>
                  <w:szCs w:val="20"/>
                  <w:lang w:val="pl-PL" w:eastAsia="en-US" w:bidi="ar-SA"/>
                </w:rPr>
                <w:t>[31]</w:t>
              </w:r>
            </w:hyperlink>
          </w:p>
        </w:tc>
      </w:tr>
    </w:tbl>
    <w:p>
      <w:pPr>
        <w:pStyle w:val="BodyText"/>
        <w:spacing w:lineRule="auto" w:line="276"/>
        <w:jc w:val="both"/>
        <w:rPr/>
      </w:pPr>
      <w:r>
        <w:rPr/>
        <w:t>Z metodologicznego punktu widzenia najczęściej powtarzające się problemy to: małe i niereprezentatywne próby; brak aktywnych grup kontrolnych; częste wykorzystanie studentów; brak standaryzacji definicji „interwencji NLP”; słabe raportowanie procedur i brak follow</w:t>
        <w:noBreakHyphen/>
        <w:t xml:space="preserve">up; a także mieszanie technik wspólnych wielu terapiom z elementami specyficznymi dla NLP. W przeglądzie organizacyjnym większość badań miała wysokie lub średnie ryzyko biasu, a autorzy wskazali selekcyjność i brak obserwacji odroczonych jako typowe słabości. </w:t>
      </w:r>
      <w:hyperlink r:id="rId35">
        <w:r>
          <w:rPr>
            <w:rStyle w:val="Hyperlink"/>
          </w:rPr>
          <w:t>[32]</w:t>
        </w:r>
      </w:hyperlink>
    </w:p>
    <w:p>
      <w:pPr>
        <w:pStyle w:val="BodyText"/>
        <w:spacing w:lineRule="auto" w:line="276"/>
        <w:jc w:val="both"/>
        <w:rPr/>
      </w:pPr>
      <w:r>
        <w:rPr/>
        <w:t xml:space="preserve">Wniosek analityczny jest więc dwustopniowy. </w:t>
      </w:r>
      <w:r>
        <w:rPr>
          <w:b/>
          <w:bCs/>
        </w:rPr>
        <w:t>Po pierwsze</w:t>
      </w:r>
      <w:r>
        <w:rPr/>
        <w:t xml:space="preserve">, niektóre interwencje sygnowane jako NLP mogą dawać korzystne wyniki w konkretnych, wąskich sytuacjach. </w:t>
      </w:r>
      <w:r>
        <w:rPr>
          <w:b/>
          <w:bCs/>
        </w:rPr>
        <w:t>Po drugie</w:t>
      </w:r>
      <w:r>
        <w:rPr/>
        <w:t xml:space="preserve">, obecna literatura nie pozwala przypisać tych wyników z wysoką pewnością specyficznej teorii NLP ani rekomendować NLP jako podejścia o jakości dowodów porównywalnej z dobrze zweryfikowanymi interwencjami psychologicznymi. Dla praktyka oznacza to, że NLP — jeśli w ogóle używane — powinno być traktowane co najwyżej jako eksperymentalny lub pomocniczy zestaw technik, a nie jako samodzielny, dojrzały naukowo paradygmat. </w:t>
      </w:r>
      <w:hyperlink r:id="rId36">
        <w:r>
          <w:rPr>
            <w:rStyle w:val="Hyperlink"/>
          </w:rPr>
          <w:t>[33]</w:t>
        </w:r>
      </w:hyperlink>
      <w:bookmarkEnd w:id="5"/>
    </w:p>
    <w:p>
      <w:pPr>
        <w:pStyle w:val="Heading2"/>
        <w:spacing w:lineRule="auto" w:line="276"/>
        <w:rPr/>
      </w:pPr>
      <w:bookmarkStart w:id="6" w:name="Xe337c0cfd0628f6c353fd438152a6b38f038d94"/>
      <w:r>
        <w:rPr/>
        <w:t>Wymogi psychometryczne i stan wiedzy o iP121</w:t>
      </w:r>
    </w:p>
    <w:p>
      <w:pPr>
        <w:pStyle w:val="FirstParagraph"/>
        <w:spacing w:lineRule="auto" w:line="276"/>
        <w:jc w:val="both"/>
        <w:rPr/>
      </w:pPr>
      <w:r>
        <w:rPr/>
        <w:t xml:space="preserve">Standardy AERA/APA/NCME, model przeglądu testów EFPA, wytyczne ITC oraz polskie Standardy diagnozy psychologicznej PTP są zgodne co do rdzenia wymagań stawianych testom psychologicznym: test powinien mieć jasno zdefiniowany konstrukt i cel użycia, odpowiednią rzetelność i precyzję, wielostronne dowody trafności, normy i procedury standaryzacji, podstawy do sprawiedliwego użycia, wymagania kompetencyjne dla użytkowników oraz — coraz częściej — ocenę jakości raportów cyfrowych. Standardy PTP dodatkowo akcentują potrzebę dobrze sformułowanego pytania diagnostycznego i adekwatnego do niego doboru narzędzi. </w:t>
      </w:r>
      <w:hyperlink r:id="rId37">
        <w:r>
          <w:rPr>
            <w:rStyle w:val="Hyperlink"/>
          </w:rPr>
          <w:t>[11]</w:t>
        </w:r>
      </w:hyperlink>
    </w:p>
    <w:p>
      <w:pPr>
        <w:pStyle w:val="BodyText"/>
        <w:spacing w:lineRule="auto" w:line="276"/>
        <w:jc w:val="both"/>
        <w:rPr/>
      </w:pPr>
      <w:r>
        <w:rPr/>
        <w:t xml:space="preserve">Na tym tle iP121 jawi się jako narzędzie </w:t>
      </w:r>
      <w:r>
        <w:rPr>
          <w:b/>
          <w:bCs/>
        </w:rPr>
        <w:t>zawodowo</w:t>
        <w:noBreakHyphen/>
        <w:t>osobowościowe</w:t>
      </w:r>
      <w:r>
        <w:rPr/>
        <w:t xml:space="preserve">, a nie kliniczne. Oficjalna broszura producenta opisuje je jako wystandaryzowany, obiektywny i znormalizowany kwestionariusz osobowości zawodowej, składający się z 121 stwierdzeń, wykonywany w około 20 minut, przeznaczony do badania specjalistów i menedżerów lub osób aspirujących do takich ról, zwłaszcza w rekrutacji, awansie, sukcesji i rozwoju. Producent deklaruje zgodność z modelem Wielkiej Piątki, obecność wielu raportów użytkowych, a w nowszej komunikacji także raport online, PDF, raporty zespołowe, analizę dopasowania profili, wersje PL/EN/UA oraz asystenta AI wspierającego interpretację. </w:t>
      </w:r>
      <w:hyperlink r:id="rId38">
        <w:r>
          <w:rPr>
            <w:rStyle w:val="Hyperlink"/>
          </w:rPr>
          <w:t>[4]</w:t>
        </w:r>
      </w:hyperlink>
    </w:p>
    <w:p>
      <w:pPr>
        <w:pStyle w:val="BodyText"/>
        <w:spacing w:lineRule="auto" w:line="276"/>
        <w:jc w:val="both"/>
        <w:rPr/>
      </w:pPr>
      <w:r>
        <w:rPr/>
        <w:t xml:space="preserve">Mocną stroną dokumentacji producenta jest to, że podaje ona część podstawowych informacji psychometrycznych i użytkowych. Oficjalna broszura podaje zakres współczynników zgodności wewnętrznej skal czynnikowych od 0,82 do 0,92, deklaruje „wysoki” poziom rzetelności retestowej, trafność treściową i diagnostyczną oraz polską normalizację z „normami kroczącymi”. Osobny komunikat z maja 2026 r. informuje, że aktualizacja norm została oparta na 26 885 kompletnych profilach. Oficjalne przykładowe raporty komunikują także obecność skal kontrolnych i wskaźnika rzetelności/dopasowania odpowiedzi. </w:t>
      </w:r>
      <w:hyperlink r:id="rId39">
        <w:r>
          <w:rPr>
            <w:rStyle w:val="Hyperlink"/>
          </w:rPr>
          <w:t>[34]</w:t>
        </w:r>
      </w:hyperlink>
    </w:p>
    <w:p>
      <w:pPr>
        <w:pStyle w:val="BodyText"/>
        <w:spacing w:lineRule="auto" w:line="276"/>
        <w:jc w:val="both"/>
        <w:rPr/>
      </w:pPr>
      <w:r>
        <w:rPr/>
        <w:t xml:space="preserve">Słabą stroną jest natomiast </w:t>
      </w:r>
      <w:r>
        <w:rPr>
          <w:b/>
          <w:bCs/>
        </w:rPr>
        <w:t>brak publicznej przejrzystości</w:t>
      </w:r>
      <w:r>
        <w:rPr/>
        <w:t xml:space="preserve"> na poziomie oczekiwanym od dobrze udokumentowanego testu psychologicznego. W publicznie dostępnych materiałach, które zidentyfikowałem, nie ma pełnego podręcznika technicznego z opisem doboru próby normatywnej, macierzy korelacji, analiz EFA/CFA, inwariancji między wersjami językowymi lub płciami, błędu standardowego pomiaru, precyzyjnych współczynników retest dla każdej skali, trafności zbieżnej/rozbieżnej względem innych narzędzi ani danych o trafności kryterialnej/predykcyjnej wobec obiektywnych kryteriów pracy. Nie ma też publicznie dostępnych wartości czułości i swoistości, co byłoby szczególnie ważne, gdyby narzędzie miało służyć do klasyfikacji lub odrzucania kandydatów na podstawie progów decyzyjnych. Z perspektywy psychometrii nie oznacza to automatycznie niskiej jakości, ale oznacza </w:t>
      </w:r>
      <w:r>
        <w:rPr>
          <w:b/>
          <w:bCs/>
        </w:rPr>
        <w:t>niemożność niezależnej oceny tej jakości</w:t>
      </w:r>
      <w:r>
        <w:rPr/>
        <w:t xml:space="preserve">. </w:t>
      </w:r>
      <w:hyperlink r:id="rId40">
        <w:r>
          <w:rPr>
            <w:rStyle w:val="Hyperlink"/>
          </w:rPr>
          <w:t>[35]</w:t>
        </w:r>
      </w:hyperlink>
    </w:p>
    <w:tbl>
      <w:tblPr>
        <w:tblStyle w:val="Table"/>
        <w:tblW w:w="946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2205"/>
        <w:gridCol w:w="2610"/>
        <w:gridCol w:w="2670"/>
      </w:tblGrid>
      <w:tr>
        <w:trPr>
          <w:tblHeader w:val="true"/>
        </w:trPr>
        <w:tc>
          <w:tcPr>
            <w:tcW w:w="1980"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Wymiar oceny psychometrycznej</w:t>
            </w:r>
          </w:p>
        </w:tc>
        <w:tc>
          <w:tcPr>
            <w:tcW w:w="2205"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Co jest standardowo wymagane</w:t>
            </w:r>
          </w:p>
        </w:tc>
        <w:tc>
          <w:tcPr>
            <w:tcW w:w="2610"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Publicznie dostępne dowody dla iP121</w:t>
            </w:r>
          </w:p>
        </w:tc>
        <w:tc>
          <w:tcPr>
            <w:tcW w:w="2670"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Ocena analityczna</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Definicja konstruktu</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Jasny konstrukt i zakres interpretacji</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Narzędzie opisane jako „profilowanie osobowości zawodowej” zgodnie z Wielką Piątką, z dodatkowymi obszarami funkcjonalnymi, motywatorami i rolami w zespole. </w:t>
            </w:r>
            <w:hyperlink r:id="rId41">
              <w:r>
                <w:rPr>
                  <w:rStyle w:val="Hyperlink"/>
                  <w:rFonts w:eastAsia="Aptos" w:cs=""/>
                  <w:kern w:val="0"/>
                  <w:sz w:val="20"/>
                  <w:szCs w:val="20"/>
                  <w:lang w:val="pl-PL" w:eastAsia="en-US" w:bidi="ar-SA"/>
                </w:rPr>
                <w:t>[9]</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Konstrukt użytkowy jest opisany dość szeroko, ale relacja między cechami bazowymi a wskaźnikami pochodnymi wymagałaby pełnej dokumentacji modelu.</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Długość i administracja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Jawne parametry administracyjne</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121 pozycji, ok. 20 minut. </w:t>
            </w:r>
            <w:hyperlink r:id="rId42">
              <w:r>
                <w:rPr>
                  <w:rStyle w:val="Hyperlink"/>
                  <w:rFonts w:eastAsia="Aptos" w:cs=""/>
                  <w:kern w:val="0"/>
                  <w:sz w:val="20"/>
                  <w:szCs w:val="20"/>
                  <w:lang w:val="pl-PL" w:eastAsia="en-US" w:bidi="ar-SA"/>
                </w:rPr>
                <w:t>[9]</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Informacja wystarczająca na poziomie operacyjnym.</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Rzetelność wewnętrzna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Co najmniej współczynniki dla skal i ich interpretacja</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Oficjalnie deklarowane α od 0,82 do 0,92 dla skal czynnikowych. </w:t>
            </w:r>
            <w:hyperlink r:id="rId43">
              <w:r>
                <w:rPr>
                  <w:rStyle w:val="Hyperlink"/>
                  <w:rFonts w:eastAsia="Aptos" w:cs=""/>
                  <w:kern w:val="0"/>
                  <w:sz w:val="20"/>
                  <w:szCs w:val="20"/>
                  <w:lang w:val="pl-PL" w:eastAsia="en-US" w:bidi="ar-SA"/>
                </w:rPr>
                <w:t>[9]</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To dobry poziom deklarowany, ale bez pełnej tabeli skal oraz niezależnej publikacji.</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Stabilność retestowa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Konkretne współczynniki i odstęp czasu</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Producent deklaruje „wysoki” poziom rzetelności retestowej, bez publicznie dostępnych wartości liczbowych. </w:t>
            </w:r>
            <w:hyperlink r:id="rId44">
              <w:r>
                <w:rPr>
                  <w:rStyle w:val="Hyperlink"/>
                  <w:rFonts w:eastAsia="Aptos" w:cs=""/>
                  <w:kern w:val="0"/>
                  <w:sz w:val="20"/>
                  <w:szCs w:val="20"/>
                  <w:lang w:val="pl-PL" w:eastAsia="en-US" w:bidi="ar-SA"/>
                </w:rPr>
                <w:t>[9]</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Dowód niewystarczający do niezależnej oceny.</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Trafność treściowa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Opis procedury konstrukcji pozycji i recenzji eksperckiej</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Deklarowana przez producenta. </w:t>
            </w:r>
            <w:hyperlink r:id="rId45">
              <w:r>
                <w:rPr>
                  <w:rStyle w:val="Hyperlink"/>
                  <w:rFonts w:eastAsia="Aptos" w:cs=""/>
                  <w:kern w:val="0"/>
                  <w:sz w:val="20"/>
                  <w:szCs w:val="20"/>
                  <w:lang w:val="pl-PL" w:eastAsia="en-US" w:bidi="ar-SA"/>
                </w:rPr>
                <w:t>[9]</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Deklaracja jest niewystarczająca bez metodologii.</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Trafność diagnostyczna / kryterialna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Korelacje z kryteriami zewnętrznymi, predykcja, trafność przyrostowa</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Producent ogólnie deklaruje „trafność diagnostyczną”; brak publicznych współczynników i opisów kryteriów. </w:t>
            </w:r>
            <w:hyperlink r:id="rId46">
              <w:r>
                <w:rPr>
                  <w:rStyle w:val="Hyperlink"/>
                  <w:rFonts w:eastAsia="Aptos" w:cs=""/>
                  <w:kern w:val="0"/>
                  <w:sz w:val="20"/>
                  <w:szCs w:val="20"/>
                  <w:lang w:val="pl-PL" w:eastAsia="en-US" w:bidi="ar-SA"/>
                </w:rPr>
                <w:t>[9]</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Największa luka, szczególnie dla rekrutacji i sukcesji.</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Struktura czynnikowa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EFA/CFA, zgodność z teorią, dopasowanie modelu</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Publicznie nie znalazłem pełnych analiz czynnikowych; producent deklaruje zgodność z Wielką Piątką. </w:t>
            </w:r>
            <w:hyperlink r:id="rId47">
              <w:r>
                <w:rPr>
                  <w:rStyle w:val="Hyperlink"/>
                  <w:rFonts w:eastAsia="Aptos" w:cs=""/>
                  <w:kern w:val="0"/>
                  <w:sz w:val="20"/>
                  <w:szCs w:val="20"/>
                  <w:lang w:val="pl-PL" w:eastAsia="en-US" w:bidi="ar-SA"/>
                </w:rPr>
                <w:t>[9]</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Na dziś brak możliwości niezależnego potwierdzenia struktury.</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Normy i standaryzacja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Próba normatywna, tabele norm, aktualność</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Producent wskazuje polską normalizację, normy kroczące oraz aktualizację opartą na 26 885 kompletnych profilach. </w:t>
            </w:r>
            <w:hyperlink r:id="rId48">
              <w:r>
                <w:rPr>
                  <w:rStyle w:val="Hyperlink"/>
                  <w:rFonts w:eastAsia="Aptos" w:cs=""/>
                  <w:kern w:val="0"/>
                  <w:sz w:val="20"/>
                  <w:szCs w:val="20"/>
                  <w:lang w:val="pl-PL" w:eastAsia="en-US" w:bidi="ar-SA"/>
                </w:rPr>
                <w:t>[10]</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Plus za aktualizację; minus za brak publicznego opisu próby i tabel norm.</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Skale kontrolne</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Wskaźniki jakości odpowiedzi i zasady interpretacji</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Oficjalny przykładowy raport deklaruje skale kontrolne i wskaźnik rzetelności/dopasowania odpowiedzi. </w:t>
            </w:r>
            <w:hyperlink r:id="rId49">
              <w:r>
                <w:rPr>
                  <w:rStyle w:val="Hyperlink"/>
                  <w:rFonts w:eastAsia="Aptos" w:cs=""/>
                  <w:kern w:val="0"/>
                  <w:sz w:val="20"/>
                  <w:szCs w:val="20"/>
                  <w:lang w:val="pl-PL" w:eastAsia="en-US" w:bidi="ar-SA"/>
                </w:rPr>
                <w:t>[36]</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Użyteczne praktycznie, ale brak publicznych reguł decyzyjnych.</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Fairness i inwariancja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Inwariancja między grupami, analiza językowa/kulturowa</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Wersje PL/EN/UA są komunikowane; nie znalazłem publicznych dowodów inwariancji. </w:t>
            </w:r>
            <w:hyperlink r:id="rId50">
              <w:r>
                <w:rPr>
                  <w:rStyle w:val="Hyperlink"/>
                  <w:rFonts w:eastAsia="Aptos" w:cs=""/>
                  <w:kern w:val="0"/>
                  <w:sz w:val="20"/>
                  <w:szCs w:val="20"/>
                  <w:lang w:val="pl-PL" w:eastAsia="en-US" w:bidi="ar-SA"/>
                </w:rPr>
                <w:t>[37]</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Sama wielojęzyczność nie zastępuje dowodu porównywalności pomiaru.</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Czułość i swoistość</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Istotne przy użyciu progów klasyfikacyjnych</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Nie znalazłem publicznych danych. </w:t>
            </w:r>
            <w:hyperlink r:id="rId51">
              <w:r>
                <w:rPr>
                  <w:rStyle w:val="Hyperlink"/>
                  <w:rFonts w:eastAsia="Aptos" w:cs=""/>
                  <w:kern w:val="0"/>
                  <w:sz w:val="20"/>
                  <w:szCs w:val="20"/>
                  <w:lang w:val="pl-PL" w:eastAsia="en-US" w:bidi="ar-SA"/>
                </w:rPr>
                <w:t>[38]</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Jeśli test ma służyć selekcji „fit/unfit”, brak ten jest poważny.</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Transparentność manuala</w:t>
            </w:r>
          </w:p>
        </w:tc>
        <w:tc>
          <w:tcPr>
            <w:tcW w:w="220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Dostęp do podręcznika technicznego</w:t>
            </w:r>
          </w:p>
        </w:tc>
        <w:tc>
          <w:tcPr>
            <w:tcW w:w="2610"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Publicznie zidentyfikowałem broszurę, wpisy produktowe i przykładowe raporty, lecz nie pełny manual techniczny. </w:t>
            </w:r>
            <w:hyperlink r:id="rId52">
              <w:r>
                <w:rPr>
                  <w:rStyle w:val="Hyperlink"/>
                  <w:rFonts w:eastAsia="Aptos" w:cs=""/>
                  <w:kern w:val="0"/>
                  <w:sz w:val="20"/>
                  <w:szCs w:val="20"/>
                  <w:lang w:val="pl-PL" w:eastAsia="en-US" w:bidi="ar-SA"/>
                </w:rPr>
                <w:t>[10]</w:t>
              </w:r>
            </w:hyperlink>
          </w:p>
        </w:tc>
        <w:tc>
          <w:tcPr>
            <w:tcW w:w="267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Kluczowe ograniczenie dla psychologa pracującego evidence</w:t>
              <w:noBreakHyphen/>
              <w:t>based.</w:t>
            </w:r>
          </w:p>
        </w:tc>
      </w:tr>
    </w:tbl>
    <w:p>
      <w:pPr>
        <w:pStyle w:val="BodyText"/>
        <w:spacing w:lineRule="auto" w:line="276"/>
        <w:jc w:val="both"/>
        <w:rPr/>
      </w:pPr>
      <w:r>
        <w:rPr/>
        <w:t xml:space="preserve">W praktyce oznacza to, że iP121 można ocenić jako </w:t>
      </w:r>
      <w:r>
        <w:rPr>
          <w:b/>
          <w:bCs/>
        </w:rPr>
        <w:t>narzędzie potencjalnie obiecujące operacyjnie</w:t>
      </w:r>
      <w:r>
        <w:rPr/>
        <w:t xml:space="preserve">, lecz </w:t>
      </w:r>
      <w:r>
        <w:rPr>
          <w:b/>
          <w:bCs/>
        </w:rPr>
        <w:t>niedostatecznie transparentne psychometrycznie w domenie publicznej</w:t>
      </w:r>
      <w:r>
        <w:rPr/>
        <w:t xml:space="preserve">. Psycholog lub psychoterapeuta, który chce je stosować odpowiedzialnie, powinien domagać się od dostawcy pełnego podręcznika technicznego, danych normatywnych, analiz trafności i informacji o inwariancji, zanim zacznie opierać na nim decyzje obarczone wysokim ryzykiem błędu lub szkody dla osoby badanej. </w:t>
      </w:r>
      <w:hyperlink r:id="rId53">
        <w:r>
          <w:rPr>
            <w:rStyle w:val="Hyperlink"/>
          </w:rPr>
          <w:t>[39]</w:t>
        </w:r>
      </w:hyperlink>
      <w:bookmarkEnd w:id="6"/>
    </w:p>
    <w:p>
      <w:pPr>
        <w:pStyle w:val="Heading2"/>
        <w:spacing w:lineRule="auto" w:line="276"/>
        <w:rPr/>
      </w:pPr>
      <w:bookmarkStart w:id="7" w:name="ip121-na-tle-uznanych-narzędzi"/>
      <w:r>
        <w:rPr/>
        <w:t>iP121 na tle uznanych narzędzi</w:t>
      </w:r>
    </w:p>
    <w:p>
      <w:pPr>
        <w:pStyle w:val="FirstParagraph"/>
        <w:spacing w:lineRule="auto" w:line="276"/>
        <w:jc w:val="both"/>
        <w:rPr/>
      </w:pPr>
      <w:r>
        <w:rPr/>
        <w:t xml:space="preserve">Najbliższe porównawczo dla iP121 są dwa typy narzędzi. Pierwszy obejmuje klasyczne kwestionariusze Wielkiej Piątki, takie jak </w:t>
      </w:r>
      <w:r>
        <w:rPr>
          <w:b/>
          <w:bCs/>
        </w:rPr>
        <w:t>NEO</w:t>
        <w:noBreakHyphen/>
        <w:t>PI</w:t>
        <w:noBreakHyphen/>
        <w:t>3</w:t>
      </w:r>
      <w:r>
        <w:rPr/>
        <w:t xml:space="preserve"> i </w:t>
      </w:r>
      <w:r>
        <w:rPr>
          <w:b/>
          <w:bCs/>
        </w:rPr>
        <w:t>BFI</w:t>
        <w:noBreakHyphen/>
        <w:t>2</w:t>
      </w:r>
      <w:r>
        <w:rPr/>
        <w:t xml:space="preserve">, które służą przede wszystkim do pomiaru cech osobowości i mają bardzo szerokie zaplecze badawcze. Drugi obejmuje narzędzia </w:t>
      </w:r>
      <w:r>
        <w:rPr>
          <w:b/>
          <w:bCs/>
        </w:rPr>
        <w:t>zawodowo</w:t>
        <w:noBreakHyphen/>
        <w:t>osobowościowe</w:t>
      </w:r>
      <w:r>
        <w:rPr/>
        <w:t xml:space="preserve">, takie jak </w:t>
      </w:r>
      <w:r>
        <w:rPr>
          <w:b/>
          <w:bCs/>
        </w:rPr>
        <w:t>OPQ32</w:t>
      </w:r>
      <w:r>
        <w:rPr/>
        <w:t xml:space="preserve"> czy </w:t>
      </w:r>
      <w:r>
        <w:rPr>
          <w:b/>
          <w:bCs/>
        </w:rPr>
        <w:t>Hogan Personality Inventory</w:t>
      </w:r>
      <w:r>
        <w:rPr/>
        <w:t xml:space="preserve">, które są projektowane z myślą o decyzjach HR i mają rozbudowaną dokumentację trafności związanej z funkcjonowaniem zawodowym. Na tym tle iP121 lokuje się bliżej drugiej grupy, ale z wyraźnie skromniejszą publicznie dostępną dokumentacją. </w:t>
      </w:r>
      <w:hyperlink r:id="rId54">
        <w:r>
          <w:rPr>
            <w:rStyle w:val="Hyperlink"/>
          </w:rPr>
          <w:t>[40]</w:t>
        </w:r>
      </w:hyperlink>
    </w:p>
    <w:tbl>
      <w:tblPr>
        <w:tblStyle w:val="Table"/>
        <w:tblW w:w="952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073"/>
        <w:gridCol w:w="2152"/>
        <w:gridCol w:w="2723"/>
        <w:gridCol w:w="1582"/>
        <w:gridCol w:w="1995"/>
      </w:tblGrid>
      <w:tr>
        <w:trPr>
          <w:tblHeader w:val="true"/>
        </w:trPr>
        <w:tc>
          <w:tcPr>
            <w:tcW w:w="1073"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Narzędzie</w:t>
            </w:r>
          </w:p>
        </w:tc>
        <w:tc>
          <w:tcPr>
            <w:tcW w:w="2152"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Zakres pomiaru</w:t>
            </w:r>
          </w:p>
        </w:tc>
        <w:tc>
          <w:tcPr>
            <w:tcW w:w="2723"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Siła publicznej dokumentacji</w:t>
            </w:r>
          </w:p>
        </w:tc>
        <w:tc>
          <w:tcPr>
            <w:tcW w:w="1582"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Typowe zastosowanie</w:t>
            </w:r>
          </w:p>
        </w:tc>
        <w:tc>
          <w:tcPr>
            <w:tcW w:w="1995"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Wniosek względem iP121</w:t>
            </w:r>
          </w:p>
        </w:tc>
      </w:tr>
      <w:tr>
        <w:trPr/>
        <w:tc>
          <w:tcPr>
            <w:tcW w:w="107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iP121</w:t>
            </w:r>
          </w:p>
        </w:tc>
        <w:tc>
          <w:tcPr>
            <w:tcW w:w="215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Osobowość zawodowa; deklarowana zgodność z Wielką Piątką + obszary funkcjonalne, motywatory, role zespołowe, dopasowanie profilu</w:t>
            </w:r>
          </w:p>
        </w:tc>
        <w:tc>
          <w:tcPr>
            <w:tcW w:w="272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Publicznie: broszura, wpisy produktowe, przykładowe raporty; brak pełnego, publicznie dostępnego manuala technicznego w zidentyfikowanych źródłach. </w:t>
            </w:r>
            <w:hyperlink r:id="rId55">
              <w:r>
                <w:rPr>
                  <w:rStyle w:val="Hyperlink"/>
                  <w:rFonts w:eastAsia="Aptos" w:cs=""/>
                  <w:kern w:val="0"/>
                  <w:sz w:val="20"/>
                  <w:szCs w:val="20"/>
                  <w:lang w:val="pl-PL" w:eastAsia="en-US" w:bidi="ar-SA"/>
                </w:rPr>
                <w:t>[34]</w:t>
              </w:r>
            </w:hyperlink>
          </w:p>
        </w:tc>
        <w:tc>
          <w:tcPr>
            <w:tcW w:w="158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Rekrutacja, awans, sukcesja, rozwój</w:t>
            </w:r>
          </w:p>
        </w:tc>
        <w:tc>
          <w:tcPr>
            <w:tcW w:w="199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Operacyjnie atrakcyjne, ale psychometrycznie za mało przejrzyste publicznie do zastosowań wysokiej stawki bez dodatkowej dokumentacji.</w:t>
            </w:r>
          </w:p>
        </w:tc>
      </w:tr>
      <w:tr>
        <w:trPr/>
        <w:tc>
          <w:tcPr>
            <w:tcW w:w="107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NEO</w:t>
              <w:noBreakHyphen/>
              <w:t>PI</w:t>
              <w:noBreakHyphen/>
              <w:t>3</w:t>
            </w:r>
          </w:p>
        </w:tc>
        <w:tc>
          <w:tcPr>
            <w:tcW w:w="215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240 pozycji; 5 domen i 30 faset</w:t>
            </w:r>
          </w:p>
        </w:tc>
        <w:tc>
          <w:tcPr>
            <w:tcW w:w="272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Oficjalny opis PAR oraz literatura wskazują na szerokie normy, 30 faset i zachowanie rzetelności/walidności NEO</w:t>
              <w:noBreakHyphen/>
              <w:t>PI</w:t>
              <w:noBreakHyphen/>
              <w:t xml:space="preserve">R; wersja zaktualizowana normatywnie. </w:t>
            </w:r>
            <w:hyperlink r:id="rId56">
              <w:r>
                <w:rPr>
                  <w:rStyle w:val="Hyperlink"/>
                  <w:rFonts w:eastAsia="Aptos" w:cs=""/>
                  <w:kern w:val="0"/>
                  <w:sz w:val="20"/>
                  <w:szCs w:val="20"/>
                  <w:lang w:val="pl-PL" w:eastAsia="en-US" w:bidi="ar-SA"/>
                </w:rPr>
                <w:t>[41]</w:t>
              </w:r>
            </w:hyperlink>
          </w:p>
        </w:tc>
        <w:tc>
          <w:tcPr>
            <w:tcW w:w="158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Pogłębiony pomiar osobowości</w:t>
            </w:r>
          </w:p>
        </w:tc>
        <w:tc>
          <w:tcPr>
            <w:tcW w:w="199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Dla czystego pomiaru Wielkiej Piątki ma znacznie silniejsze zaplecze naukowe niż publicznie udokumentowane iP121.</w:t>
            </w:r>
          </w:p>
        </w:tc>
      </w:tr>
      <w:tr>
        <w:trPr/>
        <w:tc>
          <w:tcPr>
            <w:tcW w:w="107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BFI</w:t>
              <w:noBreakHyphen/>
              <w:t>2</w:t>
            </w:r>
          </w:p>
        </w:tc>
        <w:tc>
          <w:tcPr>
            <w:tcW w:w="215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Krótszy pomiar Wielkiej Piątki z fasetami</w:t>
            </w:r>
          </w:p>
        </w:tc>
        <w:tc>
          <w:tcPr>
            <w:tcW w:w="272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Badania replikacyjne potwierdzają dobre właściwości psychometryczne domen i faset BFI</w:t>
              <w:noBreakHyphen/>
              <w:t xml:space="preserve">2. </w:t>
            </w:r>
            <w:hyperlink r:id="rId57">
              <w:r>
                <w:rPr>
                  <w:rStyle w:val="Hyperlink"/>
                  <w:rFonts w:eastAsia="Aptos" w:cs=""/>
                  <w:kern w:val="0"/>
                  <w:sz w:val="20"/>
                  <w:szCs w:val="20"/>
                  <w:lang w:val="pl-PL" w:eastAsia="en-US" w:bidi="ar-SA"/>
                </w:rPr>
                <w:t>[42]</w:t>
              </w:r>
            </w:hyperlink>
          </w:p>
        </w:tc>
        <w:tc>
          <w:tcPr>
            <w:tcW w:w="158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Badania naukowe, screening osobowości</w:t>
            </w:r>
          </w:p>
        </w:tc>
        <w:tc>
          <w:tcPr>
            <w:tcW w:w="199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Mniej „HR</w:t>
              <w:noBreakHyphen/>
              <w:t>owy” niż iP121, ale metodologicznie lepiej osadzony w literaturze osobowości.</w:t>
            </w:r>
          </w:p>
        </w:tc>
      </w:tr>
      <w:tr>
        <w:trPr/>
        <w:tc>
          <w:tcPr>
            <w:tcW w:w="107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OPQ32</w:t>
            </w:r>
          </w:p>
        </w:tc>
        <w:tc>
          <w:tcPr>
            <w:tcW w:w="215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Osobowość zawodowa/working styles</w:t>
            </w:r>
          </w:p>
        </w:tc>
        <w:tc>
          <w:tcPr>
            <w:tcW w:w="272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BPS review wskazuje silną trafność zbieżną z uznanymi miarami Big Five i bogatą dokumentację trafności kryterialnej; SHL komunikuje profilowanie preferencji pracy i bias</w:t>
              <w:noBreakHyphen/>
              <w:t xml:space="preserve">reduced assessment. </w:t>
            </w:r>
            <w:hyperlink r:id="rId58">
              <w:r>
                <w:rPr>
                  <w:rStyle w:val="Hyperlink"/>
                  <w:rFonts w:eastAsia="Aptos" w:cs=""/>
                  <w:kern w:val="0"/>
                  <w:sz w:val="20"/>
                  <w:szCs w:val="20"/>
                  <w:lang w:val="pl-PL" w:eastAsia="en-US" w:bidi="ar-SA"/>
                </w:rPr>
                <w:t>[43]</w:t>
              </w:r>
            </w:hyperlink>
          </w:p>
        </w:tc>
        <w:tc>
          <w:tcPr>
            <w:tcW w:w="158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Selekcja i rozwój w HR</w:t>
            </w:r>
          </w:p>
        </w:tc>
        <w:tc>
          <w:tcPr>
            <w:tcW w:w="199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Najbardziej zbliżony funkcjonalnie konkurent; publiczna dokumentacja wydaje się bardziej rozbudowana niż dla iP121.</w:t>
            </w:r>
          </w:p>
        </w:tc>
      </w:tr>
      <w:tr>
        <w:trPr/>
        <w:tc>
          <w:tcPr>
            <w:tcW w:w="107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HPI</w:t>
            </w:r>
          </w:p>
        </w:tc>
        <w:tc>
          <w:tcPr>
            <w:tcW w:w="215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Stabilne cechy osobowości dla doboru do pracy</w:t>
            </w:r>
          </w:p>
        </w:tc>
        <w:tc>
          <w:tcPr>
            <w:tcW w:w="272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Manual i raporty Hogan opisują walidację dla wielu rodzin zawodów; średnia rzetelność wewnętrzna ok. 0,83, predykcyjna trafność dla wykonania pracy ok. 0,29. </w:t>
            </w:r>
            <w:hyperlink r:id="rId59">
              <w:r>
                <w:rPr>
                  <w:rStyle w:val="Hyperlink"/>
                  <w:rFonts w:eastAsia="Aptos" w:cs=""/>
                  <w:kern w:val="0"/>
                  <w:sz w:val="20"/>
                  <w:szCs w:val="20"/>
                  <w:lang w:val="pl-PL" w:eastAsia="en-US" w:bidi="ar-SA"/>
                </w:rPr>
                <w:t>[44]</w:t>
              </w:r>
            </w:hyperlink>
          </w:p>
        </w:tc>
        <w:tc>
          <w:tcPr>
            <w:tcW w:w="1582"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Selekcja, potencjał przywódczy, rozwój</w:t>
            </w:r>
          </w:p>
        </w:tc>
        <w:tc>
          <w:tcPr>
            <w:tcW w:w="199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 obszarze predykcji pracy ma znacznie czytelniejszą bazę dowodową niż publicznie widoczna dla iP121.</w:t>
            </w:r>
          </w:p>
        </w:tc>
      </w:tr>
    </w:tbl>
    <w:p>
      <w:pPr>
        <w:pStyle w:val="BodyText"/>
        <w:spacing w:lineRule="auto" w:line="276"/>
        <w:jc w:val="both"/>
        <w:rPr/>
      </w:pPr>
      <w:r>
        <w:rPr/>
        <w:t xml:space="preserve">Porównanie prowadzi do praktycznego podziału. Jeśli celem jest </w:t>
      </w:r>
      <w:r>
        <w:rPr>
          <w:b/>
          <w:bCs/>
        </w:rPr>
        <w:t>rzetelny, teoretycznie czysty pomiar cech osobowości</w:t>
      </w:r>
      <w:r>
        <w:rPr/>
        <w:t>, lepiej wypadają NEO</w:t>
        <w:noBreakHyphen/>
        <w:t>PI</w:t>
        <w:noBreakHyphen/>
        <w:t>3 lub BFI</w:t>
        <w:noBreakHyphen/>
        <w:t xml:space="preserve">2. Jeśli celem jest </w:t>
      </w:r>
      <w:r>
        <w:rPr>
          <w:b/>
          <w:bCs/>
        </w:rPr>
        <w:t>predykcja i interpretacja w środowisku pracy</w:t>
      </w:r>
      <w:r>
        <w:rPr/>
        <w:t xml:space="preserve">, mocniejszą pozycję mają OPQ32 i HPI dzięki bardziej jawnej dokumentacji trafności związanej z kryteriami zawodowymi. iP121 wyróżnia się lokalnym zakorzenieniem na rynku polskim, bogatymi raportami użytkowymi i aktualizowanymi normami, ale bez jawnej dokumentacji technicznej trudno uznać go za równorzędny z wymienionymi instrumentami w sensie </w:t>
      </w:r>
      <w:r>
        <w:rPr>
          <w:b/>
          <w:bCs/>
        </w:rPr>
        <w:t>publicznie weryfikowalnej psychometrii</w:t>
      </w:r>
      <w:r>
        <w:rPr/>
        <w:t xml:space="preserve">. </w:t>
      </w:r>
      <w:hyperlink r:id="rId60">
        <w:r>
          <w:rPr>
            <w:rStyle w:val="Hyperlink"/>
          </w:rPr>
          <w:t>[45]</w:t>
        </w:r>
      </w:hyperlink>
      <w:bookmarkEnd w:id="7"/>
    </w:p>
    <w:p>
      <w:pPr>
        <w:pStyle w:val="Heading2"/>
        <w:spacing w:lineRule="auto" w:line="276"/>
        <w:rPr/>
      </w:pPr>
      <w:bookmarkStart w:id="8" w:name="aspekty-prawne-etyczne-i-rekomendacje"/>
      <w:r>
        <w:rPr/>
        <w:t>Aspekty prawne, etyczne i rekomendacje</w:t>
      </w:r>
    </w:p>
    <w:p>
      <w:pPr>
        <w:pStyle w:val="FirstParagraph"/>
        <w:spacing w:lineRule="auto" w:line="276"/>
        <w:jc w:val="both"/>
        <w:rPr/>
      </w:pPr>
      <w:r>
        <w:rPr/>
        <w:t xml:space="preserve">Z perspektywy etyki zawodowej psychologa podstawowym kryterium jest dobro osoby, unikanie szkody i oparcie praktyki na dowodach naukowych. Kodeks etyczny PTP wprost wskazuje dobro człowieka jako fundament aktywności zawodowej psychologa i nakazuje odstępowanie od działań, których konsekwencją może być szkoda. Standardy diagnozy PTP wymagają z kolei, by psycholog w ogóle nie podejmował usługi diagnostycznej, jeśli nie da się uzgodnić dobrze sformułowanego pytania diagnostycznego wymagającego specjalistycznych narzędzi. W realiach iP121 oznacza to, że narzędzia nie należy używać „bo jest dostępne” lub „bo raport jest atrakcyjny”, lecz dopiero wtedy, gdy wiadomo, </w:t>
      </w:r>
      <w:r>
        <w:rPr>
          <w:b/>
          <w:bCs/>
        </w:rPr>
        <w:t>jakie pytanie ma rozwiązać</w:t>
      </w:r>
      <w:r>
        <w:rPr/>
        <w:t xml:space="preserve"> i czy dowody dla tego pytania są wystarczające. </w:t>
      </w:r>
      <w:hyperlink r:id="rId61">
        <w:r>
          <w:rPr>
            <w:rStyle w:val="Hyperlink"/>
          </w:rPr>
          <w:t>[46]</w:t>
        </w:r>
      </w:hyperlink>
    </w:p>
    <w:p>
      <w:pPr>
        <w:pStyle w:val="BodyText"/>
        <w:spacing w:lineRule="auto" w:line="276"/>
        <w:jc w:val="both"/>
        <w:rPr/>
      </w:pPr>
      <w:r>
        <w:rPr/>
        <w:t xml:space="preserve">W praktyce psychologicznej i psychoterapeutycznej szczególnie ważna jest </w:t>
      </w:r>
      <w:r>
        <w:rPr>
          <w:b/>
          <w:bCs/>
        </w:rPr>
        <w:t>świadoma zgoda</w:t>
      </w:r>
      <w:r>
        <w:rPr/>
        <w:t xml:space="preserve">. Powinna ona obejmować cel badania, zakres danych, sposób ich interpretacji, ograniczenia narzędzia, krąg odbiorców raportu i skutki ewentualnej odmowy. W badaniu Stipancic i współpracowników elementy te zostały explicite opisane jako część procedury etycznej: informowano o testach, liczbie pomiarów, użytych narzędziach, prawie do wycofania się i poufności. W polskich standardach PTP podobny nacisk kładzie się na uzgodnienie celu, a nie mechaniczną aplikację kwestionariusza. </w:t>
      </w:r>
      <w:hyperlink r:id="rId62">
        <w:r>
          <w:rPr>
            <w:rStyle w:val="Hyperlink"/>
          </w:rPr>
          <w:t>[47]</w:t>
        </w:r>
      </w:hyperlink>
    </w:p>
    <w:p>
      <w:pPr>
        <w:pStyle w:val="BodyText"/>
        <w:spacing w:lineRule="auto" w:line="276"/>
        <w:jc w:val="both"/>
        <w:rPr/>
      </w:pPr>
      <w:r>
        <w:rPr/>
        <w:t xml:space="preserve">Istotna jest też </w:t>
      </w:r>
      <w:r>
        <w:rPr>
          <w:b/>
          <w:bCs/>
        </w:rPr>
        <w:t>kompetencja użytkownika</w:t>
      </w:r>
      <w:r>
        <w:rPr/>
        <w:t xml:space="preserve">. ITC tworzy wytyczne właśnie po to, by wspierać fair i ethical use of tests oraz standardy kompetencyjne użytkowników testów. Producent iP121 sam rozróżnia raporty ogólne od raportu „iP Pro”, który jest przeznaczony tylko dla przeszkolonych użytkowników. To dobry sygnał, ale nie zwalnia z odpowiedzialności zawodowej: osoba interpretująca wyniki powinna umieć odróżnić poziom cechy od wskaźnika pochodnego, tendencje opisowe od wniosków przyczynowych oraz hipotezy rozwojowe od „etykietowania” badanej osoby. </w:t>
      </w:r>
      <w:hyperlink r:id="rId63">
        <w:r>
          <w:rPr>
            <w:rStyle w:val="Hyperlink"/>
          </w:rPr>
          <w:t>[48]</w:t>
        </w:r>
      </w:hyperlink>
    </w:p>
    <w:p>
      <w:pPr>
        <w:pStyle w:val="BodyText"/>
        <w:spacing w:lineRule="auto" w:line="276"/>
        <w:jc w:val="both"/>
        <w:rPr/>
      </w:pPr>
      <w:r>
        <w:rPr/>
        <w:t xml:space="preserve">W zakresie </w:t>
      </w:r>
      <w:r>
        <w:rPr>
          <w:b/>
          <w:bCs/>
        </w:rPr>
        <w:t>poufności i ochrony danych</w:t>
      </w:r>
      <w:r>
        <w:rPr/>
        <w:t xml:space="preserve"> w grę wchodzi zarówno RODO, jak i — gdy badanie odbywa się w ramach świadczeń zdrowotnych — ustawa o prawach pacjenta. RODO stanowi, że dane dotyczące zdrowia należą do szczególnych kategorii danych osobowych wymagających zwiększonej ochrony, a przetwarzanie takich danych co do zasady jest zabronione, chyba że zachodzi jedna z podstaw prawnych i zastosowano odpowiednie zabezpieczenia. Jeśli iP121 byłby używany w gabinecie do wnioskowania o stanie psychicznym, ograniczeniach funkcjonowania lub innych aspektach zbliżonych do danych o zdrowiu, poziom ochrony powinien być odpowiednio wysoki. Ustawa o prawach pacjenta dodatkowo reguluje dostęp do dokumentacji medycznej i obowiązek jej zabezpieczenia. </w:t>
      </w:r>
      <w:hyperlink r:id="rId64">
        <w:r>
          <w:rPr>
            <w:rStyle w:val="Hyperlink"/>
          </w:rPr>
          <w:t>[49]</w:t>
        </w:r>
      </w:hyperlink>
    </w:p>
    <w:p>
      <w:pPr>
        <w:pStyle w:val="BodyText"/>
        <w:spacing w:lineRule="auto" w:line="276"/>
        <w:jc w:val="both"/>
        <w:rPr/>
      </w:pPr>
      <w:r>
        <w:rPr/>
        <w:t xml:space="preserve">Szczególnie delikatna jest sfera </w:t>
      </w:r>
      <w:r>
        <w:rPr>
          <w:b/>
          <w:bCs/>
        </w:rPr>
        <w:t>rekrutacji i zatrudnienia</w:t>
      </w:r>
      <w:r>
        <w:rPr/>
        <w:t xml:space="preserve">. Kodeks pracy stanowi, że zgoda kandydata lub pracownika może być podstawą przetwarzania innych danych niż wskazane ustawowo, lecz brak zgody lub jej wycofanie nie może powodować negatywnych konsekwencji. W odniesieniu do danych z art. 9 ust. 1 RODO — czyli szczególnych kategorii danych — zgoda może być podstawą przetwarzania </w:t>
      </w:r>
      <w:r>
        <w:rPr>
          <w:b/>
          <w:bCs/>
        </w:rPr>
        <w:t>wyłącznie wtedy</w:t>
      </w:r>
      <w:r>
        <w:rPr/>
        <w:t xml:space="preserve">, gdy przekazanie tych danych następuje z inicjatywy osoby ubiegającej się o zatrudnienie lub pracownika. Oficjalny materiał UODO z 2024 r. potwierdza, że w sprawie psychologicznych testów pracowniczych interpretacje prawne są rozbieżne. Stąd praktyczny wniosek: </w:t>
      </w:r>
      <w:r>
        <w:rPr>
          <w:b/>
          <w:bCs/>
        </w:rPr>
        <w:t>obowiązkowe testowanie osobowości kandydatów i używanie tych wyników jako filtra selekcyjnego w Polsce jest obszarem prawnie ryzykownym</w:t>
      </w:r>
      <w:r>
        <w:rPr/>
        <w:t xml:space="preserve">, chyba że pracodawca i psycholog mają bardzo dobrze uporządkowaną podstawę prawną, zakres danych i proces zabezpieczeń. </w:t>
      </w:r>
      <w:hyperlink r:id="rId65">
        <w:r>
          <w:rPr>
            <w:rStyle w:val="Hyperlink"/>
          </w:rPr>
          <w:t>[50]</w:t>
        </w:r>
      </w:hyperlink>
    </w:p>
    <w:p>
      <w:pPr>
        <w:pStyle w:val="BodyText"/>
        <w:spacing w:lineRule="auto" w:line="276"/>
        <w:jc w:val="both"/>
        <w:rPr/>
      </w:pPr>
      <w:r>
        <w:rPr/>
        <w:t xml:space="preserve">Kolejnym problemem jest </w:t>
      </w:r>
      <w:r>
        <w:rPr>
          <w:b/>
          <w:bCs/>
        </w:rPr>
        <w:t>fairness kulturowa i językowa</w:t>
      </w:r>
      <w:r>
        <w:rPr/>
        <w:t xml:space="preserve">. Producent komunikuje wersje polską, angielską i ukraińską iP121, co jest praktycznie cenne, ale w publicznie dostępnych materiałach nie znalazłem analiz inwariancji pomiaru między tymi wersjami ani między grupami demograficznymi. Dla psychologa oznacza to konieczność bardzo ostrożnego porównywania wyników między językami i kulturami oraz unikania mocnych wniosków porównawczych bez lokalnych danych walidacyjnych. To dokładnie ten obszar, który EFPA i ITC ujmują pod etykietą fair use of tests. </w:t>
      </w:r>
      <w:hyperlink r:id="rId66">
        <w:r>
          <w:rPr>
            <w:rStyle w:val="Hyperlink"/>
          </w:rPr>
          <w:t>[51]</w:t>
        </w:r>
      </w:hyperlink>
    </w:p>
    <w:p>
      <w:pPr>
        <w:pStyle w:val="BodyText"/>
        <w:spacing w:lineRule="auto" w:line="276"/>
        <w:jc w:val="both"/>
        <w:rPr/>
      </w:pPr>
      <w:r>
        <w:rPr/>
        <w:t xml:space="preserve">Na osobną uwagę zasługuje </w:t>
      </w:r>
      <w:r>
        <w:rPr>
          <w:b/>
          <w:bCs/>
        </w:rPr>
        <w:t>automatyzacja i AI</w:t>
      </w:r>
      <w:r>
        <w:rPr/>
        <w:t xml:space="preserve">. Producent informuje, że nowy iP121 zawiera asystenta AI wspierającego interpretację wyników. Z punktu widzenia etycznego to nie jest problem sam w sobie, ale rośnie ryzyko „fałszywej pewności”: elegancki raport cyfrowy może sprawiać wrażenie większej trafności, niż pozwalają na to rzeczywiste dowody psychometryczne. Model EFPA odrębnie ocenia jakość raportów generowanych cyfrowo właśnie dlatego, że raport nie może zastępować dowodu, a odpowiedzialność za interpretację nadal ponosi człowiek. </w:t>
      </w:r>
      <w:hyperlink r:id="rId67">
        <w:r>
          <w:rPr>
            <w:rStyle w:val="Hyperlink"/>
          </w:rPr>
          <w:t>[52]</w:t>
        </w:r>
      </w:hyperlink>
    </w:p>
    <w:tbl>
      <w:tblPr>
        <w:tblStyle w:val="Table"/>
        <w:tblW w:w="946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3353"/>
        <w:gridCol w:w="2715"/>
        <w:gridCol w:w="1417"/>
      </w:tblGrid>
      <w:tr>
        <w:trPr>
          <w:tblHeader w:val="true"/>
        </w:trPr>
        <w:tc>
          <w:tcPr>
            <w:tcW w:w="1980"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Obszar praktyki</w:t>
            </w:r>
          </w:p>
        </w:tc>
        <w:tc>
          <w:tcPr>
            <w:tcW w:w="3353"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Zalecana dobra praktyka</w:t>
            </w:r>
          </w:p>
        </w:tc>
        <w:tc>
          <w:tcPr>
            <w:tcW w:w="2715"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Czego unikać</w:t>
            </w:r>
          </w:p>
        </w:tc>
        <w:tc>
          <w:tcPr>
            <w:tcW w:w="1417" w:type="dxa"/>
            <w:tcBorders>
              <w:bottom w:val="single" w:sz="6" w:space="0" w:color="000000"/>
            </w:tcBorders>
            <w:vAlign w:val="bottom"/>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Podstawa</w:t>
            </w:r>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Formułowanie celu</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Zaczynać od pytania diagnostycznego lub decyzyjnego; używać iP121 tylko wtedy, gdy wiadomo, jakiej informacji ma dostarczyć</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Badania „na wszelki wypadek” lub z ciekawości</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68">
              <w:r>
                <w:rPr>
                  <w:rStyle w:val="Hyperlink"/>
                  <w:rFonts w:eastAsia="Aptos" w:cs=""/>
                  <w:kern w:val="0"/>
                  <w:sz w:val="20"/>
                  <w:szCs w:val="20"/>
                  <w:lang w:val="pl-PL" w:eastAsia="en-US" w:bidi="ar-SA"/>
                </w:rPr>
                <w:t>[53]</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Status narzędzia</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Traktować iP121 jako narzędzie pomocnicze, zwłaszcza w HR/rozwoju</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Uznawania iP121 za samodzielną podstawę decyzji klinicznej lub selekcyjnej</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69">
              <w:r>
                <w:rPr>
                  <w:rStyle w:val="Hyperlink"/>
                  <w:rFonts w:eastAsia="Aptos" w:cs=""/>
                  <w:kern w:val="0"/>
                  <w:sz w:val="20"/>
                  <w:szCs w:val="20"/>
                  <w:lang w:val="pl-PL" w:eastAsia="en-US" w:bidi="ar-SA"/>
                </w:rPr>
                <w:t>[38]</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Świadoma zgoda</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Informować o celu, ograniczeniach, odbiorcach raportu, możliwości odmowy i wycofania zgody</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Używania narzędzia bez pełnego objaśnienia konsekwencji</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0">
              <w:r>
                <w:rPr>
                  <w:rStyle w:val="Hyperlink"/>
                  <w:rFonts w:eastAsia="Aptos" w:cs=""/>
                  <w:kern w:val="0"/>
                  <w:sz w:val="20"/>
                  <w:szCs w:val="20"/>
                  <w:lang w:val="pl-PL" w:eastAsia="en-US" w:bidi="ar-SA"/>
                </w:rPr>
                <w:t>[47]</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Kompetencja użytkownika</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Zapewnić szkolenie w zakresie psychometrii, interpretacji raportów i błędów decyzyjnych</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Powierzania interpretacji osobom bez przygotowania psychologicznego</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1">
              <w:r>
                <w:rPr>
                  <w:rStyle w:val="Hyperlink"/>
                  <w:rFonts w:eastAsia="Aptos" w:cs=""/>
                  <w:kern w:val="0"/>
                  <w:sz w:val="20"/>
                  <w:szCs w:val="20"/>
                  <w:lang w:val="pl-PL" w:eastAsia="en-US" w:bidi="ar-SA"/>
                </w:rPr>
                <w:t>[48]</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Wielometodowość</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Łączyć wyniki z wywiadem, analizą stanowiska, innymi testami i danymi behawioralnymi</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Jednoźródłowego profilowania osoby na podstawie jednego raportu</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2">
              <w:r>
                <w:rPr>
                  <w:rStyle w:val="Hyperlink"/>
                  <w:rFonts w:eastAsia="Aptos" w:cs=""/>
                  <w:kern w:val="0"/>
                  <w:sz w:val="20"/>
                  <w:szCs w:val="20"/>
                  <w:lang w:val="pl-PL" w:eastAsia="en-US" w:bidi="ar-SA"/>
                </w:rPr>
                <w:t>[54]</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Ochrona danych</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Stosować minimalizację danych, kontrolę dostępu, jasne podstawy prawne i zasady archiwizacji</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Swobodnego obiegu raportów w organizacji lub gabinecie</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3">
              <w:r>
                <w:rPr>
                  <w:rStyle w:val="Hyperlink"/>
                  <w:rFonts w:eastAsia="Aptos" w:cs=""/>
                  <w:kern w:val="0"/>
                  <w:sz w:val="20"/>
                  <w:szCs w:val="20"/>
                  <w:lang w:val="pl-PL" w:eastAsia="en-US" w:bidi="ar-SA"/>
                </w:rPr>
                <w:t>[55]</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Rekrutacja</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Przed wdrożeniem przeprowadzić analizę prawną i walidację lokalną</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Obowiązkowego testowania kandydatów bez jasnej podstawy i bez oceny ryzyka</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4">
              <w:r>
                <w:rPr>
                  <w:rStyle w:val="Hyperlink"/>
                  <w:rFonts w:eastAsia="Aptos" w:cs=""/>
                  <w:kern w:val="0"/>
                  <w:sz w:val="20"/>
                  <w:szCs w:val="20"/>
                  <w:lang w:val="pl-PL" w:eastAsia="en-US" w:bidi="ar-SA"/>
                </w:rPr>
                <w:t>[50]</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Fairness</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Sprawdzać możliwy adverse impact i porównywalność wersji językowych</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Porównywania wyników między językami bez danych inwariancji</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5">
              <w:r>
                <w:rPr>
                  <w:rStyle w:val="Hyperlink"/>
                  <w:rFonts w:eastAsia="Aptos" w:cs=""/>
                  <w:kern w:val="0"/>
                  <w:sz w:val="20"/>
                  <w:szCs w:val="20"/>
                  <w:lang w:val="pl-PL" w:eastAsia="en-US" w:bidi="ar-SA"/>
                </w:rPr>
                <w:t>[51]</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AI i raporty</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Traktować AI jako wsparcie redakcyjne, nie jako niezależnego diagnostę</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Automatycznego przyjmowania treści raportu jako prawdy klinicznej</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6">
              <w:r>
                <w:rPr>
                  <w:rStyle w:val="Hyperlink"/>
                  <w:rFonts w:eastAsia="Aptos" w:cs=""/>
                  <w:kern w:val="0"/>
                  <w:sz w:val="20"/>
                  <w:szCs w:val="20"/>
                  <w:lang w:val="pl-PL" w:eastAsia="en-US" w:bidi="ar-SA"/>
                </w:rPr>
                <w:t>[52]</w:t>
              </w:r>
            </w:hyperlink>
          </w:p>
        </w:tc>
      </w:tr>
      <w:tr>
        <w:trPr/>
        <w:tc>
          <w:tcPr>
            <w:tcW w:w="1980"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Badania naukowe</w:t>
            </w:r>
          </w:p>
        </w:tc>
        <w:tc>
          <w:tcPr>
            <w:tcW w:w="3353"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Wymagać od producenta i niezależnych badaczy publikacji CFA/EFA, trafności predykcyjnej, inwariancji i badań porównawczych z NEO/OPQ/HPI</w:t>
            </w:r>
          </w:p>
        </w:tc>
        <w:tc>
          <w:tcPr>
            <w:tcW w:w="2715" w:type="dxa"/>
            <w:tcBorders/>
          </w:tcPr>
          <w:p>
            <w:pPr>
              <w:pStyle w:val="Compact"/>
              <w:widowControl/>
              <w:spacing w:lineRule="auto" w:line="276"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Opierania się wyłącznie na deklaracjach marketingowych</w:t>
            </w:r>
          </w:p>
        </w:tc>
        <w:tc>
          <w:tcPr>
            <w:tcW w:w="1417" w:type="dxa"/>
            <w:tcBorders/>
          </w:tcPr>
          <w:p>
            <w:pPr>
              <w:pStyle w:val="Compact"/>
              <w:widowControl/>
              <w:spacing w:lineRule="auto" w:line="276" w:before="36" w:after="36"/>
              <w:jc w:val="left"/>
              <w:rPr>
                <w:rFonts w:ascii="Aptos" w:hAnsi="Aptos" w:eastAsia="Aptos" w:cs=""/>
                <w:kern w:val="0"/>
                <w:sz w:val="24"/>
                <w:szCs w:val="24"/>
                <w:lang w:val="pl-PL" w:eastAsia="en-US" w:bidi="ar-SA"/>
              </w:rPr>
            </w:pPr>
            <w:hyperlink r:id="rId77">
              <w:r>
                <w:rPr>
                  <w:rStyle w:val="Hyperlink"/>
                  <w:rFonts w:eastAsia="Aptos" w:cs=""/>
                  <w:kern w:val="0"/>
                  <w:sz w:val="20"/>
                  <w:szCs w:val="20"/>
                  <w:lang w:val="pl-PL" w:eastAsia="en-US" w:bidi="ar-SA"/>
                </w:rPr>
                <w:t>[56]</w:t>
              </w:r>
            </w:hyperlink>
          </w:p>
        </w:tc>
      </w:tr>
    </w:tbl>
    <w:p>
      <w:pPr>
        <w:pStyle w:val="BodyText"/>
        <w:spacing w:lineRule="auto" w:line="276"/>
        <w:jc w:val="both"/>
        <w:rPr/>
      </w:pPr>
      <w:r>
        <w:rPr/>
        <w:t xml:space="preserve">Mój końcowy osąd jest następujący. </w:t>
      </w:r>
      <w:r>
        <w:rPr>
          <w:b/>
          <w:bCs/>
        </w:rPr>
        <w:t>NLP jako teoria i marka interwencyjna ma słabą, niespójną i metodologicznie ograniczoną bazę dowodową. iP121 jako narzędzie praktyczne może być użyteczne operacyjnie, ale jego psychometria publicznie dostępna jest zbyt niepełna, by rekomendować go jako samowystarczalny instrument dla psychologa lub psychoterapeuty w decyzjach wysokiej stawki.</w:t>
      </w:r>
      <w:r>
        <w:rPr/>
        <w:t xml:space="preserve"> Najbezpieczniejsze stanowisko to używanie iP121 jedynie pomocniczo, po uzyskaniu pełnej dokumentacji od dostawcy, w połączeniu z innymi metodami i przy bardzo ostrożnym zarządzaniu zgodą, poufnością i ryzykiem błędnej interpretacji. </w:t>
      </w:r>
      <w:hyperlink r:id="rId78">
        <w:r>
          <w:rPr>
            <w:rStyle w:val="Hyperlink"/>
          </w:rPr>
          <w:t>[57]</w:t>
        </w:r>
      </w:hyperlink>
      <w:bookmarkEnd w:id="8"/>
    </w:p>
    <w:p>
      <w:pPr>
        <w:pStyle w:val="Heading2"/>
        <w:spacing w:lineRule="auto" w:line="276"/>
        <w:rPr/>
      </w:pPr>
      <w:bookmarkStart w:id="9" w:name="bibliografia"/>
      <w:r>
        <w:rPr/>
        <w:t>Bibliografia</w:t>
      </w:r>
    </w:p>
    <w:p>
      <w:pPr>
        <w:pStyle w:val="FirstParagraph"/>
        <w:spacing w:lineRule="auto" w:line="276"/>
        <w:rPr/>
      </w:pPr>
      <w:r>
        <w:rPr/>
        <w:t xml:space="preserve">Allen, K. L. (1982). </w:t>
      </w:r>
      <w:r>
        <w:rPr>
          <w:i/>
          <w:iCs/>
        </w:rPr>
        <w:t>An investigation of the effectiveness of neuro-linguistic programming procedures in treating snake phobics</w:t>
      </w:r>
      <w:r>
        <w:rPr/>
        <w:t>.</w:t>
      </w:r>
    </w:p>
    <w:p>
      <w:pPr>
        <w:pStyle w:val="BodyText"/>
        <w:spacing w:lineRule="auto" w:line="276"/>
        <w:rPr/>
      </w:pPr>
      <w:r>
        <w:rPr/>
        <w:t xml:space="preserve">American Educational Research Association, American Psychological Association, &amp; National Council on Measurement in Education. (2014). </w:t>
      </w:r>
      <w:r>
        <w:rPr>
          <w:i/>
          <w:iCs/>
        </w:rPr>
        <w:t>Standards for Educational and Psychological Testing</w:t>
      </w:r>
      <w:r>
        <w:rPr/>
        <w:t>.</w:t>
      </w:r>
    </w:p>
    <w:p>
      <w:pPr>
        <w:pStyle w:val="BodyText"/>
        <w:spacing w:lineRule="auto" w:line="276"/>
        <w:rPr/>
      </w:pPr>
      <w:r>
        <w:rPr/>
        <w:t xml:space="preserve">Bigley, J., Griffiths, P. D., Prydderch, A., Romanowski, C. A. J., Miles, L., Lidiard, H., &amp; Hoggard, N. (2010). Neurolinguistic programming used to reduce the need for anaesthesia in claustrophobic patients undergoing MRI. </w:t>
      </w:r>
      <w:r>
        <w:rPr>
          <w:i/>
          <w:iCs/>
        </w:rPr>
        <w:t>British Journal of Radiology, 83</w:t>
      </w:r>
      <w:r>
        <w:rPr/>
        <w:t>(986), 113–117.</w:t>
      </w:r>
    </w:p>
    <w:p>
      <w:pPr>
        <w:pStyle w:val="BodyText"/>
        <w:spacing w:lineRule="auto" w:line="276"/>
        <w:rPr/>
      </w:pPr>
      <w:r>
        <w:rPr/>
        <w:t xml:space="preserve">European Federation of Psychologists’ Associations. (2025). </w:t>
      </w:r>
      <w:r>
        <w:rPr>
          <w:i/>
          <w:iCs/>
        </w:rPr>
        <w:t>Model for the Review, Description and Evaluation of Psychological and Educational Tests</w:t>
      </w:r>
      <w:r>
        <w:rPr/>
        <w:t>.</w:t>
      </w:r>
    </w:p>
    <w:p>
      <w:pPr>
        <w:pStyle w:val="BodyText"/>
        <w:spacing w:lineRule="auto" w:line="276"/>
        <w:rPr/>
      </w:pPr>
      <w:r>
        <w:rPr/>
        <w:t xml:space="preserve">International Test Commission. (2001/2013). </w:t>
      </w:r>
      <w:r>
        <w:rPr>
          <w:i/>
          <w:iCs/>
        </w:rPr>
        <w:t>ITC Guidelines on Test Use</w:t>
      </w:r>
      <w:r>
        <w:rPr/>
        <w:t>.</w:t>
      </w:r>
    </w:p>
    <w:p>
      <w:pPr>
        <w:pStyle w:val="BodyText"/>
        <w:spacing w:lineRule="auto" w:line="276"/>
        <w:rPr/>
      </w:pPr>
      <w:r>
        <w:rPr/>
        <w:t xml:space="preserve">Kiliçli, A., &amp; Gül, S. (2024). The effect of neurolinguistic programming on labor pain, fear, duration and maternal satisfaction: A randomized controlled trial. </w:t>
      </w:r>
      <w:r>
        <w:rPr>
          <w:i/>
          <w:iCs/>
        </w:rPr>
        <w:t>European Journal of Obstetrics &amp; Gynecology and Reproductive Biology, 302</w:t>
      </w:r>
      <w:r>
        <w:rPr/>
        <w:t>, 15–25.</w:t>
      </w:r>
    </w:p>
    <w:p>
      <w:pPr>
        <w:pStyle w:val="BodyText"/>
        <w:spacing w:lineRule="auto" w:line="276"/>
        <w:rPr/>
      </w:pPr>
      <w:r>
        <w:rPr/>
        <w:t xml:space="preserve">Kotera, Y., Sheffield, D., &amp; Van Gordon, W. (2019). The applications of neuro-linguistic programming in organizational settings: A systematic review of psychological outcomes. </w:t>
      </w:r>
      <w:r>
        <w:rPr>
          <w:i/>
          <w:iCs/>
        </w:rPr>
        <w:t>Human Resource Development Quarterly, 30</w:t>
      </w:r>
      <w:r>
        <w:rPr/>
        <w:t>(1), 101–116.</w:t>
      </w:r>
    </w:p>
    <w:p>
      <w:pPr>
        <w:pStyle w:val="BodyText"/>
        <w:spacing w:lineRule="auto" w:line="276"/>
        <w:rPr/>
      </w:pPr>
      <w:r>
        <w:rPr/>
        <w:t xml:space="preserve">Passmore, J., &amp; Rowson, T. S. (2019). Neuro-linguistic-programming: A critical review of NLP research and the application of NLP in coaching. </w:t>
      </w:r>
      <w:r>
        <w:rPr>
          <w:i/>
          <w:iCs/>
        </w:rPr>
        <w:t>International Coaching Psychology Review, 14</w:t>
      </w:r>
      <w:r>
        <w:rPr/>
        <w:t>(1), 57–69.</w:t>
      </w:r>
    </w:p>
    <w:p>
      <w:pPr>
        <w:pStyle w:val="BodyText"/>
        <w:spacing w:lineRule="auto" w:line="276"/>
        <w:rPr/>
      </w:pPr>
      <w:r>
        <w:rPr/>
        <w:t xml:space="preserve">Peng, Y., Lu, Y., Wei, W., et al. (2015). The effect of a brief intervention for patients with ischemic stroke: A randomized controlled trial. </w:t>
      </w:r>
      <w:r>
        <w:rPr>
          <w:i/>
          <w:iCs/>
        </w:rPr>
        <w:t>Journal of Stroke and Cerebrovascular Diseases, 24</w:t>
      </w:r>
      <w:r>
        <w:rPr/>
        <w:t>(8), 1793–1802.</w:t>
      </w:r>
    </w:p>
    <w:p>
      <w:pPr>
        <w:pStyle w:val="BodyText"/>
        <w:spacing w:lineRule="auto" w:line="276"/>
        <w:rPr/>
      </w:pPr>
      <w:r>
        <w:rPr/>
        <w:t xml:space="preserve">Polskie Towarzystwo Psychologiczne. (2018). </w:t>
      </w:r>
      <w:r>
        <w:rPr>
          <w:i/>
          <w:iCs/>
        </w:rPr>
        <w:t>Kodeks etyczny psychologa</w:t>
      </w:r>
      <w:r>
        <w:rPr/>
        <w:t>.</w:t>
      </w:r>
    </w:p>
    <w:p>
      <w:pPr>
        <w:pStyle w:val="BodyText"/>
        <w:spacing w:lineRule="auto" w:line="276"/>
        <w:rPr/>
      </w:pPr>
      <w:r>
        <w:rPr/>
        <w:t xml:space="preserve">Polskie Towarzystwo Psychologiczne. (2020). </w:t>
      </w:r>
      <w:r>
        <w:rPr>
          <w:i/>
          <w:iCs/>
        </w:rPr>
        <w:t>Standardy diagnozy psychologicznej</w:t>
      </w:r>
      <w:r>
        <w:rPr/>
        <w:t>.</w:t>
      </w:r>
    </w:p>
    <w:p>
      <w:pPr>
        <w:pStyle w:val="BodyText"/>
        <w:spacing w:lineRule="auto" w:line="276"/>
        <w:rPr/>
      </w:pPr>
      <w:r>
        <w:rPr/>
        <w:t xml:space="preserve">Stipancic, M., Renner, W., Schütz, P., &amp; Dond, R. (2010). Effects of Neuro-Linguistic Psychotherapy on psychological difficulties and perceived quality of life. </w:t>
      </w:r>
      <w:r>
        <w:rPr>
          <w:i/>
          <w:iCs/>
        </w:rPr>
        <w:t>Counselling and Psychotherapy Research, 10</w:t>
      </w:r>
      <w:r>
        <w:rPr/>
        <w:t>(1), 39–49.</w:t>
      </w:r>
    </w:p>
    <w:p>
      <w:pPr>
        <w:pStyle w:val="BodyText"/>
        <w:spacing w:lineRule="auto" w:line="276"/>
        <w:rPr/>
      </w:pPr>
      <w:r>
        <w:rPr/>
        <w:t xml:space="preserve">Sturt, J., Ali, S., Robertson, W., Metcalfe, D., Grove, A., Bourne, C., &amp; Bridle, C. (2012). Neurolinguistic programming: A systematic review of the effects on health outcomes. </w:t>
      </w:r>
      <w:r>
        <w:rPr>
          <w:i/>
          <w:iCs/>
        </w:rPr>
        <w:t>British Journal of General Practice, 62</w:t>
      </w:r>
      <w:r>
        <w:rPr/>
        <w:t>(604), e757–e764.</w:t>
      </w:r>
    </w:p>
    <w:p>
      <w:pPr>
        <w:pStyle w:val="BodyText"/>
        <w:spacing w:lineRule="auto" w:line="276"/>
        <w:rPr/>
      </w:pPr>
      <w:r>
        <w:rPr/>
        <w:t xml:space="preserve">Witkowski, T. (2010). Thirty-Five Years of Research on Neuro-Linguistic Programming. NLP Research Data Base. State of the Art or Pseudoscientific Decoration? </w:t>
      </w:r>
      <w:r>
        <w:rPr>
          <w:i/>
          <w:iCs/>
        </w:rPr>
        <w:t>Polish Psychological Bulletin, 41</w:t>
      </w:r>
      <w:r>
        <w:rPr/>
        <w:t>(2), 58–66.</w:t>
      </w:r>
    </w:p>
    <w:p>
      <w:pPr>
        <w:pStyle w:val="BodyText"/>
        <w:spacing w:lineRule="auto" w:line="276"/>
        <w:rPr/>
      </w:pPr>
      <w:r>
        <w:rPr/>
        <w:t xml:space="preserve">Wiseman, R., Watt, C., ten Brinke, L., Porter, S., Couper, S.-L., &amp; Rankin, C. (2012). The Eyes Don’t Have It: Lie Detection and Neuro-Linguistic Programming. </w:t>
      </w:r>
      <w:r>
        <w:rPr>
          <w:i/>
          <w:iCs/>
        </w:rPr>
        <w:t>PLOS ONE, 7</w:t>
      </w:r>
      <w:r>
        <w:rPr/>
        <w:t>(7), e40259.</w:t>
      </w:r>
    </w:p>
    <w:p>
      <w:pPr>
        <w:pStyle w:val="BodyText"/>
        <w:spacing w:lineRule="auto" w:line="276"/>
        <w:rPr/>
      </w:pPr>
      <w:r>
        <w:rPr/>
        <w:t xml:space="preserve">Zaharia, C., Reiner, M., &amp; Schütz, P. (2015). Evidence-based Neuro Linguistic Psychotherapy: a meta-analysis. </w:t>
      </w:r>
      <w:r>
        <w:rPr>
          <w:i/>
          <w:iCs/>
        </w:rPr>
        <w:t>Psychiatria Danubina, 27</w:t>
      </w:r>
      <w:r>
        <w:rPr/>
        <w:t>(4), 355–363.</w:t>
      </w:r>
    </w:p>
    <w:p>
      <w:pPr>
        <w:pStyle w:val="BodyText"/>
        <w:spacing w:lineRule="auto" w:line="276"/>
        <w:rPr/>
      </w:pPr>
      <w:r>
        <w:rPr/>
        <w:t xml:space="preserve">Advisio Poland. (2026). </w:t>
      </w:r>
      <w:r>
        <w:rPr>
          <w:i/>
          <w:iCs/>
        </w:rPr>
        <w:t>26 885 kompletnych profili w nowych normach iP121</w:t>
      </w:r>
      <w:r>
        <w:rPr/>
        <w:t>.</w:t>
      </w:r>
    </w:p>
    <w:p>
      <w:pPr>
        <w:pStyle w:val="BodyText"/>
        <w:spacing w:lineRule="auto" w:line="276"/>
        <w:rPr/>
      </w:pPr>
      <w:r>
        <w:rPr/>
        <w:t xml:space="preserve">Advisio Poland. (2026). </w:t>
      </w:r>
      <w:r>
        <w:rPr>
          <w:i/>
          <w:iCs/>
        </w:rPr>
        <w:t>Insightful Profiler™ (iP121) — prezentacja narzędzia</w:t>
      </w:r>
      <w:r>
        <w:rPr/>
        <w:t>.</w:t>
      </w:r>
    </w:p>
    <w:p>
      <w:pPr>
        <w:pStyle w:val="BodyText"/>
        <w:spacing w:lineRule="auto" w:line="276"/>
        <w:rPr/>
      </w:pPr>
      <w:r>
        <w:rPr/>
        <w:t xml:space="preserve">ISAP / Kancelaria Sejmu. </w:t>
      </w:r>
      <w:r>
        <w:rPr>
          <w:i/>
          <w:iCs/>
        </w:rPr>
        <w:t>Ustawa z dnia 26 czerwca 1974 r. – Kodeks pracy</w:t>
      </w:r>
      <w:r>
        <w:rPr/>
        <w:t>.</w:t>
      </w:r>
    </w:p>
    <w:p>
      <w:pPr>
        <w:pStyle w:val="BodyText"/>
        <w:spacing w:lineRule="auto" w:line="276"/>
        <w:rPr/>
      </w:pPr>
      <w:r>
        <w:rPr/>
        <w:t xml:space="preserve">ISAP / Kancelaria Sejmu. </w:t>
      </w:r>
      <w:r>
        <w:rPr>
          <w:i/>
          <w:iCs/>
        </w:rPr>
        <w:t>Ustawa z dnia 6 listopada 2008 r. o prawach pacjenta i Rzeczniku Praw Pacjenta</w:t>
      </w:r>
      <w:r>
        <w:rPr/>
        <w:t>.</w:t>
      </w:r>
    </w:p>
    <w:p>
      <w:pPr>
        <w:pStyle w:val="BodyText"/>
        <w:spacing w:lineRule="auto" w:line="276"/>
        <w:rPr/>
      </w:pPr>
      <w:r>
        <w:rPr/>
        <w:t xml:space="preserve">EUR-Lex. </w:t>
      </w:r>
      <w:r>
        <w:rPr>
          <w:i/>
          <w:iCs/>
        </w:rPr>
        <w:t>Rozporządzenie (UE) 2016/679 (RODO)</w:t>
      </w:r>
      <w:r>
        <w:rPr/>
        <w:t>.</w:t>
      </w:r>
      <w:bookmarkEnd w:id="1"/>
      <w:bookmarkEnd w:id="2"/>
      <w:bookmarkEnd w:id="9"/>
    </w:p>
    <w:p>
      <w:pPr>
        <w:pStyle w:val="Normal"/>
        <w:spacing w:lineRule="auto" w:line="276"/>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lineRule="auto" w:line="276"/>
        <w:rPr/>
      </w:pPr>
      <w:hyperlink r:id="rId79">
        <w:bookmarkStart w:id="10" w:name="citations"/>
        <w:r>
          <w:rPr>
            <w:rStyle w:val="Hyperlink"/>
          </w:rPr>
          <w:t>[1]</w:t>
        </w:r>
      </w:hyperlink>
      <w:r>
        <w:rPr/>
        <w:t xml:space="preserve"> </w:t>
      </w:r>
      <w:hyperlink r:id="rId80">
        <w:r>
          <w:rPr>
            <w:rStyle w:val="Hyperlink"/>
          </w:rPr>
          <w:t>[13]</w:t>
        </w:r>
      </w:hyperlink>
      <w:r>
        <w:rPr/>
        <w:t xml:space="preserve"> </w:t>
      </w:r>
      <w:hyperlink r:id="rId81">
        <w:r>
          <w:rPr>
            <w:rStyle w:val="Hyperlink"/>
          </w:rPr>
          <w:t>[14]</w:t>
        </w:r>
      </w:hyperlink>
      <w:r>
        <w:rPr/>
        <w:t xml:space="preserve"> </w:t>
      </w:r>
      <w:hyperlink r:id="rId82">
        <w:r>
          <w:rPr>
            <w:rStyle w:val="Hyperlink"/>
          </w:rPr>
          <w:t>[15]</w:t>
        </w:r>
      </w:hyperlink>
      <w:r>
        <w:rPr/>
        <w:t xml:space="preserve"> </w:t>
      </w:r>
      <w:hyperlink r:id="rId83">
        <w:r>
          <w:rPr>
            <w:rStyle w:val="Hyperlink"/>
          </w:rPr>
          <w:t>[16]</w:t>
        </w:r>
      </w:hyperlink>
      <w:r>
        <w:rPr/>
        <w:t xml:space="preserve"> </w:t>
      </w:r>
      <w:hyperlink r:id="rId84">
        <w:r>
          <w:rPr>
            <w:rStyle w:val="Hyperlink"/>
          </w:rPr>
          <w:t>[30]</w:t>
        </w:r>
      </w:hyperlink>
      <w:r>
        <w:rPr/>
        <w:t xml:space="preserve"> https://centaur.reading.ac.uk/91275/3/Passmore%20%26%20Rowson%20-%20FINAL9Nov18.pdf</w:t>
      </w:r>
    </w:p>
    <w:p>
      <w:pPr>
        <w:pStyle w:val="BodyText"/>
        <w:spacing w:lineRule="auto" w:line="276"/>
        <w:rPr/>
      </w:pPr>
      <w:hyperlink r:id="rId85">
        <w:r>
          <w:rPr>
            <w:rStyle w:val="Hyperlink"/>
          </w:rPr>
          <w:t>https://centaur.reading.ac.uk/91275/3/Passmore%20%26%20Rowson%20-%20FINAL9Nov18.pdf</w:t>
        </w:r>
      </w:hyperlink>
    </w:p>
    <w:p>
      <w:pPr>
        <w:pStyle w:val="BodyText"/>
        <w:spacing w:lineRule="auto" w:line="276"/>
        <w:rPr/>
      </w:pPr>
      <w:hyperlink r:id="rId86">
        <w:r>
          <w:rPr>
            <w:rStyle w:val="Hyperlink"/>
          </w:rPr>
          <w:t>[2]</w:t>
        </w:r>
      </w:hyperlink>
      <w:r>
        <w:rPr/>
        <w:t xml:space="preserve"> </w:t>
      </w:r>
      <w:hyperlink r:id="rId87">
        <w:r>
          <w:rPr>
            <w:rStyle w:val="Hyperlink"/>
          </w:rPr>
          <w:t>[25]</w:t>
        </w:r>
      </w:hyperlink>
      <w:r>
        <w:rPr/>
        <w:t xml:space="preserve"> </w:t>
      </w:r>
      <w:hyperlink r:id="rId88">
        <w:r>
          <w:rPr>
            <w:rStyle w:val="Hyperlink"/>
          </w:rPr>
          <w:t>[33]</w:t>
        </w:r>
      </w:hyperlink>
      <w:r>
        <w:rPr/>
        <w:t xml:space="preserve"> </w:t>
      </w:r>
      <w:hyperlink r:id="rId89">
        <w:r>
          <w:rPr>
            <w:rStyle w:val="Hyperlink"/>
          </w:rPr>
          <w:t>[57]</w:t>
        </w:r>
      </w:hyperlink>
      <w:r>
        <w:rPr/>
        <w:t xml:space="preserve"> https://pubmed.ncbi.nlm.nih.gov/23211179/</w:t>
      </w:r>
    </w:p>
    <w:p>
      <w:pPr>
        <w:pStyle w:val="BodyText"/>
        <w:spacing w:lineRule="auto" w:line="276"/>
        <w:rPr/>
      </w:pPr>
      <w:hyperlink r:id="rId90">
        <w:r>
          <w:rPr>
            <w:rStyle w:val="Hyperlink"/>
          </w:rPr>
          <w:t>https://pubmed.ncbi.nlm.nih.gov/23211179/</w:t>
        </w:r>
      </w:hyperlink>
    </w:p>
    <w:p>
      <w:pPr>
        <w:pStyle w:val="BodyText"/>
        <w:spacing w:lineRule="auto" w:line="276"/>
        <w:rPr/>
      </w:pPr>
      <w:hyperlink r:id="rId91">
        <w:r>
          <w:rPr>
            <w:rStyle w:val="Hyperlink"/>
          </w:rPr>
          <w:t>[3]</w:t>
        </w:r>
      </w:hyperlink>
      <w:r>
        <w:rPr/>
        <w:t xml:space="preserve"> </w:t>
      </w:r>
      <w:hyperlink r:id="rId92">
        <w:r>
          <w:rPr>
            <w:rStyle w:val="Hyperlink"/>
          </w:rPr>
          <w:t>[20]</w:t>
        </w:r>
      </w:hyperlink>
      <w:r>
        <w:rPr/>
        <w:t xml:space="preserve"> </w:t>
      </w:r>
      <w:hyperlink r:id="rId93">
        <w:r>
          <w:rPr>
            <w:rStyle w:val="Hyperlink"/>
          </w:rPr>
          <w:t>[24]</w:t>
        </w:r>
      </w:hyperlink>
      <w:r>
        <w:rPr/>
        <w:t xml:space="preserve"> https://journals.plos.org/plosone/article/file?id=10.1371%2Fjournal.pone.0040259&amp;type=printable</w:t>
      </w:r>
    </w:p>
    <w:p>
      <w:pPr>
        <w:pStyle w:val="BodyText"/>
        <w:spacing w:lineRule="auto" w:line="276"/>
        <w:rPr/>
      </w:pPr>
      <w:hyperlink r:id="rId94">
        <w:r>
          <w:rPr>
            <w:rStyle w:val="Hyperlink"/>
          </w:rPr>
          <w:t>https://journals.plos.org/plosone/article/file?id=10.1371%2Fjournal.pone.0040259&amp;type=printable</w:t>
        </w:r>
      </w:hyperlink>
    </w:p>
    <w:p>
      <w:pPr>
        <w:pStyle w:val="BodyText"/>
        <w:spacing w:lineRule="auto" w:line="276"/>
        <w:rPr/>
      </w:pPr>
      <w:hyperlink r:id="rId95">
        <w:r>
          <w:rPr>
            <w:rStyle w:val="Hyperlink"/>
          </w:rPr>
          <w:t>[4]</w:t>
        </w:r>
      </w:hyperlink>
      <w:r>
        <w:rPr/>
        <w:t xml:space="preserve"> </w:t>
      </w:r>
      <w:hyperlink r:id="rId96">
        <w:r>
          <w:rPr>
            <w:rStyle w:val="Hyperlink"/>
          </w:rPr>
          <w:t>[5]</w:t>
        </w:r>
      </w:hyperlink>
      <w:r>
        <w:rPr/>
        <w:t xml:space="preserve"> </w:t>
      </w:r>
      <w:hyperlink r:id="rId97">
        <w:r>
          <w:rPr>
            <w:rStyle w:val="Hyperlink"/>
          </w:rPr>
          <w:t>[9]</w:t>
        </w:r>
      </w:hyperlink>
      <w:r>
        <w:rPr/>
        <w:t xml:space="preserve"> </w:t>
      </w:r>
      <w:hyperlink r:id="rId98">
        <w:r>
          <w:rPr>
            <w:rStyle w:val="Hyperlink"/>
          </w:rPr>
          <w:t>[10]</w:t>
        </w:r>
      </w:hyperlink>
      <w:r>
        <w:rPr/>
        <w:t xml:space="preserve"> </w:t>
      </w:r>
      <w:hyperlink r:id="rId99">
        <w:r>
          <w:rPr>
            <w:rStyle w:val="Hyperlink"/>
          </w:rPr>
          <w:t>[34]</w:t>
        </w:r>
      </w:hyperlink>
      <w:r>
        <w:rPr/>
        <w:t xml:space="preserve"> </w:t>
      </w:r>
      <w:hyperlink r:id="rId100">
        <w:r>
          <w:rPr>
            <w:rStyle w:val="Hyperlink"/>
          </w:rPr>
          <w:t>[35]</w:t>
        </w:r>
      </w:hyperlink>
      <w:r>
        <w:rPr/>
        <w:t xml:space="preserve"> </w:t>
      </w:r>
      <w:hyperlink r:id="rId101">
        <w:r>
          <w:rPr>
            <w:rStyle w:val="Hyperlink"/>
          </w:rPr>
          <w:t>[38]</w:t>
        </w:r>
      </w:hyperlink>
      <w:r>
        <w:rPr/>
        <w:t xml:space="preserve"> </w:t>
      </w:r>
      <w:hyperlink r:id="rId102">
        <w:r>
          <w:rPr>
            <w:rStyle w:val="Hyperlink"/>
          </w:rPr>
          <w:t>[40]</w:t>
        </w:r>
      </w:hyperlink>
      <w:r>
        <w:rPr/>
        <w:t xml:space="preserve"> </w:t>
      </w:r>
      <w:hyperlink r:id="rId103">
        <w:r>
          <w:rPr>
            <w:rStyle w:val="Hyperlink"/>
          </w:rPr>
          <w:t>[45]</w:t>
        </w:r>
      </w:hyperlink>
      <w:r>
        <w:rPr/>
        <w:t xml:space="preserve"> https://www.advisio.pro/user/themes/plabs/assets/docs/Broszura_Insightful_Profiler_iP121.pdf</w:t>
      </w:r>
    </w:p>
    <w:p>
      <w:pPr>
        <w:pStyle w:val="BodyText"/>
        <w:spacing w:lineRule="auto" w:line="276"/>
        <w:rPr/>
      </w:pPr>
      <w:hyperlink r:id="rId104">
        <w:r>
          <w:rPr>
            <w:rStyle w:val="Hyperlink"/>
          </w:rPr>
          <w:t>https://www.advisio.pro/user/themes/plabs/assets/docs/Broszura_Insightful_Profiler_iP121.pdf</w:t>
        </w:r>
      </w:hyperlink>
    </w:p>
    <w:p>
      <w:pPr>
        <w:pStyle w:val="BodyText"/>
        <w:spacing w:lineRule="auto" w:line="276"/>
        <w:rPr/>
      </w:pPr>
      <w:hyperlink r:id="rId105">
        <w:r>
          <w:rPr>
            <w:rStyle w:val="Hyperlink"/>
          </w:rPr>
          <w:t>[6]</w:t>
        </w:r>
      </w:hyperlink>
      <w:r>
        <w:rPr/>
        <w:t xml:space="preserve"> </w:t>
      </w:r>
      <w:hyperlink r:id="rId106">
        <w:r>
          <w:rPr>
            <w:rStyle w:val="Hyperlink"/>
          </w:rPr>
          <w:t>[17]</w:t>
        </w:r>
      </w:hyperlink>
      <w:r>
        <w:rPr/>
        <w:t xml:space="preserve"> </w:t>
      </w:r>
      <w:hyperlink r:id="rId107">
        <w:r>
          <w:rPr>
            <w:rStyle w:val="Hyperlink"/>
          </w:rPr>
          <w:t>[23]</w:t>
        </w:r>
      </w:hyperlink>
      <w:r>
        <w:rPr/>
        <w:t xml:space="preserve"> https://journals.pan.pl/Content/99644/PDF/03.pdf</w:t>
      </w:r>
    </w:p>
    <w:p>
      <w:pPr>
        <w:pStyle w:val="BodyText"/>
        <w:spacing w:lineRule="auto" w:line="276"/>
        <w:rPr/>
      </w:pPr>
      <w:hyperlink r:id="rId108">
        <w:r>
          <w:rPr>
            <w:rStyle w:val="Hyperlink"/>
          </w:rPr>
          <w:t>https://journals.pan.pl/Content/99644/PDF/03.pdf</w:t>
        </w:r>
      </w:hyperlink>
    </w:p>
    <w:p>
      <w:pPr>
        <w:pStyle w:val="BodyText"/>
        <w:spacing w:lineRule="auto" w:line="276"/>
        <w:rPr/>
      </w:pPr>
      <w:hyperlink r:id="rId109">
        <w:r>
          <w:rPr>
            <w:rStyle w:val="Hyperlink"/>
          </w:rPr>
          <w:t>[7]</w:t>
        </w:r>
      </w:hyperlink>
      <w:r>
        <w:rPr/>
        <w:t xml:space="preserve"> </w:t>
      </w:r>
      <w:hyperlink r:id="rId110">
        <w:r>
          <w:rPr>
            <w:rStyle w:val="Hyperlink"/>
          </w:rPr>
          <w:t>[8]</w:t>
        </w:r>
      </w:hyperlink>
      <w:r>
        <w:rPr/>
        <w:t xml:space="preserve"> https://www.advisio.pro/</w:t>
      </w:r>
    </w:p>
    <w:p>
      <w:pPr>
        <w:pStyle w:val="BodyText"/>
        <w:spacing w:lineRule="auto" w:line="276"/>
        <w:rPr/>
      </w:pPr>
      <w:hyperlink r:id="rId111">
        <w:r>
          <w:rPr>
            <w:rStyle w:val="Hyperlink"/>
          </w:rPr>
          <w:t>https://www.advisio.pro/</w:t>
        </w:r>
      </w:hyperlink>
    </w:p>
    <w:p>
      <w:pPr>
        <w:pStyle w:val="BodyText"/>
        <w:spacing w:lineRule="auto" w:line="276"/>
        <w:rPr/>
      </w:pPr>
      <w:hyperlink r:id="rId112">
        <w:r>
          <w:rPr>
            <w:rStyle w:val="Hyperlink"/>
          </w:rPr>
          <w:t>[11]</w:t>
        </w:r>
      </w:hyperlink>
      <w:r>
        <w:rPr/>
        <w:t xml:space="preserve"> https://www.testingstandards.net/uploads/7/6/6/4/76643089/standards_2014edition.pdf</w:t>
      </w:r>
    </w:p>
    <w:p>
      <w:pPr>
        <w:pStyle w:val="BodyText"/>
        <w:spacing w:lineRule="auto" w:line="276"/>
        <w:rPr/>
      </w:pPr>
      <w:hyperlink r:id="rId113">
        <w:r>
          <w:rPr>
            <w:rStyle w:val="Hyperlink"/>
          </w:rPr>
          <w:t>https://www.testingstandards.net/uploads/7/6/6/4/76643089/standards_2014edition.pdf</w:t>
        </w:r>
      </w:hyperlink>
    </w:p>
    <w:p>
      <w:pPr>
        <w:pStyle w:val="BodyText"/>
        <w:spacing w:lineRule="auto" w:line="276"/>
        <w:rPr/>
      </w:pPr>
      <w:hyperlink r:id="rId114">
        <w:r>
          <w:rPr>
            <w:rStyle w:val="Hyperlink"/>
          </w:rPr>
          <w:t>[12]</w:t>
        </w:r>
      </w:hyperlink>
      <w:r>
        <w:rPr/>
        <w:t xml:space="preserve"> </w:t>
      </w:r>
      <w:hyperlink r:id="rId115">
        <w:r>
          <w:rPr>
            <w:rStyle w:val="Hyperlink"/>
          </w:rPr>
          <w:t>[50]</w:t>
        </w:r>
      </w:hyperlink>
      <w:r>
        <w:rPr/>
        <w:t xml:space="preserve"> https://isap.sejm.gov.pl/isap.nsf/download.xsp/WDU19740240141/U/D19740141Lj.pdf</w:t>
      </w:r>
    </w:p>
    <w:p>
      <w:pPr>
        <w:pStyle w:val="BodyText"/>
        <w:spacing w:lineRule="auto" w:line="276"/>
        <w:rPr/>
      </w:pPr>
      <w:hyperlink r:id="rId116">
        <w:r>
          <w:rPr>
            <w:rStyle w:val="Hyperlink"/>
          </w:rPr>
          <w:t>https://isap.sejm.gov.pl/isap.nsf/download.xsp/WDU19740240141/U/D19740141Lj.pdf</w:t>
        </w:r>
      </w:hyperlink>
    </w:p>
    <w:p>
      <w:pPr>
        <w:pStyle w:val="BodyText"/>
        <w:spacing w:lineRule="auto" w:line="276"/>
        <w:rPr/>
      </w:pPr>
      <w:hyperlink r:id="rId117">
        <w:r>
          <w:rPr>
            <w:rStyle w:val="Hyperlink"/>
          </w:rPr>
          <w:t>[18]</w:t>
        </w:r>
      </w:hyperlink>
      <w:r>
        <w:rPr/>
        <w:t xml:space="preserve"> https://bjgp.org/content/62/604/e757.full-text.pdf</w:t>
      </w:r>
    </w:p>
    <w:p>
      <w:pPr>
        <w:pStyle w:val="BodyText"/>
        <w:spacing w:lineRule="auto" w:line="276"/>
        <w:rPr/>
      </w:pPr>
      <w:hyperlink r:id="rId118">
        <w:r>
          <w:rPr>
            <w:rStyle w:val="Hyperlink"/>
          </w:rPr>
          <w:t>https://bjgp.org/content/62/604/e757.full-text.pdf</w:t>
        </w:r>
      </w:hyperlink>
    </w:p>
    <w:p>
      <w:pPr>
        <w:pStyle w:val="BodyText"/>
        <w:spacing w:lineRule="auto" w:line="276"/>
        <w:rPr/>
      </w:pPr>
      <w:hyperlink r:id="rId119">
        <w:r>
          <w:rPr>
            <w:rStyle w:val="Hyperlink"/>
          </w:rPr>
          <w:t>[19]</w:t>
        </w:r>
      </w:hyperlink>
      <w:r>
        <w:rPr/>
        <w:t xml:space="preserve"> </w:t>
      </w:r>
      <w:hyperlink r:id="rId120">
        <w:r>
          <w:rPr>
            <w:rStyle w:val="Hyperlink"/>
          </w:rPr>
          <w:t>[29]</w:t>
        </w:r>
      </w:hyperlink>
      <w:r>
        <w:rPr/>
        <w:t xml:space="preserve"> </w:t>
      </w:r>
      <w:hyperlink r:id="rId121">
        <w:r>
          <w:rPr>
            <w:rStyle w:val="Hyperlink"/>
          </w:rPr>
          <w:t>[32]</w:t>
        </w:r>
      </w:hyperlink>
      <w:r>
        <w:rPr/>
        <w:t xml:space="preserve"> https://www.nlpt.at/res21.pdf</w:t>
      </w:r>
    </w:p>
    <w:p>
      <w:pPr>
        <w:pStyle w:val="BodyText"/>
        <w:spacing w:lineRule="auto" w:line="276"/>
        <w:rPr/>
      </w:pPr>
      <w:hyperlink r:id="rId122">
        <w:r>
          <w:rPr>
            <w:rStyle w:val="Hyperlink"/>
          </w:rPr>
          <w:t>https://www.nlpt.at/res21.pdf</w:t>
        </w:r>
      </w:hyperlink>
    </w:p>
    <w:p>
      <w:pPr>
        <w:pStyle w:val="BodyText"/>
        <w:spacing w:lineRule="auto" w:line="276"/>
        <w:rPr/>
      </w:pPr>
      <w:hyperlink r:id="rId123">
        <w:r>
          <w:rPr>
            <w:rStyle w:val="Hyperlink"/>
          </w:rPr>
          <w:t>[21]</w:t>
        </w:r>
      </w:hyperlink>
      <w:r>
        <w:rPr/>
        <w:t xml:space="preserve"> </w:t>
      </w:r>
      <w:hyperlink r:id="rId124">
        <w:r>
          <w:rPr>
            <w:rStyle w:val="Hyperlink"/>
          </w:rPr>
          <w:t>[26]</w:t>
        </w:r>
      </w:hyperlink>
      <w:r>
        <w:rPr/>
        <w:t xml:space="preserve"> </w:t>
      </w:r>
      <w:hyperlink r:id="rId125">
        <w:r>
          <w:rPr>
            <w:rStyle w:val="Hyperlink"/>
          </w:rPr>
          <w:t>[47]</w:t>
        </w:r>
      </w:hyperlink>
      <w:r>
        <w:rPr/>
        <w:t xml:space="preserve"> https://terapia.co.uk/wp-content/uploads/2020/05/07-Effects-of-Neuro-Linguistic-Psychotherapy-on-psychological-dificulities-and-perceived-quality-of-life.pdf</w:t>
      </w:r>
    </w:p>
    <w:p>
      <w:pPr>
        <w:pStyle w:val="BodyText"/>
        <w:spacing w:lineRule="auto" w:line="276"/>
        <w:rPr/>
      </w:pPr>
      <w:hyperlink r:id="rId126">
        <w:r>
          <w:rPr>
            <w:rStyle w:val="Hyperlink"/>
          </w:rPr>
          <w:t>https://terapia.co.uk/wp-content/uploads/2020/05/07-Effects-of-Neuro-Linguistic-Psychotherapy-on-psychological-dificulities-and-perceived-quality-of-life.pdf</w:t>
        </w:r>
      </w:hyperlink>
    </w:p>
    <w:p>
      <w:pPr>
        <w:pStyle w:val="BodyText"/>
        <w:spacing w:lineRule="auto" w:line="276"/>
        <w:rPr/>
      </w:pPr>
      <w:hyperlink r:id="rId127">
        <w:r>
          <w:rPr>
            <w:rStyle w:val="Hyperlink"/>
          </w:rPr>
          <w:t>[22]</w:t>
        </w:r>
      </w:hyperlink>
      <w:r>
        <w:rPr/>
        <w:t xml:space="preserve"> https://www.nlpt.at/res2.pdf</w:t>
      </w:r>
    </w:p>
    <w:p>
      <w:pPr>
        <w:pStyle w:val="BodyText"/>
        <w:spacing w:lineRule="auto" w:line="276"/>
        <w:rPr/>
      </w:pPr>
      <w:hyperlink r:id="rId128">
        <w:r>
          <w:rPr>
            <w:rStyle w:val="Hyperlink"/>
          </w:rPr>
          <w:t>https://www.nlpt.at/res2.pdf</w:t>
        </w:r>
      </w:hyperlink>
    </w:p>
    <w:p>
      <w:pPr>
        <w:pStyle w:val="BodyText"/>
        <w:spacing w:lineRule="auto" w:line="276"/>
        <w:rPr/>
      </w:pPr>
      <w:hyperlink r:id="rId129">
        <w:r>
          <w:rPr>
            <w:rStyle w:val="Hyperlink"/>
          </w:rPr>
          <w:t>[27]</w:t>
        </w:r>
      </w:hyperlink>
      <w:r>
        <w:rPr/>
        <w:t xml:space="preserve"> https://nlpt.com/res6.pdf</w:t>
      </w:r>
    </w:p>
    <w:p>
      <w:pPr>
        <w:pStyle w:val="BodyText"/>
        <w:spacing w:lineRule="auto" w:line="276"/>
        <w:rPr/>
      </w:pPr>
      <w:hyperlink r:id="rId130">
        <w:r>
          <w:rPr>
            <w:rStyle w:val="Hyperlink"/>
          </w:rPr>
          <w:t>https://nlpt.com/res6.pdf</w:t>
        </w:r>
      </w:hyperlink>
    </w:p>
    <w:p>
      <w:pPr>
        <w:pStyle w:val="BodyText"/>
        <w:spacing w:lineRule="auto" w:line="276"/>
        <w:rPr/>
      </w:pPr>
      <w:hyperlink r:id="rId131">
        <w:r>
          <w:rPr>
            <w:rStyle w:val="Hyperlink"/>
          </w:rPr>
          <w:t>[28]</w:t>
        </w:r>
      </w:hyperlink>
      <w:r>
        <w:rPr/>
        <w:t xml:space="preserve"> https://pubmed.ncbi.nlm.nih.gov/26117212/</w:t>
      </w:r>
    </w:p>
    <w:p>
      <w:pPr>
        <w:pStyle w:val="BodyText"/>
        <w:spacing w:lineRule="auto" w:line="276"/>
        <w:rPr/>
      </w:pPr>
      <w:hyperlink r:id="rId132">
        <w:r>
          <w:rPr>
            <w:rStyle w:val="Hyperlink"/>
          </w:rPr>
          <w:t>https://pubmed.ncbi.nlm.nih.gov/26117212/</w:t>
        </w:r>
      </w:hyperlink>
    </w:p>
    <w:p>
      <w:pPr>
        <w:pStyle w:val="BodyText"/>
        <w:spacing w:lineRule="auto" w:line="276"/>
        <w:rPr/>
      </w:pPr>
      <w:hyperlink r:id="rId133">
        <w:r>
          <w:rPr>
            <w:rStyle w:val="Hyperlink"/>
          </w:rPr>
          <w:t>[31]</w:t>
        </w:r>
      </w:hyperlink>
      <w:r>
        <w:rPr/>
        <w:t xml:space="preserve"> https://pubmed.ncbi.nlm.nih.gov/39213951/</w:t>
      </w:r>
    </w:p>
    <w:p>
      <w:pPr>
        <w:pStyle w:val="BodyText"/>
        <w:spacing w:lineRule="auto" w:line="276"/>
        <w:rPr/>
      </w:pPr>
      <w:hyperlink r:id="rId134">
        <w:r>
          <w:rPr>
            <w:rStyle w:val="Hyperlink"/>
          </w:rPr>
          <w:t>https://pubmed.ncbi.nlm.nih.gov/39213951/</w:t>
        </w:r>
      </w:hyperlink>
    </w:p>
    <w:p>
      <w:pPr>
        <w:pStyle w:val="BodyText"/>
        <w:spacing w:lineRule="auto" w:line="276"/>
        <w:rPr/>
      </w:pPr>
      <w:hyperlink r:id="rId135">
        <w:r>
          <w:rPr>
            <w:rStyle w:val="Hyperlink"/>
          </w:rPr>
          <w:t>[36]</w:t>
        </w:r>
      </w:hyperlink>
      <w:r>
        <w:rPr/>
        <w:t xml:space="preserve"> https://www.advisio.pro/user/themes/plabs/assets/docs/Raport_iP_Coach.pdf</w:t>
      </w:r>
    </w:p>
    <w:p>
      <w:pPr>
        <w:pStyle w:val="BodyText"/>
        <w:spacing w:lineRule="auto" w:line="276"/>
        <w:rPr/>
      </w:pPr>
      <w:hyperlink r:id="rId136">
        <w:r>
          <w:rPr>
            <w:rStyle w:val="Hyperlink"/>
          </w:rPr>
          <w:t>https://www.advisio.pro/user/themes/plabs/assets/docs/Raport_iP_Coach.pdf</w:t>
        </w:r>
      </w:hyperlink>
    </w:p>
    <w:p>
      <w:pPr>
        <w:pStyle w:val="BodyText"/>
        <w:spacing w:lineRule="auto" w:line="276"/>
        <w:rPr/>
      </w:pPr>
      <w:hyperlink r:id="rId137">
        <w:r>
          <w:rPr>
            <w:rStyle w:val="Hyperlink"/>
          </w:rPr>
          <w:t>[37]</w:t>
        </w:r>
      </w:hyperlink>
      <w:r>
        <w:rPr/>
        <w:t xml:space="preserve"> </w:t>
      </w:r>
      <w:hyperlink r:id="rId138">
        <w:r>
          <w:rPr>
            <w:rStyle w:val="Hyperlink"/>
          </w:rPr>
          <w:t>[51]</w:t>
        </w:r>
      </w:hyperlink>
      <w:r>
        <w:rPr/>
        <w:t xml:space="preserve"> </w:t>
      </w:r>
      <w:hyperlink r:id="rId139">
        <w:r>
          <w:rPr>
            <w:rStyle w:val="Hyperlink"/>
          </w:rPr>
          <w:t>[52]</w:t>
        </w:r>
      </w:hyperlink>
      <w:r>
        <w:rPr/>
        <w:t xml:space="preserve"> https://www.advisio.pro/aktualnosci/26-885-kompletnych-profili-w-nowych-normach-ip121</w:t>
      </w:r>
    </w:p>
    <w:p>
      <w:pPr>
        <w:pStyle w:val="BodyText"/>
        <w:spacing w:lineRule="auto" w:line="276"/>
        <w:rPr/>
      </w:pPr>
      <w:hyperlink r:id="rId140">
        <w:r>
          <w:rPr>
            <w:rStyle w:val="Hyperlink"/>
          </w:rPr>
          <w:t>https://www.advisio.pro/aktualnosci/26-885-kompletnych-profili-w-nowych-normach-ip121</w:t>
        </w:r>
      </w:hyperlink>
    </w:p>
    <w:p>
      <w:pPr>
        <w:pStyle w:val="BodyText"/>
        <w:spacing w:lineRule="auto" w:line="276"/>
        <w:rPr/>
      </w:pPr>
      <w:hyperlink r:id="rId141">
        <w:r>
          <w:rPr>
            <w:rStyle w:val="Hyperlink"/>
          </w:rPr>
          <w:t>[39]</w:t>
        </w:r>
      </w:hyperlink>
      <w:r>
        <w:rPr/>
        <w:t xml:space="preserve"> </w:t>
      </w:r>
      <w:hyperlink r:id="rId142">
        <w:r>
          <w:rPr>
            <w:rStyle w:val="Hyperlink"/>
          </w:rPr>
          <w:t>[48]</w:t>
        </w:r>
      </w:hyperlink>
      <w:r>
        <w:rPr/>
        <w:t xml:space="preserve"> https://www.intestcom.org/files/guideline_test_use.pdf</w:t>
      </w:r>
    </w:p>
    <w:p>
      <w:pPr>
        <w:pStyle w:val="BodyText"/>
        <w:spacing w:lineRule="auto" w:line="276"/>
        <w:rPr/>
      </w:pPr>
      <w:hyperlink r:id="rId143">
        <w:r>
          <w:rPr>
            <w:rStyle w:val="Hyperlink"/>
          </w:rPr>
          <w:t>https://www.intestcom.org/files/guideline_test_use.pdf</w:t>
        </w:r>
      </w:hyperlink>
    </w:p>
    <w:p>
      <w:pPr>
        <w:pStyle w:val="BodyText"/>
        <w:spacing w:lineRule="auto" w:line="276"/>
        <w:rPr/>
      </w:pPr>
      <w:hyperlink r:id="rId144">
        <w:r>
          <w:rPr>
            <w:rStyle w:val="Hyperlink"/>
          </w:rPr>
          <w:t>[41]</w:t>
        </w:r>
      </w:hyperlink>
      <w:r>
        <w:rPr/>
        <w:t xml:space="preserve"> https://www.parinc.com/products/NEO-PI-3-NU</w:t>
      </w:r>
    </w:p>
    <w:p>
      <w:pPr>
        <w:pStyle w:val="BodyText"/>
        <w:spacing w:lineRule="auto" w:line="276"/>
        <w:rPr/>
      </w:pPr>
      <w:hyperlink r:id="rId145">
        <w:r>
          <w:rPr>
            <w:rStyle w:val="Hyperlink"/>
          </w:rPr>
          <w:t>https://www.parinc.com/products/NEO-PI-3-NU</w:t>
        </w:r>
      </w:hyperlink>
    </w:p>
    <w:p>
      <w:pPr>
        <w:pStyle w:val="BodyText"/>
        <w:spacing w:lineRule="auto" w:line="276"/>
        <w:rPr/>
      </w:pPr>
      <w:hyperlink r:id="rId146">
        <w:r>
          <w:rPr>
            <w:rStyle w:val="Hyperlink"/>
          </w:rPr>
          <w:t>[42]</w:t>
        </w:r>
      </w:hyperlink>
      <w:r>
        <w:rPr/>
        <w:t xml:space="preserve"> https://www.colby.edu/academics/departments-and-programs/psychology/research-opportunities/personality-lab/the-bfi-2/</w:t>
      </w:r>
    </w:p>
    <w:p>
      <w:pPr>
        <w:pStyle w:val="BodyText"/>
        <w:spacing w:lineRule="auto" w:line="276"/>
        <w:rPr/>
      </w:pPr>
      <w:hyperlink r:id="rId147">
        <w:r>
          <w:rPr>
            <w:rStyle w:val="Hyperlink"/>
          </w:rPr>
          <w:t>https://www.colby.edu/academics/departments-and-programs/psychology/research-opportunities/personality-lab/the-bfi-2/</w:t>
        </w:r>
      </w:hyperlink>
    </w:p>
    <w:p>
      <w:pPr>
        <w:pStyle w:val="BodyText"/>
        <w:spacing w:lineRule="auto" w:line="276"/>
        <w:rPr/>
      </w:pPr>
      <w:hyperlink r:id="rId148">
        <w:r>
          <w:rPr>
            <w:rStyle w:val="Hyperlink"/>
          </w:rPr>
          <w:t>[43]</w:t>
        </w:r>
      </w:hyperlink>
      <w:r>
        <w:rPr/>
        <w:t xml:space="preserve"> https://hrmforce.com/wp-content/uploads/2021/03/OPQ32-BPS-Review-2007.pdf</w:t>
      </w:r>
    </w:p>
    <w:p>
      <w:pPr>
        <w:pStyle w:val="BodyText"/>
        <w:spacing w:lineRule="auto" w:line="276"/>
        <w:rPr/>
      </w:pPr>
      <w:hyperlink r:id="rId149">
        <w:r>
          <w:rPr>
            <w:rStyle w:val="Hyperlink"/>
          </w:rPr>
          <w:t>https://hrmforce.com/wp-content/uploads/2021/03/OPQ32-BPS-Review-2007.pdf</w:t>
        </w:r>
      </w:hyperlink>
    </w:p>
    <w:p>
      <w:pPr>
        <w:pStyle w:val="BodyText"/>
        <w:spacing w:lineRule="auto" w:line="276"/>
        <w:rPr/>
      </w:pPr>
      <w:hyperlink r:id="rId150">
        <w:r>
          <w:rPr>
            <w:rStyle w:val="Hyperlink"/>
          </w:rPr>
          <w:t>[44]</w:t>
        </w:r>
      </w:hyperlink>
      <w:r>
        <w:rPr/>
        <w:t xml:space="preserve"> https://www.crownedgrace.com/wp-content/uploads/2016/04/Hogan-Personality-Inventory.pdf</w:t>
      </w:r>
    </w:p>
    <w:p>
      <w:pPr>
        <w:pStyle w:val="BodyText"/>
        <w:spacing w:lineRule="auto" w:line="276"/>
        <w:rPr/>
      </w:pPr>
      <w:hyperlink r:id="rId151">
        <w:r>
          <w:rPr>
            <w:rStyle w:val="Hyperlink"/>
          </w:rPr>
          <w:t>https://www.crownedgrace.com/wp-content/uploads/2016/04/Hogan-Personality-Inventory.pdf</w:t>
        </w:r>
      </w:hyperlink>
    </w:p>
    <w:p>
      <w:pPr>
        <w:pStyle w:val="BodyText"/>
        <w:spacing w:lineRule="auto" w:line="276"/>
        <w:rPr/>
      </w:pPr>
      <w:hyperlink r:id="rId152">
        <w:r>
          <w:rPr>
            <w:rStyle w:val="Hyperlink"/>
          </w:rPr>
          <w:t>[46]</w:t>
        </w:r>
      </w:hyperlink>
      <w:r>
        <w:rPr/>
        <w:t xml:space="preserve"> https://psych.org.pl/dla-psychologow/kodeks-etyczny</w:t>
      </w:r>
    </w:p>
    <w:p>
      <w:pPr>
        <w:pStyle w:val="BodyText"/>
        <w:spacing w:lineRule="auto" w:line="276"/>
        <w:rPr/>
      </w:pPr>
      <w:hyperlink r:id="rId153">
        <w:r>
          <w:rPr>
            <w:rStyle w:val="Hyperlink"/>
          </w:rPr>
          <w:t>https://psych.org.pl/dla-psychologow/kodeks-etyczny</w:t>
        </w:r>
      </w:hyperlink>
    </w:p>
    <w:p>
      <w:pPr>
        <w:pStyle w:val="BodyText"/>
        <w:spacing w:lineRule="auto" w:line="276"/>
        <w:rPr/>
      </w:pPr>
      <w:hyperlink r:id="rId154">
        <w:r>
          <w:rPr>
            <w:rStyle w:val="Hyperlink"/>
          </w:rPr>
          <w:t>[49]</w:t>
        </w:r>
      </w:hyperlink>
      <w:r>
        <w:rPr/>
        <w:t xml:space="preserve"> </w:t>
      </w:r>
      <w:hyperlink r:id="rId155">
        <w:r>
          <w:rPr>
            <w:rStyle w:val="Hyperlink"/>
          </w:rPr>
          <w:t>[55]</w:t>
        </w:r>
      </w:hyperlink>
      <w:r>
        <w:rPr/>
        <w:t xml:space="preserve"> https://eur-lex.europa.eu/eli/reg/2016/679/oj/pol</w:t>
      </w:r>
    </w:p>
    <w:p>
      <w:pPr>
        <w:pStyle w:val="BodyText"/>
        <w:spacing w:lineRule="auto" w:line="276"/>
        <w:rPr/>
      </w:pPr>
      <w:hyperlink r:id="rId156">
        <w:r>
          <w:rPr>
            <w:rStyle w:val="Hyperlink"/>
          </w:rPr>
          <w:t>https://eur-lex.europa.eu/eli/reg/2016/679/oj/pol</w:t>
        </w:r>
      </w:hyperlink>
    </w:p>
    <w:p>
      <w:pPr>
        <w:pStyle w:val="BodyText"/>
        <w:spacing w:lineRule="auto" w:line="276"/>
        <w:rPr/>
      </w:pPr>
      <w:hyperlink r:id="rId157">
        <w:r>
          <w:rPr>
            <w:rStyle w:val="Hyperlink"/>
          </w:rPr>
          <w:t>[53]</w:t>
        </w:r>
      </w:hyperlink>
      <w:r>
        <w:rPr/>
        <w:t xml:space="preserve"> </w:t>
      </w:r>
      <w:hyperlink r:id="rId158">
        <w:r>
          <w:rPr>
            <w:rStyle w:val="Hyperlink"/>
          </w:rPr>
          <w:t>[54]</w:t>
        </w:r>
      </w:hyperlink>
      <w:r>
        <w:rPr/>
        <w:t xml:space="preserve"> https://psych.org.pl/dla-psychologow/tytul-domyslny</w:t>
      </w:r>
    </w:p>
    <w:p>
      <w:pPr>
        <w:pStyle w:val="BodyText"/>
        <w:spacing w:lineRule="auto" w:line="276"/>
        <w:rPr/>
      </w:pPr>
      <w:hyperlink r:id="rId159">
        <w:r>
          <w:rPr>
            <w:rStyle w:val="Hyperlink"/>
          </w:rPr>
          <w:t>https://psych.org.pl/dla-psychologow/tytul-domyslny</w:t>
        </w:r>
      </w:hyperlink>
    </w:p>
    <w:p>
      <w:pPr>
        <w:pStyle w:val="BodyText"/>
        <w:spacing w:lineRule="auto" w:line="276"/>
        <w:rPr/>
      </w:pPr>
      <w:hyperlink r:id="rId160">
        <w:r>
          <w:rPr>
            <w:rStyle w:val="Hyperlink"/>
          </w:rPr>
          <w:t>[56]</w:t>
        </w:r>
      </w:hyperlink>
      <w:r>
        <w:rPr/>
        <w:t xml:space="preserve"> https://www.infocop.es/wp-content/uploads/2025/09/efpa_test_review_model_v2025_5.pdf</w:t>
      </w:r>
    </w:p>
    <w:p>
      <w:pPr>
        <w:pStyle w:val="BodyText"/>
        <w:spacing w:lineRule="auto" w:line="276" w:before="180" w:after="180"/>
        <w:rPr/>
      </w:pPr>
      <w:hyperlink r:id="rId161">
        <w:bookmarkStart w:id="11" w:name="citations"/>
        <w:r>
          <w:rPr>
            <w:rStyle w:val="Hyperlink"/>
          </w:rPr>
          <w:t>https://www.infocop.es/wp-content/uploads/2025/09/efpa_test_review_model_v2025_5.pdf</w:t>
        </w:r>
      </w:hyperlink>
      <w:bookmarkEnd w:id="1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l-PL"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Znakiprzypiswdolnych">
    <w:name w:val="Znaki przypisów dolnych"/>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ks">
    <w:name w:val="Indeks"/>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Nagwek"/>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entaur.reading.ac.uk/91275/3/Passmore%20%26%20Rowson%20-%20FINAL9Nov18.pdf" TargetMode="External"/><Relationship Id="rId3" Type="http://schemas.openxmlformats.org/officeDocument/2006/relationships/hyperlink" Target="https://pubmed.ncbi.nlm.nih.gov/23211179/" TargetMode="External"/><Relationship Id="rId4" Type="http://schemas.openxmlformats.org/officeDocument/2006/relationships/hyperlink" Target="https://journals.plos.org/plosone/article/file?id=10.1371%2Fjournal.pone.0040259&amp;type=printable" TargetMode="External"/><Relationship Id="rId5" Type="http://schemas.openxmlformats.org/officeDocument/2006/relationships/hyperlink" Target="https://www.advisio.pro/user/themes/plabs/assets/docs/Broszura_Insightful_Profiler_iP121.pdf" TargetMode="External"/><Relationship Id="rId6" Type="http://schemas.openxmlformats.org/officeDocument/2006/relationships/hyperlink" Target="https://www.advisio.pro/user/themes/plabs/assets/docs/Broszura_Insightful_Profiler_iP121.pdf" TargetMode="External"/><Relationship Id="rId7" Type="http://schemas.openxmlformats.org/officeDocument/2006/relationships/hyperlink" Target="https://journals.pan.pl/Content/99644/PDF/03.pdf" TargetMode="External"/><Relationship Id="rId8" Type="http://schemas.openxmlformats.org/officeDocument/2006/relationships/hyperlink" Target="https://www.advisio.pro/" TargetMode="External"/><Relationship Id="rId9" Type="http://schemas.openxmlformats.org/officeDocument/2006/relationships/hyperlink" Target="https://www.advisio.pro/" TargetMode="External"/><Relationship Id="rId10" Type="http://schemas.openxmlformats.org/officeDocument/2006/relationships/hyperlink" Target="https://www.advisio.pro/user/themes/plabs/assets/docs/Broszura_Insightful_Profiler_iP121.pdf" TargetMode="External"/><Relationship Id="rId11" Type="http://schemas.openxmlformats.org/officeDocument/2006/relationships/hyperlink" Target="https://www.advisio.pro/user/themes/plabs/assets/docs/Broszura_Insightful_Profiler_iP121.pdf" TargetMode="External"/><Relationship Id="rId12" Type="http://schemas.openxmlformats.org/officeDocument/2006/relationships/hyperlink" Target="https://www.testingstandards.net/uploads/7/6/6/4/76643089/standards_2014edition.pdf" TargetMode="External"/><Relationship Id="rId13" Type="http://schemas.openxmlformats.org/officeDocument/2006/relationships/hyperlink" Target="https://isap.sejm.gov.pl/isap.nsf/download.xsp/WDU19740240141/U/D19740141Lj.pdf" TargetMode="External"/><Relationship Id="rId14" Type="http://schemas.openxmlformats.org/officeDocument/2006/relationships/hyperlink" Target="https://centaur.reading.ac.uk/91275/3/Passmore%20%26%20Rowson%20-%20FINAL9Nov18.pdf" TargetMode="External"/><Relationship Id="rId15" Type="http://schemas.openxmlformats.org/officeDocument/2006/relationships/hyperlink" Target="https://centaur.reading.ac.uk/91275/3/Passmore%20%26%20Rowson%20-%20FINAL9Nov18.pdf" TargetMode="External"/><Relationship Id="rId16" Type="http://schemas.openxmlformats.org/officeDocument/2006/relationships/hyperlink" Target="https://centaur.reading.ac.uk/91275/3/Passmore%20%26%20Rowson%20-%20FINAL9Nov18.pdf" TargetMode="External"/><Relationship Id="rId17" Type="http://schemas.openxmlformats.org/officeDocument/2006/relationships/hyperlink" Target="https://centaur.reading.ac.uk/91275/3/Passmore%20%26%20Rowson%20-%20FINAL9Nov18.pdf" TargetMode="External"/><Relationship Id="rId18" Type="http://schemas.openxmlformats.org/officeDocument/2006/relationships/image" Target="media/image1.png"/><Relationship Id="rId19" Type="http://schemas.openxmlformats.org/officeDocument/2006/relationships/hyperlink" Target="https://journals.pan.pl/Content/99644/PDF/03.pdf" TargetMode="External"/><Relationship Id="rId20" Type="http://schemas.openxmlformats.org/officeDocument/2006/relationships/hyperlink" Target="https://bjgp.org/content/62/604/e757.full-text.pdf" TargetMode="External"/><Relationship Id="rId21" Type="http://schemas.openxmlformats.org/officeDocument/2006/relationships/hyperlink" Target="https://www.nlpt.at/res21.pdf" TargetMode="External"/><Relationship Id="rId22" Type="http://schemas.openxmlformats.org/officeDocument/2006/relationships/hyperlink" Target="https://journals.plos.org/plosone/article/file?id=10.1371%2Fjournal.pone.0040259&amp;type=printable" TargetMode="External"/><Relationship Id="rId23" Type="http://schemas.openxmlformats.org/officeDocument/2006/relationships/hyperlink" Target="https://terapia.co.uk/wp-content/uploads/2020/05/07-Effects-of-Neuro-Linguistic-Psychotherapy-on-psychological-dificulities-and-perceived-quality-of-life.pdf" TargetMode="External"/><Relationship Id="rId24" Type="http://schemas.openxmlformats.org/officeDocument/2006/relationships/hyperlink" Target="https://www.nlpt.at/res2.pdf" TargetMode="External"/><Relationship Id="rId25" Type="http://schemas.openxmlformats.org/officeDocument/2006/relationships/hyperlink" Target="https://journals.pan.pl/Content/99644/PDF/03.pdf" TargetMode="External"/><Relationship Id="rId26" Type="http://schemas.openxmlformats.org/officeDocument/2006/relationships/hyperlink" Target="https://journals.plos.org/plosone/article/file?id=10.1371%2Fjournal.pone.0040259&amp;type=printable" TargetMode="External"/><Relationship Id="rId27" Type="http://schemas.openxmlformats.org/officeDocument/2006/relationships/hyperlink" Target="https://pubmed.ncbi.nlm.nih.gov/23211179/" TargetMode="External"/><Relationship Id="rId28" Type="http://schemas.openxmlformats.org/officeDocument/2006/relationships/hyperlink" Target="https://terapia.co.uk/wp-content/uploads/2020/05/07-Effects-of-Neuro-Linguistic-Psychotherapy-on-psychological-dificulities-and-perceived-quality-of-life.pdf" TargetMode="External"/><Relationship Id="rId29" Type="http://schemas.openxmlformats.org/officeDocument/2006/relationships/hyperlink" Target="https://nlpt.com/res6.pdf" TargetMode="External"/><Relationship Id="rId30" Type="http://schemas.openxmlformats.org/officeDocument/2006/relationships/hyperlink" Target="https://pubmed.ncbi.nlm.nih.gov/26117212/" TargetMode="External"/><Relationship Id="rId31" Type="http://schemas.openxmlformats.org/officeDocument/2006/relationships/hyperlink" Target="https://www.nlpt.at/res2.pdf" TargetMode="External"/><Relationship Id="rId32" Type="http://schemas.openxmlformats.org/officeDocument/2006/relationships/hyperlink" Target="https://www.nlpt.at/res21.pdf" TargetMode="External"/><Relationship Id="rId33" Type="http://schemas.openxmlformats.org/officeDocument/2006/relationships/hyperlink" Target="https://centaur.reading.ac.uk/91275/3/Passmore%20%26%20Rowson%20-%20FINAL9Nov18.pdf" TargetMode="External"/><Relationship Id="rId34" Type="http://schemas.openxmlformats.org/officeDocument/2006/relationships/hyperlink" Target="https://pubmed.ncbi.nlm.nih.gov/39213951/" TargetMode="External"/><Relationship Id="rId35" Type="http://schemas.openxmlformats.org/officeDocument/2006/relationships/hyperlink" Target="https://www.nlpt.at/res21.pdf" TargetMode="External"/><Relationship Id="rId36" Type="http://schemas.openxmlformats.org/officeDocument/2006/relationships/hyperlink" Target="https://pubmed.ncbi.nlm.nih.gov/23211179/" TargetMode="External"/><Relationship Id="rId37" Type="http://schemas.openxmlformats.org/officeDocument/2006/relationships/hyperlink" Target="https://www.testingstandards.net/uploads/7/6/6/4/76643089/standards_2014edition.pdf" TargetMode="External"/><Relationship Id="rId38" Type="http://schemas.openxmlformats.org/officeDocument/2006/relationships/hyperlink" Target="https://www.advisio.pro/user/themes/plabs/assets/docs/Broszura_Insightful_Profiler_iP121.pdf" TargetMode="External"/><Relationship Id="rId39" Type="http://schemas.openxmlformats.org/officeDocument/2006/relationships/hyperlink" Target="https://www.advisio.pro/user/themes/plabs/assets/docs/Broszura_Insightful_Profiler_iP121.pdf" TargetMode="External"/><Relationship Id="rId40" Type="http://schemas.openxmlformats.org/officeDocument/2006/relationships/hyperlink" Target="https://www.advisio.pro/user/themes/plabs/assets/docs/Broszura_Insightful_Profiler_iP121.pdf" TargetMode="External"/><Relationship Id="rId41" Type="http://schemas.openxmlformats.org/officeDocument/2006/relationships/hyperlink" Target="https://www.advisio.pro/user/themes/plabs/assets/docs/Broszura_Insightful_Profiler_iP121.pdf" TargetMode="External"/><Relationship Id="rId42" Type="http://schemas.openxmlformats.org/officeDocument/2006/relationships/hyperlink" Target="https://www.advisio.pro/user/themes/plabs/assets/docs/Broszura_Insightful_Profiler_iP121.pdf" TargetMode="External"/><Relationship Id="rId43" Type="http://schemas.openxmlformats.org/officeDocument/2006/relationships/hyperlink" Target="https://www.advisio.pro/user/themes/plabs/assets/docs/Broszura_Insightful_Profiler_iP121.pdf" TargetMode="External"/><Relationship Id="rId44" Type="http://schemas.openxmlformats.org/officeDocument/2006/relationships/hyperlink" Target="https://www.advisio.pro/user/themes/plabs/assets/docs/Broszura_Insightful_Profiler_iP121.pdf" TargetMode="External"/><Relationship Id="rId45" Type="http://schemas.openxmlformats.org/officeDocument/2006/relationships/hyperlink" Target="https://www.advisio.pro/user/themes/plabs/assets/docs/Broszura_Insightful_Profiler_iP121.pdf" TargetMode="External"/><Relationship Id="rId46" Type="http://schemas.openxmlformats.org/officeDocument/2006/relationships/hyperlink" Target="https://www.advisio.pro/user/themes/plabs/assets/docs/Broszura_Insightful_Profiler_iP121.pdf" TargetMode="External"/><Relationship Id="rId47" Type="http://schemas.openxmlformats.org/officeDocument/2006/relationships/hyperlink" Target="https://www.advisio.pro/user/themes/plabs/assets/docs/Broszura_Insightful_Profiler_iP121.pdf" TargetMode="External"/><Relationship Id="rId48" Type="http://schemas.openxmlformats.org/officeDocument/2006/relationships/hyperlink" Target="https://www.advisio.pro/user/themes/plabs/assets/docs/Broszura_Insightful_Profiler_iP121.pdf" TargetMode="External"/><Relationship Id="rId49" Type="http://schemas.openxmlformats.org/officeDocument/2006/relationships/hyperlink" Target="https://www.advisio.pro/user/themes/plabs/assets/docs/Raport_iP_Coach.pdf" TargetMode="External"/><Relationship Id="rId50" Type="http://schemas.openxmlformats.org/officeDocument/2006/relationships/hyperlink" Target="https://www.advisio.pro/aktualnosci/26-885-kompletnych-profili-w-nowych-normach-ip121" TargetMode="External"/><Relationship Id="rId51" Type="http://schemas.openxmlformats.org/officeDocument/2006/relationships/hyperlink" Target="https://www.advisio.pro/user/themes/plabs/assets/docs/Broszura_Insightful_Profiler_iP121.pdf" TargetMode="External"/><Relationship Id="rId52" Type="http://schemas.openxmlformats.org/officeDocument/2006/relationships/hyperlink" Target="https://www.advisio.pro/user/themes/plabs/assets/docs/Broszura_Insightful_Profiler_iP121.pdf" TargetMode="External"/><Relationship Id="rId53" Type="http://schemas.openxmlformats.org/officeDocument/2006/relationships/hyperlink" Target="https://www.intestcom.org/files/guideline_test_use.pdf" TargetMode="External"/><Relationship Id="rId54" Type="http://schemas.openxmlformats.org/officeDocument/2006/relationships/hyperlink" Target="https://www.advisio.pro/user/themes/plabs/assets/docs/Broszura_Insightful_Profiler_iP121.pdf" TargetMode="External"/><Relationship Id="rId55" Type="http://schemas.openxmlformats.org/officeDocument/2006/relationships/hyperlink" Target="https://www.advisio.pro/user/themes/plabs/assets/docs/Broszura_Insightful_Profiler_iP121.pdf" TargetMode="External"/><Relationship Id="rId56" Type="http://schemas.openxmlformats.org/officeDocument/2006/relationships/hyperlink" Target="https://www.parinc.com/products/NEO-PI-3-NU" TargetMode="External"/><Relationship Id="rId57" Type="http://schemas.openxmlformats.org/officeDocument/2006/relationships/hyperlink" Target="https://www.colby.edu/academics/departments-and-programs/psychology/research-opportunities/personality-lab/the-bfi-2/" TargetMode="External"/><Relationship Id="rId58" Type="http://schemas.openxmlformats.org/officeDocument/2006/relationships/hyperlink" Target="https://hrmforce.com/wp-content/uploads/2021/03/OPQ32-BPS-Review-2007.pdf" TargetMode="External"/><Relationship Id="rId59" Type="http://schemas.openxmlformats.org/officeDocument/2006/relationships/hyperlink" Target="https://www.crownedgrace.com/wp-content/uploads/2016/04/Hogan-Personality-Inventory.pdf" TargetMode="External"/><Relationship Id="rId60" Type="http://schemas.openxmlformats.org/officeDocument/2006/relationships/hyperlink" Target="https://www.advisio.pro/user/themes/plabs/assets/docs/Broszura_Insightful_Profiler_iP121.pdf" TargetMode="External"/><Relationship Id="rId61" Type="http://schemas.openxmlformats.org/officeDocument/2006/relationships/hyperlink" Target="https://psych.org.pl/dla-psychologow/kodeks-etyczny" TargetMode="External"/><Relationship Id="rId62" Type="http://schemas.openxmlformats.org/officeDocument/2006/relationships/hyperlink" Target="https://terapia.co.uk/wp-content/uploads/2020/05/07-Effects-of-Neuro-Linguistic-Psychotherapy-on-psychological-dificulities-and-perceived-quality-of-life.pdf" TargetMode="External"/><Relationship Id="rId63" Type="http://schemas.openxmlformats.org/officeDocument/2006/relationships/hyperlink" Target="https://www.intestcom.org/files/guideline_test_use.pdf" TargetMode="External"/><Relationship Id="rId64" Type="http://schemas.openxmlformats.org/officeDocument/2006/relationships/hyperlink" Target="https://eur-lex.europa.eu/eli/reg/2016/679/oj/pol" TargetMode="External"/><Relationship Id="rId65" Type="http://schemas.openxmlformats.org/officeDocument/2006/relationships/hyperlink" Target="https://isap.sejm.gov.pl/isap.nsf/download.xsp/WDU19740240141/U/D19740141Lj.pdf" TargetMode="External"/><Relationship Id="rId66" Type="http://schemas.openxmlformats.org/officeDocument/2006/relationships/hyperlink" Target="https://www.advisio.pro/aktualnosci/26-885-kompletnych-profili-w-nowych-normach-ip121" TargetMode="External"/><Relationship Id="rId67" Type="http://schemas.openxmlformats.org/officeDocument/2006/relationships/hyperlink" Target="https://www.advisio.pro/aktualnosci/26-885-kompletnych-profili-w-nowych-normach-ip121" TargetMode="External"/><Relationship Id="rId68" Type="http://schemas.openxmlformats.org/officeDocument/2006/relationships/hyperlink" Target="https://psych.org.pl/dla-psychologow/tytul-domyslny" TargetMode="External"/><Relationship Id="rId69" Type="http://schemas.openxmlformats.org/officeDocument/2006/relationships/hyperlink" Target="https://www.advisio.pro/user/themes/plabs/assets/docs/Broszura_Insightful_Profiler_iP121.pdf" TargetMode="External"/><Relationship Id="rId70" Type="http://schemas.openxmlformats.org/officeDocument/2006/relationships/hyperlink" Target="https://terapia.co.uk/wp-content/uploads/2020/05/07-Effects-of-Neuro-Linguistic-Psychotherapy-on-psychological-dificulities-and-perceived-quality-of-life.pdf" TargetMode="External"/><Relationship Id="rId71" Type="http://schemas.openxmlformats.org/officeDocument/2006/relationships/hyperlink" Target="https://www.intestcom.org/files/guideline_test_use.pdf" TargetMode="External"/><Relationship Id="rId72" Type="http://schemas.openxmlformats.org/officeDocument/2006/relationships/hyperlink" Target="https://psych.org.pl/dla-psychologow/tytul-domyslny" TargetMode="External"/><Relationship Id="rId73" Type="http://schemas.openxmlformats.org/officeDocument/2006/relationships/hyperlink" Target="https://eur-lex.europa.eu/eli/reg/2016/679/oj/pol" TargetMode="External"/><Relationship Id="rId74" Type="http://schemas.openxmlformats.org/officeDocument/2006/relationships/hyperlink" Target="https://isap.sejm.gov.pl/isap.nsf/download.xsp/WDU19740240141/U/D19740141Lj.pdf" TargetMode="External"/><Relationship Id="rId75" Type="http://schemas.openxmlformats.org/officeDocument/2006/relationships/hyperlink" Target="https://www.advisio.pro/aktualnosci/26-885-kompletnych-profili-w-nowych-normach-ip121" TargetMode="External"/><Relationship Id="rId76" Type="http://schemas.openxmlformats.org/officeDocument/2006/relationships/hyperlink" Target="https://www.advisio.pro/aktualnosci/26-885-kompletnych-profili-w-nowych-normach-ip121" TargetMode="External"/><Relationship Id="rId77" Type="http://schemas.openxmlformats.org/officeDocument/2006/relationships/hyperlink" Target="https://www.infocop.es/wp-content/uploads/2025/09/efpa_test_review_model_v2025_5.pdf" TargetMode="External"/><Relationship Id="rId78" Type="http://schemas.openxmlformats.org/officeDocument/2006/relationships/hyperlink" Target="https://pubmed.ncbi.nlm.nih.gov/23211179/" TargetMode="External"/><Relationship Id="rId79" Type="http://schemas.openxmlformats.org/officeDocument/2006/relationships/hyperlink" Target="https://centaur.reading.ac.uk/91275/3/Passmore%20%26%20Rowson%20-%20FINAL9Nov18.pdf" TargetMode="External"/><Relationship Id="rId80" Type="http://schemas.openxmlformats.org/officeDocument/2006/relationships/hyperlink" Target="https://centaur.reading.ac.uk/91275/3/Passmore%20%26%20Rowson%20-%20FINAL9Nov18.pdf" TargetMode="External"/><Relationship Id="rId81" Type="http://schemas.openxmlformats.org/officeDocument/2006/relationships/hyperlink" Target="https://centaur.reading.ac.uk/91275/3/Passmore%20%26%20Rowson%20-%20FINAL9Nov18.pdf" TargetMode="External"/><Relationship Id="rId82" Type="http://schemas.openxmlformats.org/officeDocument/2006/relationships/hyperlink" Target="https://centaur.reading.ac.uk/91275/3/Passmore%20%26%20Rowson%20-%20FINAL9Nov18.pdf" TargetMode="External"/><Relationship Id="rId83" Type="http://schemas.openxmlformats.org/officeDocument/2006/relationships/hyperlink" Target="https://centaur.reading.ac.uk/91275/3/Passmore%20%26%20Rowson%20-%20FINAL9Nov18.pdf" TargetMode="External"/><Relationship Id="rId84" Type="http://schemas.openxmlformats.org/officeDocument/2006/relationships/hyperlink" Target="https://centaur.reading.ac.uk/91275/3/Passmore%20%26%20Rowson%20-%20FINAL9Nov18.pdf" TargetMode="External"/><Relationship Id="rId85" Type="http://schemas.openxmlformats.org/officeDocument/2006/relationships/hyperlink" Target="https://centaur.reading.ac.uk/91275/3/Passmore%20%26%20Rowson%20-%20FINAL9Nov18.pdf" TargetMode="External"/><Relationship Id="rId86" Type="http://schemas.openxmlformats.org/officeDocument/2006/relationships/hyperlink" Target="https://pubmed.ncbi.nlm.nih.gov/23211179/" TargetMode="External"/><Relationship Id="rId87" Type="http://schemas.openxmlformats.org/officeDocument/2006/relationships/hyperlink" Target="https://pubmed.ncbi.nlm.nih.gov/23211179/" TargetMode="External"/><Relationship Id="rId88" Type="http://schemas.openxmlformats.org/officeDocument/2006/relationships/hyperlink" Target="https://pubmed.ncbi.nlm.nih.gov/23211179/" TargetMode="External"/><Relationship Id="rId89" Type="http://schemas.openxmlformats.org/officeDocument/2006/relationships/hyperlink" Target="https://pubmed.ncbi.nlm.nih.gov/23211179/" TargetMode="External"/><Relationship Id="rId90" Type="http://schemas.openxmlformats.org/officeDocument/2006/relationships/hyperlink" Target="https://pubmed.ncbi.nlm.nih.gov/23211179/" TargetMode="External"/><Relationship Id="rId91" Type="http://schemas.openxmlformats.org/officeDocument/2006/relationships/hyperlink" Target="https://journals.plos.org/plosone/article/file?id=10.1371%2Fjournal.pone.0040259&amp;type=printable" TargetMode="External"/><Relationship Id="rId92" Type="http://schemas.openxmlformats.org/officeDocument/2006/relationships/hyperlink" Target="https://journals.plos.org/plosone/article/file?id=10.1371%2Fjournal.pone.0040259&amp;type=printable" TargetMode="External"/><Relationship Id="rId93" Type="http://schemas.openxmlformats.org/officeDocument/2006/relationships/hyperlink" Target="https://journals.plos.org/plosone/article/file?id=10.1371%2Fjournal.pone.0040259&amp;type=printable" TargetMode="External"/><Relationship Id="rId94" Type="http://schemas.openxmlformats.org/officeDocument/2006/relationships/hyperlink" Target="https://journals.plos.org/plosone/article/file?id=10.1371%2Fjournal.pone.0040259&amp;type=printable" TargetMode="External"/><Relationship Id="rId95" Type="http://schemas.openxmlformats.org/officeDocument/2006/relationships/hyperlink" Target="https://www.advisio.pro/user/themes/plabs/assets/docs/Broszura_Insightful_Profiler_iP121.pdf" TargetMode="External"/><Relationship Id="rId96" Type="http://schemas.openxmlformats.org/officeDocument/2006/relationships/hyperlink" Target="https://www.advisio.pro/user/themes/plabs/assets/docs/Broszura_Insightful_Profiler_iP121.pdf" TargetMode="External"/><Relationship Id="rId97" Type="http://schemas.openxmlformats.org/officeDocument/2006/relationships/hyperlink" Target="https://www.advisio.pro/user/themes/plabs/assets/docs/Broszura_Insightful_Profiler_iP121.pdf" TargetMode="External"/><Relationship Id="rId98" Type="http://schemas.openxmlformats.org/officeDocument/2006/relationships/hyperlink" Target="https://www.advisio.pro/user/themes/plabs/assets/docs/Broszura_Insightful_Profiler_iP121.pdf" TargetMode="External"/><Relationship Id="rId99" Type="http://schemas.openxmlformats.org/officeDocument/2006/relationships/hyperlink" Target="https://www.advisio.pro/user/themes/plabs/assets/docs/Broszura_Insightful_Profiler_iP121.pdf" TargetMode="External"/><Relationship Id="rId100" Type="http://schemas.openxmlformats.org/officeDocument/2006/relationships/hyperlink" Target="https://www.advisio.pro/user/themes/plabs/assets/docs/Broszura_Insightful_Profiler_iP121.pdf" TargetMode="External"/><Relationship Id="rId101" Type="http://schemas.openxmlformats.org/officeDocument/2006/relationships/hyperlink" Target="https://www.advisio.pro/user/themes/plabs/assets/docs/Broszura_Insightful_Profiler_iP121.pdf" TargetMode="External"/><Relationship Id="rId102" Type="http://schemas.openxmlformats.org/officeDocument/2006/relationships/hyperlink" Target="https://www.advisio.pro/user/themes/plabs/assets/docs/Broszura_Insightful_Profiler_iP121.pdf" TargetMode="External"/><Relationship Id="rId103" Type="http://schemas.openxmlformats.org/officeDocument/2006/relationships/hyperlink" Target="https://www.advisio.pro/user/themes/plabs/assets/docs/Broszura_Insightful_Profiler_iP121.pdf" TargetMode="External"/><Relationship Id="rId104" Type="http://schemas.openxmlformats.org/officeDocument/2006/relationships/hyperlink" Target="https://www.advisio.pro/user/themes/plabs/assets/docs/Broszura_Insightful_Profiler_iP121.pdf" TargetMode="External"/><Relationship Id="rId105" Type="http://schemas.openxmlformats.org/officeDocument/2006/relationships/hyperlink" Target="https://journals.pan.pl/Content/99644/PDF/03.pdf" TargetMode="External"/><Relationship Id="rId106" Type="http://schemas.openxmlformats.org/officeDocument/2006/relationships/hyperlink" Target="https://journals.pan.pl/Content/99644/PDF/03.pdf" TargetMode="External"/><Relationship Id="rId107" Type="http://schemas.openxmlformats.org/officeDocument/2006/relationships/hyperlink" Target="https://journals.pan.pl/Content/99644/PDF/03.pdf" TargetMode="External"/><Relationship Id="rId108" Type="http://schemas.openxmlformats.org/officeDocument/2006/relationships/hyperlink" Target="https://journals.pan.pl/Content/99644/PDF/03.pdf" TargetMode="External"/><Relationship Id="rId109" Type="http://schemas.openxmlformats.org/officeDocument/2006/relationships/hyperlink" Target="https://www.advisio.pro/" TargetMode="External"/><Relationship Id="rId110" Type="http://schemas.openxmlformats.org/officeDocument/2006/relationships/hyperlink" Target="https://www.advisio.pro/" TargetMode="External"/><Relationship Id="rId111" Type="http://schemas.openxmlformats.org/officeDocument/2006/relationships/hyperlink" Target="https://www.advisio.pro/" TargetMode="External"/><Relationship Id="rId112" Type="http://schemas.openxmlformats.org/officeDocument/2006/relationships/hyperlink" Target="https://www.testingstandards.net/uploads/7/6/6/4/76643089/standards_2014edition.pdf" TargetMode="External"/><Relationship Id="rId113" Type="http://schemas.openxmlformats.org/officeDocument/2006/relationships/hyperlink" Target="https://www.testingstandards.net/uploads/7/6/6/4/76643089/standards_2014edition.pdf" TargetMode="External"/><Relationship Id="rId114" Type="http://schemas.openxmlformats.org/officeDocument/2006/relationships/hyperlink" Target="https://isap.sejm.gov.pl/isap.nsf/download.xsp/WDU19740240141/U/D19740141Lj.pdf" TargetMode="External"/><Relationship Id="rId115" Type="http://schemas.openxmlformats.org/officeDocument/2006/relationships/hyperlink" Target="https://isap.sejm.gov.pl/isap.nsf/download.xsp/WDU19740240141/U/D19740141Lj.pdf" TargetMode="External"/><Relationship Id="rId116" Type="http://schemas.openxmlformats.org/officeDocument/2006/relationships/hyperlink" Target="https://isap.sejm.gov.pl/isap.nsf/download.xsp/WDU19740240141/U/D19740141Lj.pdf" TargetMode="External"/><Relationship Id="rId117" Type="http://schemas.openxmlformats.org/officeDocument/2006/relationships/hyperlink" Target="https://bjgp.org/content/62/604/e757.full-text.pdf" TargetMode="External"/><Relationship Id="rId118" Type="http://schemas.openxmlformats.org/officeDocument/2006/relationships/hyperlink" Target="https://bjgp.org/content/62/604/e757.full-text.pdf" TargetMode="External"/><Relationship Id="rId119" Type="http://schemas.openxmlformats.org/officeDocument/2006/relationships/hyperlink" Target="https://www.nlpt.at/res21.pdf" TargetMode="External"/><Relationship Id="rId120" Type="http://schemas.openxmlformats.org/officeDocument/2006/relationships/hyperlink" Target="https://www.nlpt.at/res21.pdf" TargetMode="External"/><Relationship Id="rId121" Type="http://schemas.openxmlformats.org/officeDocument/2006/relationships/hyperlink" Target="https://www.nlpt.at/res21.pdf" TargetMode="External"/><Relationship Id="rId122" Type="http://schemas.openxmlformats.org/officeDocument/2006/relationships/hyperlink" Target="https://www.nlpt.at/res21.pdf" TargetMode="External"/><Relationship Id="rId123" Type="http://schemas.openxmlformats.org/officeDocument/2006/relationships/hyperlink" Target="https://terapia.co.uk/wp-content/uploads/2020/05/07-Effects-of-Neuro-Linguistic-Psychotherapy-on-psychological-dificulities-and-perceived-quality-of-life.pdf" TargetMode="External"/><Relationship Id="rId124" Type="http://schemas.openxmlformats.org/officeDocument/2006/relationships/hyperlink" Target="https://terapia.co.uk/wp-content/uploads/2020/05/07-Effects-of-Neuro-Linguistic-Psychotherapy-on-psychological-dificulities-and-perceived-quality-of-life.pdf" TargetMode="External"/><Relationship Id="rId125" Type="http://schemas.openxmlformats.org/officeDocument/2006/relationships/hyperlink" Target="https://terapia.co.uk/wp-content/uploads/2020/05/07-Effects-of-Neuro-Linguistic-Psychotherapy-on-psychological-dificulities-and-perceived-quality-of-life.pdf" TargetMode="External"/><Relationship Id="rId126" Type="http://schemas.openxmlformats.org/officeDocument/2006/relationships/hyperlink" Target="https://terapia.co.uk/wp-content/uploads/2020/05/07-Effects-of-Neuro-Linguistic-Psychotherapy-on-psychological-dificulities-and-perceived-quality-of-life.pdf" TargetMode="External"/><Relationship Id="rId127" Type="http://schemas.openxmlformats.org/officeDocument/2006/relationships/hyperlink" Target="https://www.nlpt.at/res2.pdf" TargetMode="External"/><Relationship Id="rId128" Type="http://schemas.openxmlformats.org/officeDocument/2006/relationships/hyperlink" Target="https://www.nlpt.at/res2.pdf" TargetMode="External"/><Relationship Id="rId129" Type="http://schemas.openxmlformats.org/officeDocument/2006/relationships/hyperlink" Target="https://nlpt.com/res6.pdf" TargetMode="External"/><Relationship Id="rId130" Type="http://schemas.openxmlformats.org/officeDocument/2006/relationships/hyperlink" Target="https://nlpt.com/res6.pdf" TargetMode="External"/><Relationship Id="rId131" Type="http://schemas.openxmlformats.org/officeDocument/2006/relationships/hyperlink" Target="https://pubmed.ncbi.nlm.nih.gov/26117212/" TargetMode="External"/><Relationship Id="rId132" Type="http://schemas.openxmlformats.org/officeDocument/2006/relationships/hyperlink" Target="https://pubmed.ncbi.nlm.nih.gov/26117212/" TargetMode="External"/><Relationship Id="rId133" Type="http://schemas.openxmlformats.org/officeDocument/2006/relationships/hyperlink" Target="https://pubmed.ncbi.nlm.nih.gov/39213951/" TargetMode="External"/><Relationship Id="rId134" Type="http://schemas.openxmlformats.org/officeDocument/2006/relationships/hyperlink" Target="https://pubmed.ncbi.nlm.nih.gov/39213951/" TargetMode="External"/><Relationship Id="rId135" Type="http://schemas.openxmlformats.org/officeDocument/2006/relationships/hyperlink" Target="https://www.advisio.pro/user/themes/plabs/assets/docs/Raport_iP_Coach.pdf" TargetMode="External"/><Relationship Id="rId136" Type="http://schemas.openxmlformats.org/officeDocument/2006/relationships/hyperlink" Target="https://www.advisio.pro/user/themes/plabs/assets/docs/Raport_iP_Coach.pdf" TargetMode="External"/><Relationship Id="rId137" Type="http://schemas.openxmlformats.org/officeDocument/2006/relationships/hyperlink" Target="https://www.advisio.pro/aktualnosci/26-885-kompletnych-profili-w-nowych-normach-ip121" TargetMode="External"/><Relationship Id="rId138" Type="http://schemas.openxmlformats.org/officeDocument/2006/relationships/hyperlink" Target="https://www.advisio.pro/aktualnosci/26-885-kompletnych-profili-w-nowych-normach-ip121" TargetMode="External"/><Relationship Id="rId139" Type="http://schemas.openxmlformats.org/officeDocument/2006/relationships/hyperlink" Target="https://www.advisio.pro/aktualnosci/26-885-kompletnych-profili-w-nowych-normach-ip121" TargetMode="External"/><Relationship Id="rId140" Type="http://schemas.openxmlformats.org/officeDocument/2006/relationships/hyperlink" Target="https://www.advisio.pro/aktualnosci/26-885-kompletnych-profili-w-nowych-normach-ip121" TargetMode="External"/><Relationship Id="rId141" Type="http://schemas.openxmlformats.org/officeDocument/2006/relationships/hyperlink" Target="https://www.intestcom.org/files/guideline_test_use.pdf" TargetMode="External"/><Relationship Id="rId142" Type="http://schemas.openxmlformats.org/officeDocument/2006/relationships/hyperlink" Target="https://www.intestcom.org/files/guideline_test_use.pdf" TargetMode="External"/><Relationship Id="rId143" Type="http://schemas.openxmlformats.org/officeDocument/2006/relationships/hyperlink" Target="https://www.intestcom.org/files/guideline_test_use.pdf" TargetMode="External"/><Relationship Id="rId144" Type="http://schemas.openxmlformats.org/officeDocument/2006/relationships/hyperlink" Target="https://www.parinc.com/products/NEO-PI-3-NU" TargetMode="External"/><Relationship Id="rId145" Type="http://schemas.openxmlformats.org/officeDocument/2006/relationships/hyperlink" Target="https://www.parinc.com/products/NEO-PI-3-NU" TargetMode="External"/><Relationship Id="rId146" Type="http://schemas.openxmlformats.org/officeDocument/2006/relationships/hyperlink" Target="https://www.colby.edu/academics/departments-and-programs/psychology/research-opportunities/personality-lab/the-bfi-2/" TargetMode="External"/><Relationship Id="rId147" Type="http://schemas.openxmlformats.org/officeDocument/2006/relationships/hyperlink" Target="https://www.colby.edu/academics/departments-and-programs/psychology/research-opportunities/personality-lab/the-bfi-2/" TargetMode="External"/><Relationship Id="rId148" Type="http://schemas.openxmlformats.org/officeDocument/2006/relationships/hyperlink" Target="https://hrmforce.com/wp-content/uploads/2021/03/OPQ32-BPS-Review-2007.pdf" TargetMode="External"/><Relationship Id="rId149" Type="http://schemas.openxmlformats.org/officeDocument/2006/relationships/hyperlink" Target="https://hrmforce.com/wp-content/uploads/2021/03/OPQ32-BPS-Review-2007.pdf" TargetMode="External"/><Relationship Id="rId150" Type="http://schemas.openxmlformats.org/officeDocument/2006/relationships/hyperlink" Target="https://www.crownedgrace.com/wp-content/uploads/2016/04/Hogan-Personality-Inventory.pdf" TargetMode="External"/><Relationship Id="rId151" Type="http://schemas.openxmlformats.org/officeDocument/2006/relationships/hyperlink" Target="https://www.crownedgrace.com/wp-content/uploads/2016/04/Hogan-Personality-Inventory.pdf" TargetMode="External"/><Relationship Id="rId152" Type="http://schemas.openxmlformats.org/officeDocument/2006/relationships/hyperlink" Target="https://psych.org.pl/dla-psychologow/kodeks-etyczny" TargetMode="External"/><Relationship Id="rId153" Type="http://schemas.openxmlformats.org/officeDocument/2006/relationships/hyperlink" Target="https://psych.org.pl/dla-psychologow/kodeks-etyczny" TargetMode="External"/><Relationship Id="rId154" Type="http://schemas.openxmlformats.org/officeDocument/2006/relationships/hyperlink" Target="https://eur-lex.europa.eu/eli/reg/2016/679/oj/pol" TargetMode="External"/><Relationship Id="rId155" Type="http://schemas.openxmlformats.org/officeDocument/2006/relationships/hyperlink" Target="https://eur-lex.europa.eu/eli/reg/2016/679/oj/pol" TargetMode="External"/><Relationship Id="rId156" Type="http://schemas.openxmlformats.org/officeDocument/2006/relationships/hyperlink" Target="https://eur-lex.europa.eu/eli/reg/2016/679/oj/pol" TargetMode="External"/><Relationship Id="rId157" Type="http://schemas.openxmlformats.org/officeDocument/2006/relationships/hyperlink" Target="https://psych.org.pl/dla-psychologow/tytul-domyslny" TargetMode="External"/><Relationship Id="rId158" Type="http://schemas.openxmlformats.org/officeDocument/2006/relationships/hyperlink" Target="https://psych.org.pl/dla-psychologow/tytul-domyslny" TargetMode="External"/><Relationship Id="rId159" Type="http://schemas.openxmlformats.org/officeDocument/2006/relationships/hyperlink" Target="https://psych.org.pl/dla-psychologow/tytul-domyslny" TargetMode="External"/><Relationship Id="rId160" Type="http://schemas.openxmlformats.org/officeDocument/2006/relationships/hyperlink" Target="https://www.infocop.es/wp-content/uploads/2025/09/efpa_test_review_model_v2025_5.pdf" TargetMode="External"/><Relationship Id="rId161" Type="http://schemas.openxmlformats.org/officeDocument/2006/relationships/hyperlink" Target="https://www.infocop.es/wp-content/uploads/2025/09/efpa_test_review_model_v2025_5.pdf" TargetMode="External"/><Relationship Id="rId162" Type="http://schemas.openxmlformats.org/officeDocument/2006/relationships/fontTable" Target="fontTable.xml"/><Relationship Id="rId163" Type="http://schemas.openxmlformats.org/officeDocument/2006/relationships/settings" Target="settings.xml"/><Relationship Id="rId1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LibreOffice/25.8.5.2$Linux_X86_64 LibreOffice_project/580$Build-2</Application>
  <AppVersion>15.0000</AppVersion>
  <Pages>22</Pages>
  <Words>4666</Words>
  <Characters>34244</Characters>
  <CharactersWithSpaces>38586</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2026-06-13T11:23:49Z</dcterms:created>
  <dc:creator/>
  <dc:description/>
  <dc:language>pl</dc:language>
  <cp:lastModifiedBy/>
  <cp:lastPrinted>2026-06-13T15:25:41Z</cp:lastPrinted>
  <dcterms:modified xsi:type="dcterms:W3CDTF">2026-06-13T15:25:57Z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