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jc w:val="center"/>
        <w:rPr>
          <w:rFonts w:ascii="Google Sans" w:cs="Google Sans" w:eastAsia="Google Sans" w:hAnsi="Google Sans"/>
          <w:u w:val="single"/>
        </w:rPr>
      </w:pPr>
      <w:r w:rsidDel="00000000" w:rsidR="00000000" w:rsidRPr="00000000">
        <w:rPr>
          <w:rFonts w:ascii="Google Sans" w:cs="Google Sans" w:eastAsia="Google Sans" w:hAnsi="Google Sans"/>
          <w:u w:val="single"/>
          <w:rtl w:val="0"/>
        </w:rPr>
        <w:t xml:space="preserve">Naukowe ujęcie manipulacji kulturowej</w:t>
      </w:r>
    </w:p>
    <w:sdt>
      <w:sdtPr>
        <w:id w:val="-1636231897"/>
        <w:docPartObj>
          <w:docPartGallery w:val="Table of Contents"/>
          <w:docPartUnique w:val="1"/>
        </w:docPartObj>
      </w:sdtPr>
      <w:sdtContent>
        <w:p w:rsidR="00000000" w:rsidDel="00000000" w:rsidP="00000000" w:rsidRDefault="00000000" w:rsidRPr="00000000" w14:paraId="00000002">
          <w:pPr>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Naukowe ujęcie manipulacji kulturowej</w:t>
              <w:tab/>
              <w:t xml:space="preserve">1</w:t>
            </w:r>
          </w:hyperlink>
          <w:r w:rsidDel="00000000" w:rsidR="00000000" w:rsidRPr="00000000">
            <w:rPr>
              <w:rtl w:val="0"/>
            </w:rPr>
          </w:r>
        </w:p>
        <w:p w:rsidR="00000000" w:rsidDel="00000000" w:rsidP="00000000" w:rsidRDefault="00000000" w:rsidRPr="00000000" w14:paraId="00000003">
          <w:pPr>
            <w:tabs>
              <w:tab w:val="right" w:leader="none" w:pos="12000"/>
            </w:tabs>
            <w:spacing w:after="0" w:before="60" w:line="240" w:lineRule="auto"/>
            <w:ind w:left="36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1. Definicja naukowa manipulacji kulturowej</w:t>
              <w:tab/>
              <w:t xml:space="preserve">1</w:t>
            </w:r>
          </w:hyperlink>
          <w:r w:rsidDel="00000000" w:rsidR="00000000" w:rsidRPr="00000000">
            <w:rPr>
              <w:rtl w:val="0"/>
            </w:rPr>
          </w:r>
        </w:p>
        <w:p w:rsidR="00000000" w:rsidDel="00000000" w:rsidP="00000000" w:rsidRDefault="00000000" w:rsidRPr="00000000" w14:paraId="00000004">
          <w:pPr>
            <w:tabs>
              <w:tab w:val="right" w:leader="none" w:pos="12000"/>
            </w:tabs>
            <w:spacing w:after="0" w:before="60" w:line="240" w:lineRule="auto"/>
            <w:ind w:left="36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2. Hegemonia, przemysł i dynamika organizacyjna</w:t>
              <w:tab/>
              <w:t xml:space="preserve">2</w:t>
            </w:r>
          </w:hyperlink>
          <w:r w:rsidDel="00000000" w:rsidR="00000000" w:rsidRPr="00000000">
            <w:rPr>
              <w:rtl w:val="0"/>
            </w:rPr>
          </w:r>
        </w:p>
        <w:p w:rsidR="00000000" w:rsidDel="00000000" w:rsidP="00000000" w:rsidRDefault="00000000" w:rsidRPr="00000000" w14:paraId="00000005">
          <w:pPr>
            <w:tabs>
              <w:tab w:val="right" w:leader="none" w:pos="12000"/>
            </w:tabs>
            <w:spacing w:after="0" w:before="60" w:line="240" w:lineRule="auto"/>
            <w:ind w:left="36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3. Trójstronny model manipulacji społecznej</w:t>
              <w:tab/>
              <w:t xml:space="preserve">4</w:t>
            </w:r>
          </w:hyperlink>
          <w:r w:rsidDel="00000000" w:rsidR="00000000" w:rsidRPr="00000000">
            <w:rPr>
              <w:rtl w:val="0"/>
            </w:rPr>
          </w:r>
        </w:p>
        <w:p w:rsidR="00000000" w:rsidDel="00000000" w:rsidP="00000000" w:rsidRDefault="00000000" w:rsidRPr="00000000" w14:paraId="00000006">
          <w:pPr>
            <w:tabs>
              <w:tab w:val="right" w:leader="none" w:pos="12000"/>
            </w:tabs>
            <w:spacing w:after="0" w:before="60" w:line="240" w:lineRule="auto"/>
            <w:ind w:left="36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4. Metodologia eksperymentalna i neurobiologiczna operacjonalizacja torowania kulturowego</w:t>
              <w:tab/>
              <w:t xml:space="preserve">6</w:t>
            </w:r>
          </w:hyperlink>
          <w:r w:rsidDel="00000000" w:rsidR="00000000" w:rsidRPr="00000000">
            <w:rPr>
              <w:rtl w:val="0"/>
            </w:rPr>
          </w:r>
        </w:p>
        <w:p w:rsidR="00000000" w:rsidDel="00000000" w:rsidP="00000000" w:rsidRDefault="00000000" w:rsidRPr="00000000" w14:paraId="00000007">
          <w:pPr>
            <w:tabs>
              <w:tab w:val="right" w:leader="none" w:pos="12000"/>
            </w:tabs>
            <w:spacing w:after="0" w:before="60" w:line="240" w:lineRule="auto"/>
            <w:ind w:left="36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 Analiza przypadków empirycznych i zjawisk dezinformacyjnych</w:t>
              <w:tab/>
              <w:t xml:space="preserve">7</w:t>
            </w:r>
          </w:hyperlink>
          <w:r w:rsidDel="00000000" w:rsidR="00000000" w:rsidRPr="00000000">
            <w:rPr>
              <w:rtl w:val="0"/>
            </w:rPr>
          </w:r>
        </w:p>
        <w:p w:rsidR="00000000" w:rsidDel="00000000" w:rsidP="00000000" w:rsidRDefault="00000000" w:rsidRPr="00000000" w14:paraId="00000008">
          <w:pPr>
            <w:tabs>
              <w:tab w:val="right" w:leader="none" w:pos="12000"/>
            </w:tabs>
            <w:spacing w:after="0" w:before="60" w:line="240" w:lineRule="auto"/>
            <w:ind w:left="72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5.1. Wojny kulturowe, spektakle medialne i falsyfikacje historyczne</w:t>
              <w:tab/>
              <w:t xml:space="preserve">7</w:t>
            </w:r>
          </w:hyperlink>
          <w:r w:rsidDel="00000000" w:rsidR="00000000" w:rsidRPr="00000000">
            <w:rPr>
              <w:rtl w:val="0"/>
            </w:rPr>
          </w:r>
        </w:p>
        <w:p w:rsidR="00000000" w:rsidDel="00000000" w:rsidP="00000000" w:rsidRDefault="00000000" w:rsidRPr="00000000" w14:paraId="00000009">
          <w:pPr>
            <w:tabs>
              <w:tab w:val="right" w:leader="none" w:pos="12000"/>
            </w:tabs>
            <w:spacing w:after="0" w:before="60" w:line="240" w:lineRule="auto"/>
            <w:ind w:left="72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5.2. Asymilacja tożsamościowa i wykluczenie</w:t>
              <w:tab/>
              <w:t xml:space="preserve">8</w:t>
            </w:r>
          </w:hyperlink>
          <w:r w:rsidDel="00000000" w:rsidR="00000000" w:rsidRPr="00000000">
            <w:rPr>
              <w:rtl w:val="0"/>
            </w:rPr>
          </w:r>
        </w:p>
        <w:p w:rsidR="00000000" w:rsidDel="00000000" w:rsidP="00000000" w:rsidRDefault="00000000" w:rsidRPr="00000000" w14:paraId="0000000A">
          <w:pPr>
            <w:tabs>
              <w:tab w:val="right" w:leader="none" w:pos="12000"/>
            </w:tabs>
            <w:spacing w:after="0" w:before="60" w:line="240" w:lineRule="auto"/>
            <w:ind w:left="72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5.3. Ignorancja kompetencyjna elit medialnych i błędy geopolityczne</w:t>
              <w:tab/>
              <w:t xml:space="preserve">8</w:t>
            </w:r>
          </w:hyperlink>
          <w:r w:rsidDel="00000000" w:rsidR="00000000" w:rsidRPr="00000000">
            <w:rPr>
              <w:rtl w:val="0"/>
            </w:rPr>
          </w:r>
        </w:p>
        <w:p w:rsidR="00000000" w:rsidDel="00000000" w:rsidP="00000000" w:rsidRDefault="00000000" w:rsidRPr="00000000" w14:paraId="0000000B">
          <w:pPr>
            <w:tabs>
              <w:tab w:val="right" w:leader="none" w:pos="12000"/>
            </w:tabs>
            <w:spacing w:after="0" w:before="60" w:line="240" w:lineRule="auto"/>
            <w:ind w:left="72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5.4. Cyfrowy warsztat manipulacji i kampanie dezinformacyjne</w:t>
              <w:tab/>
              <w:t xml:space="preserve">9</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240" w:lineRule="auto"/>
            <w:ind w:left="36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6. Konsekwencje kliniczne i społeczno-psychologiczne</w:t>
              <w:tab/>
              <w:t xml:space="preserve">10</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240" w:lineRule="auto"/>
            <w:ind w:left="36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7. Wnioski i kierunki przeciwdziałania</w:t>
              <w:tab/>
              <w:t xml:space="preserve">11</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240" w:lineRule="auto"/>
            <w:ind w:left="1080" w:firstLine="0"/>
            <w:jc w:val="left"/>
            <w:rPr>
              <w:color w:val="000000"/>
              <w:u w:val="none"/>
            </w:rPr>
          </w:pPr>
          <w:hyperlink w:anchor="">
            <w:r w:rsidDel="00000000" w:rsidR="00000000" w:rsidRPr="00000000">
              <w:rPr>
                <w:rFonts w:ascii="Google Sans" w:cs="Google Sans" w:eastAsia="Google Sans" w:hAnsi="Google Sans"/>
                <w:b w:val="0"/>
                <w:bCs w:val="0"/>
                <w:i w:val="0"/>
                <w:iCs w:val="0"/>
                <w:smallCaps w:val="0"/>
                <w:strike w:val="0"/>
                <w:color w:val="000000"/>
                <w:sz w:val="22"/>
                <w:szCs w:val="22"/>
                <w:u w:val="none"/>
                <w:shd w:fill="auto" w:val="clear"/>
                <w:vertAlign w:val="baseline"/>
                <w:rtl w:val="0"/>
              </w:rPr>
              <w:t xml:space="preserve">Cytowane prace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numPr>
          <w:ilvl w:val="0"/>
          <w:numId w:val="5"/>
        </w:numPr>
        <w:ind w:left="720" w:hanging="360"/>
        <w:rPr>
          <w:sz w:val="32"/>
          <w:szCs w:val="32"/>
        </w:rPr>
      </w:pPr>
      <w:r w:rsidDel="00000000" w:rsidR="00000000" w:rsidRPr="00000000">
        <w:rPr>
          <w:sz w:val="32"/>
          <w:szCs w:val="32"/>
          <w:rtl w:val="0"/>
        </w:rPr>
        <w:t xml:space="preserve">Definicja naukowa manipulacji kulturowej</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Manipulacja kulturowa stanowi celowy, strukturalny i asymetryczny proces oddziaływania na poglądy, postawy, tożsamość oraz zachowania jednostek i grup społecznych poprzez instrumentalne wykorzystanie, rekonfigurację lub zniekształcenie kodów, symboli, instytucji i narracji kulturowych.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 ujęciu socjologicznym i psychologicznym zjawisko to nie jest traktowane jako sporadyczna anomalia komunikacyjna, lecz jako immanentna cecha uspołecznienia i rywalizacji wewnątrzgatunkowej.</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Wynika ona bezpośrednio z faktu, że kooperacja i konkurencja w złożonych systemach społecznych generują silne bodźce do ukrywania obiektywnej prawdy na rzecz realizacji partykularnych interesów.</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Naukowa definicja manipulacji kulturowej określa ją jako formę wywierania wpływu, która maskuje obiektywną rzeczywistość dla celów egoistycznych, generując jednocześnie istotne koszty poznawcze, behawioralne lub emocjonalne po stronie odbiorcy.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Z perspektywy historycznej refleksja nad powiązaniem psychiki z kulturą sięga dziewiętnastowiecznej niemieckiej szkoły językoznawczej i psychologicznej, w ramach której Heymann Steinthal, Moritz Lazarus oraz Wilhelm Wundt sformułowali założenia </w:t>
      </w:r>
      <w:r w:rsidDel="00000000" w:rsidR="00000000" w:rsidRPr="00000000">
        <w:rPr>
          <w:rFonts w:ascii="Google Sans" w:cs="Google Sans" w:eastAsia="Google Sans" w:hAnsi="Google Sans"/>
          <w:i w:val="1"/>
          <w:iCs w:val="1"/>
          <w:rtl w:val="0"/>
        </w:rPr>
        <w:t xml:space="preserve">Völkerpsychologie</w:t>
      </w:r>
      <w:r w:rsidDel="00000000" w:rsidR="00000000" w:rsidRPr="00000000">
        <w:rPr>
          <w:rFonts w:ascii="Google Sans" w:cs="Google Sans" w:eastAsia="Google Sans" w:hAnsi="Google Sans"/>
          <w:rtl w:val="0"/>
        </w:rPr>
        <w:t xml:space="preserve"> (psychologii ludów).</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Dyscyplina ta badała interfejsy zachodzące między folklorem, językiem, instytucjami społecznymi a cechami psychologicznymi zbiorowości, dostrzegając, że kultura dostarcza jednostkom gotowych modeli samorozumienia, które trwale wnikają w ich strukturę psychiczną.</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Współczesna manipulacja kulturowa operuje w oparciu o tak zwany efekt zapętlenia (looping effect), w którym wiedza naukowa lub pseudonaukowa o psychice jednostek jest zwrotnie przekazywana członkom grupy, aktywnie kształtując ich autopercepcję oraz zachowania.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 dobie społeczeństwa sieciowego zjawisko to zyskało nowy, zradykalizowany wymiar związany z wojną informacyjną i operacjami kognitywnymi w cyberprzestrzeni.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Stosowanie zaawansowanych technologii informacyjno-komunikacyjnych, systemów komputerowych oraz platform społecznościowych do prowadzenia działań rozpoznawczych, ataków dezinformacyjnych i operacji psychologicznych dotyka pojedyncze osoby oraz całe grupy społeczne, destabilizując tożsamość kulturową na poziomie państwowym i kontynentalnym.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pStyle w:val="Heading2"/>
        <w:numPr>
          <w:ilvl w:val="0"/>
          <w:numId w:val="5"/>
        </w:numPr>
        <w:ind w:left="720" w:hanging="360"/>
        <w:rPr>
          <w:u w:val="none"/>
        </w:rPr>
      </w:pPr>
      <w:r w:rsidDel="00000000" w:rsidR="00000000" w:rsidRPr="00000000">
        <w:rPr>
          <w:rtl w:val="0"/>
        </w:rPr>
        <w:t xml:space="preserve">Hegemonia, przemysł i dynamika organizacyjna</w:t>
      </w:r>
    </w:p>
    <w:p w:rsidR="00000000" w:rsidDel="00000000" w:rsidP="00000000" w:rsidRDefault="00000000" w:rsidRPr="00000000" w14:paraId="00000015">
      <w:pPr>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Zrozumienie makrostrukturalnego wymiaru </w:t>
      </w:r>
      <w:r w:rsidDel="00000000" w:rsidR="00000000" w:rsidRPr="00000000">
        <w:rPr>
          <w:rtl w:val="0"/>
        </w:rPr>
        <w:t xml:space="preserve">manipulacji</w:t>
      </w:r>
      <w:r w:rsidDel="00000000" w:rsidR="00000000" w:rsidRPr="00000000">
        <w:rPr>
          <w:rFonts w:ascii="Google Sans" w:cs="Google Sans" w:eastAsia="Google Sans" w:hAnsi="Google Sans"/>
          <w:rtl w:val="0"/>
        </w:rPr>
        <w:t xml:space="preserve"> kulturowej wymaga odwołania się do tradycji neomarksistowskiej, która dokonała paradygmatycznego przesunięcia punktu ciężkości z klasycznej analizy ekonomicznej na krytykę nadbudowy ideologicznej.</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Włoski myśliciel Antonio Gramsci sformułował rewolucyjną teorię hegemonii kulturowej, wyjaśniającą, w jaki sposób klasa rządząca utrzymuje panowanie nad zróżnicowanym społeczeństwem nie poprzez bezpośredni przymus fizyczny, lecz drogą subtelnego formatowania sumień i przekonań.</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Instytucje społeczeństwa obywatelskiego – takie jak kościoły, szkoły, uniwersytety oraz media masowe – stają się pasami transmisyjnymi ideologii dominującej, która zostaje zinternalizowana przez klasy podporządkowane jako naturalny, oczywisty i jedyny możliwy porządek rzeczy, czyli tak zwany zdrowy rozsądek.</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Narzucenie tego konsensusu eliminuje potrzebę stosowania permanentnej przemocy państwowej.</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Walka z hegemonią wymaga, zdaniem Gramsciego, podjęcia długofalowej wojny pozycyjnej, polegającej na powolnym marszu przez instytucje i wykształceniu własnych, organicznych intelektualistów zdolnych do wygenerowania kontrhegemonii.</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6">
      <w:pPr>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 </w:t>
      </w:r>
      <w:r w:rsidDel="00000000" w:rsidR="00000000" w:rsidRPr="00000000">
        <w:rPr>
          <w:rtl w:val="0"/>
        </w:rPr>
        <w:t xml:space="preserve">opozycji</w:t>
      </w:r>
      <w:r w:rsidDel="00000000" w:rsidR="00000000" w:rsidRPr="00000000">
        <w:rPr>
          <w:rFonts w:ascii="Google Sans" w:cs="Google Sans" w:eastAsia="Google Sans" w:hAnsi="Google Sans"/>
          <w:rtl w:val="0"/>
        </w:rPr>
        <w:t xml:space="preserve"> do umiarkowanego optymizmu Gramsciego, przedstawiciele Szkoły Frankfurckiej – w tym Max Horkheimer, Theodor W. Adorno oraz Herbert Marcuse – sformułowali skrajnie pesymistyczną diagnozę nowoczesności, wprowadzając pojęcie przemysłu kulturowego.</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Badając amerykańską kulturę masową, dostrzegli oni, że technologia i kapitalistyczna produkcja dóbr symbolicznych przekształciły kulturę w zunifikowany towar, którego celem jest standaryzacja ludzkich potrzeb poznawczych i pacyfikacja potencjału rewolucyjnego.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Przemysł kulturowy doprowadza do trwałego rozdzielenia ludzkiej woli od rozumu, uniemożliwiając jednostkom krytyczną refleksję nad własnym podporządkowaniem.</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Ewolucja sfery publicznej, opisywana przez Jürgena Habermasa jako przestrzeń racjonalno-krytycznej debaty obywatelskiej, uległa strukturalnemu zniekształceniu pod wpływem mediów masowych, przekształcając się w arenę infiltrowaną przez siły polityczne i interesy reklamowe.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Współczesne społeczeństwo charakteryzuje się nowym typem zapośredniczonej publiczności (mediated publicness), która cechuje się brakiem dialogowości, asymetrią nadawczo-odbiorczą oraz despatjalizacją, co stwarza bezprecedensowe warunki do odgórnego zarządzania przepływami komunikacyjnymi i strategicznej manipulacji uwagą masową.</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Zjawisko manipulacji kulturowej przenika również do teorii organizacji, gdzie manifestuje się pod postacią tak zwanej hipotezy silnej kultury (strong culture hypothesis).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Badacze tacy jak Thomas J. Peters, Robert H. Waterman czy Alan L. Wilkins postulowali, że przedsiębiorstwa posiadające wyraziste, homogeniczne wartości, wierzenia i rytuały generują swoiste społeczne pole siłowe, które drastycznie zwiększa motywację i efektywność pracowników, przekładając się na niemal dwukrotny wzrost stopy zwrotu z inwestycji.</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Fonts w:ascii="Google Sans" w:cs="Google Sans" w:eastAsia="Google Sans" w:hAnsi="Google Sans"/>
          <w:rtl w:val="0"/>
        </w:rPr>
        <w:t xml:space="preserve">Krytyka tego podejścia, osadzona w badaniach Johna Van Maanena i Stephena R. Barley'ego, ujawnia jednak manipulacyjny charakter tego konstruktu.</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Narzucanie unitarnej kultury organizacyjnej przez kadrę zarządzającą jest próbą instrumentalnej kontroli behawioralnej, która sztucznie maskuje fundamentalne konflikty interesów pomiędzy pracownikami, a zarządem.</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 rzeczywistości unitarne kultury organizacyjne są wyjątkiem, a regułą jest współistnienie wielu zróżnicowanych subkultur.</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Próba ich siłowej homogenizacji prowadzi do powstawania powierzchownych zgodności, pod którymi kryją się niespójne systemy znaczeń, ujawniające się destrukcyjnie w momentach kryzysów lub gwałtownych zmian strategicznych.</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tl w:val="0"/>
        </w:rPr>
      </w:r>
    </w:p>
    <w:p w:rsidR="00000000" w:rsidDel="00000000" w:rsidP="00000000" w:rsidRDefault="00000000" w:rsidRPr="00000000" w14:paraId="0000001A">
      <w:pPr>
        <w:spacing w:before="0" w:line="275.9999942779541" w:lineRule="auto"/>
        <w:rPr/>
      </w:pPr>
      <w:r w:rsidDel="00000000" w:rsidR="00000000" w:rsidRPr="00000000">
        <w:rPr>
          <w:rtl w:val="0"/>
        </w:rPr>
      </w:r>
    </w:p>
    <w:p w:rsidR="00000000" w:rsidDel="00000000" w:rsidP="00000000" w:rsidRDefault="00000000" w:rsidRPr="00000000" w14:paraId="0000001B">
      <w:pPr>
        <w:spacing w:before="0" w:line="275.9999942779541" w:lineRule="auto"/>
        <w:rPr/>
      </w:pPr>
      <w:r w:rsidDel="00000000" w:rsidR="00000000" w:rsidRPr="00000000">
        <w:rPr>
          <w:rtl w:val="0"/>
        </w:rPr>
        <w:t xml:space="preserve">Tab.1. Ewolucja paradygmatów kontroli i manipulacji kulturowej</w:t>
      </w:r>
    </w:p>
    <w:tbl>
      <w:tblPr>
        <w:tblStyle w:val="Table1"/>
        <w:tblW w:w="942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010"/>
        <w:gridCol w:w="1830"/>
        <w:gridCol w:w="2760"/>
        <w:gridCol w:w="2820"/>
        <w:tblGridChange w:id="0">
          <w:tblGrid>
            <w:gridCol w:w="2010"/>
            <w:gridCol w:w="1830"/>
            <w:gridCol w:w="2760"/>
            <w:gridCol w:w="28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Teoria i autorzy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Poziom analizy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Główny instrument kontroli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Rola podmiotowości i oporu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Hegemonia kulturowa</w:t>
            </w:r>
            <w:r w:rsidDel="00000000" w:rsidR="00000000" w:rsidRPr="00000000">
              <w:rPr>
                <w:rFonts w:ascii="Google Sans" w:cs="Google Sans" w:eastAsia="Google Sans" w:hAnsi="Google Sans"/>
                <w:sz w:val="20"/>
                <w:szCs w:val="20"/>
                <w:rtl w:val="0"/>
              </w:rPr>
              <w:t xml:space="preserve"> (A. Gramsci) </w:t>
            </w:r>
            <w:r w:rsidDel="00000000" w:rsidR="00000000" w:rsidRPr="00000000">
              <w:rPr>
                <w:rFonts w:ascii="Google Sans" w:cs="Google Sans" w:eastAsia="Google Sans" w:hAnsi="Google Sans"/>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Makrospołeczny / Państwowy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Instytucje społeczeństwa obywatelskiego kształtujące „zdrowy rozsądek”.</w:t>
            </w:r>
            <w:r w:rsidDel="00000000" w:rsidR="00000000" w:rsidRPr="00000000">
              <w:rPr>
                <w:rFonts w:ascii="Google Sans" w:cs="Google Sans" w:eastAsia="Google Sans" w:hAnsi="Google Sans"/>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Wysoka; możliwość wypracowania kontrhegemonii przez organicznych intelektualistów.</w:t>
            </w:r>
            <w:r w:rsidDel="00000000" w:rsidR="00000000" w:rsidRPr="00000000">
              <w:rPr>
                <w:rFonts w:ascii="Google Sans" w:cs="Google Sans" w:eastAsia="Google Sans" w:hAnsi="Google Sans"/>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Przemysł kulturowy</w:t>
            </w:r>
            <w:r w:rsidDel="00000000" w:rsidR="00000000" w:rsidRPr="00000000">
              <w:rPr>
                <w:rFonts w:ascii="Google Sans" w:cs="Google Sans" w:eastAsia="Google Sans" w:hAnsi="Google Sans"/>
                <w:sz w:val="20"/>
                <w:szCs w:val="20"/>
                <w:rtl w:val="0"/>
              </w:rPr>
              <w:t xml:space="preserve"> (Szkoła Frankfurcka) </w:t>
            </w:r>
            <w:r w:rsidDel="00000000" w:rsidR="00000000" w:rsidRPr="00000000">
              <w:rPr>
                <w:rFonts w:ascii="Google Sans" w:cs="Google Sans" w:eastAsia="Google Sans" w:hAnsi="Google Sans"/>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Makroekonomiczny / Komercyjny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Seryjna produkcja dóbr kulturowych, standaryzacja i urzeczowienie potrzeb.</w:t>
            </w:r>
            <w:r w:rsidDel="00000000" w:rsidR="00000000" w:rsidRPr="00000000">
              <w:rPr>
                <w:rFonts w:ascii="Google Sans" w:cs="Google Sans" w:eastAsia="Google Sans" w:hAnsi="Google Sans"/>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Skrajnie niska; alienacja techniczna trwale tłumi wolę buntu.</w:t>
            </w:r>
            <w:r w:rsidDel="00000000" w:rsidR="00000000" w:rsidRPr="00000000">
              <w:rPr>
                <w:rFonts w:ascii="Google Sans" w:cs="Google Sans" w:eastAsia="Google Sans" w:hAnsi="Google Sans"/>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Zapośredniczona publiczność</w:t>
            </w:r>
            <w:r w:rsidDel="00000000" w:rsidR="00000000" w:rsidRPr="00000000">
              <w:rPr>
                <w:rFonts w:ascii="Google Sans" w:cs="Google Sans" w:eastAsia="Google Sans" w:hAnsi="Google Sans"/>
                <w:sz w:val="20"/>
                <w:szCs w:val="20"/>
                <w:rtl w:val="0"/>
              </w:rPr>
              <w:t xml:space="preserve"> (J. Habermas, J.B. Thompson) </w:t>
            </w:r>
            <w:r w:rsidDel="00000000" w:rsidR="00000000" w:rsidRPr="00000000">
              <w:rPr>
                <w:rFonts w:ascii="Google Sans" w:cs="Google Sans" w:eastAsia="Google Sans" w:hAnsi="Google Sans"/>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Mediów masowych / Komunikacyjny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Asymetryczne kanały przekazu, selekcja tematów, dominacja kapitału.</w:t>
            </w:r>
            <w:r w:rsidDel="00000000" w:rsidR="00000000" w:rsidRPr="00000000">
              <w:rPr>
                <w:rFonts w:ascii="Google Sans" w:cs="Google Sans" w:eastAsia="Google Sans" w:hAnsi="Google Sans"/>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Średnia; ograniczona przez jednokierunkowość przekazu, zwiększona przez interaktywność sieciową.</w:t>
            </w:r>
            <w:r w:rsidDel="00000000" w:rsidR="00000000" w:rsidRPr="00000000">
              <w:rPr>
                <w:rFonts w:ascii="Google Sans" w:cs="Google Sans" w:eastAsia="Google Sans" w:hAnsi="Google Sans"/>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Silna kultura organizacyjna</w:t>
            </w:r>
            <w:r w:rsidDel="00000000" w:rsidR="00000000" w:rsidRPr="00000000">
              <w:rPr>
                <w:rFonts w:ascii="Google Sans" w:cs="Google Sans" w:eastAsia="Google Sans" w:hAnsi="Google Sans"/>
                <w:sz w:val="20"/>
                <w:szCs w:val="20"/>
                <w:rtl w:val="0"/>
              </w:rPr>
              <w:t xml:space="preserve"> (A.L. Wilkins, T.J. Peters) </w:t>
            </w:r>
            <w:r w:rsidDel="00000000" w:rsidR="00000000" w:rsidRPr="00000000">
              <w:rPr>
                <w:rFonts w:ascii="Google Sans" w:cs="Google Sans" w:eastAsia="Google Sans" w:hAnsi="Google Sans"/>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Mikrospołeczny / Korporacyjny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Rytuały, mity i wartości korporacyjne narzucane przez menedżerów.</w:t>
            </w:r>
            <w:r w:rsidDel="00000000" w:rsidR="00000000" w:rsidRPr="00000000">
              <w:rPr>
                <w:rFonts w:ascii="Google Sans" w:cs="Google Sans" w:eastAsia="Google Sans" w:hAnsi="Google Sans"/>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Niska; opór jest traktowany jako patologia lub brak dopasowania do organizacji.</w:t>
            </w:r>
            <w:r w:rsidDel="00000000" w:rsidR="00000000" w:rsidRPr="00000000">
              <w:rPr>
                <w:rFonts w:ascii="Google Sans" w:cs="Google Sans" w:eastAsia="Google Sans" w:hAnsi="Google Sans"/>
                <w:vertAlign w:val="superscript"/>
                <w:rtl w:val="0"/>
              </w:rPr>
              <w:t xml:space="preserve">11</w:t>
            </w:r>
          </w:p>
        </w:tc>
      </w:tr>
    </w:tbl>
    <w:p w:rsidR="00000000" w:rsidDel="00000000" w:rsidP="00000000" w:rsidRDefault="00000000" w:rsidRPr="00000000" w14:paraId="00000030">
      <w:pPr>
        <w:pStyle w:val="Heading2"/>
        <w:ind w:left="0" w:firstLine="0"/>
        <w:rPr/>
      </w:pPr>
      <w:r w:rsidDel="00000000" w:rsidR="00000000" w:rsidRPr="00000000">
        <w:rPr>
          <w:rtl w:val="0"/>
        </w:rPr>
      </w:r>
    </w:p>
    <w:p w:rsidR="00000000" w:rsidDel="00000000" w:rsidP="00000000" w:rsidRDefault="00000000" w:rsidRPr="00000000" w14:paraId="00000031">
      <w:pPr>
        <w:pStyle w:val="Heading2"/>
        <w:numPr>
          <w:ilvl w:val="0"/>
          <w:numId w:val="5"/>
        </w:numPr>
        <w:ind w:left="720" w:hanging="360"/>
        <w:rPr>
          <w:u w:val="none"/>
        </w:rPr>
      </w:pPr>
      <w:r w:rsidDel="00000000" w:rsidR="00000000" w:rsidRPr="00000000">
        <w:rPr>
          <w:rtl w:val="0"/>
        </w:rPr>
        <w:t xml:space="preserve">T</w:t>
      </w:r>
      <w:r w:rsidDel="00000000" w:rsidR="00000000" w:rsidRPr="00000000">
        <w:rPr>
          <w:rtl w:val="0"/>
        </w:rPr>
        <w:t xml:space="preserve">rójstronny</w:t>
      </w:r>
      <w:r w:rsidDel="00000000" w:rsidR="00000000" w:rsidRPr="00000000">
        <w:rPr>
          <w:rFonts w:ascii="Google Sans" w:cs="Google Sans" w:eastAsia="Google Sans" w:hAnsi="Google Sans"/>
          <w:rtl w:val="0"/>
        </w:rPr>
        <w:t xml:space="preserve"> model manipulacji społecznej</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poziomie operacyjnym manipulacja kulturowa posługuje się precyzyjnymi mechanizmami strukturalnymi, które mogą zostać opisane za pomocą trójstronnego modelu manipulacji tożsamościowej.</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 układzie tym kluczową rolę odgrywają trzy podmioty o zróżnicowanych funkcjach systemowych:</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Manipulator</w:t>
      </w:r>
      <w:r w:rsidDel="00000000" w:rsidR="00000000" w:rsidRPr="00000000">
        <w:rPr>
          <w:rFonts w:ascii="Google Sans" w:cs="Google Sans" w:eastAsia="Google Sans" w:hAnsi="Google Sans"/>
          <w:rtl w:val="0"/>
        </w:rPr>
        <w:t xml:space="preserve">: Podmiot dążący do wykreowania i instrumentalnego wykorzystania różnic kulturowych, etnicznych lub klasowych w celu realizacji własnych celów ekonomicznych bądź politycznych.</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Grupa większościowa</w:t>
      </w:r>
      <w:r w:rsidDel="00000000" w:rsidR="00000000" w:rsidRPr="00000000">
        <w:rPr>
          <w:rFonts w:ascii="Google Sans" w:cs="Google Sans" w:eastAsia="Google Sans" w:hAnsi="Google Sans"/>
          <w:rtl w:val="0"/>
        </w:rPr>
        <w:t xml:space="preserve">: Zbiorowość manipulowana w taki sposób, aby przyjęła irracjonalne, lękowe i agresywne postawy wobec wyselekcjonowanej mniejszości.</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Grupa mniejszościowa</w:t>
      </w:r>
      <w:r w:rsidDel="00000000" w:rsidR="00000000" w:rsidRPr="00000000">
        <w:rPr>
          <w:rFonts w:ascii="Google Sans" w:cs="Google Sans" w:eastAsia="Google Sans" w:hAnsi="Google Sans"/>
          <w:rtl w:val="0"/>
        </w:rPr>
        <w:t xml:space="preserve">: Ofiara wtórna, która podlega systemowej dehumanizacji, stygmatyzacji lub wykluczeniu.</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Strategiczny cel manipulatora polega na trwałym utrzymywaniu obu grup w stanie permanentnego zagrożenia i lęku.</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Grupa większościowa jest zastraszana domniemaną ekspansją, agresją lub kulturową obcością mniejszości, podczas gdy grupa mniejszościowa jest paraliżowana realną agresją ze strony zmanipulowanej większości.</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Mechanizm ten skutecznie eliminuje jakąkolwiek solidarność społeczną i uniemożliwia konsolidację obywateli przeciwko rzeczywistemu źródłu opresji, jakim jest manipulator.</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Ważnym elementem stabilizującym systemy manipulacyjne jest zjawisko wyparcia kulturowego (cultural denial), znanego również jako zmowa milczenia (co-denial).</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Jest to strukturalny mechanizm obronny grupy, która zbiorowo ignoruje oczywiste dowody naukowe lub fakty społeczne z powodu lęku przed utratą dotychczasowego standardu życia lub dekonstrukcją tożsamości.</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Socjalizacja odgrywa kluczową rolę w reprodukcji wyparcia: jednostki, które odważą się naruszyć zmowę milczenia, są surowo karane przez rówieśników drogą ostracyzmu, pogardy i wykluczenia, podczas gdy konformizm jest nagradzany włączeniem do wspólnoty i poczuciem bezpieczeństwa.</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Klasycznym przejawem tego mechanizmu jest systemowe negowanie przyczyn i skutków zmian klimatycznych, gdzie lęk przed koniecznością transformacji ekonomicznej generuje potężne ruchy denialistyczne, stymulowane przez korporacje energetyczne.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 skali mikro interakcje społeczne są penetrowane przez wyrafinowane techniki manipulacji psychologicznej i interpersonalnej, które systematyzuje poniższe zestawienie.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pPr>
      <w:r w:rsidDel="00000000" w:rsidR="00000000" w:rsidRPr="00000000">
        <w:rPr>
          <w:rtl w:val="0"/>
        </w:rPr>
      </w:r>
    </w:p>
    <w:p w:rsidR="00000000" w:rsidDel="00000000" w:rsidP="00000000" w:rsidRDefault="00000000" w:rsidRPr="00000000" w14:paraId="0000003A">
      <w:pPr>
        <w:spacing w:before="0" w:line="275.9999942779541" w:lineRule="auto"/>
        <w:rPr/>
      </w:pPr>
      <w:r w:rsidDel="00000000" w:rsidR="00000000" w:rsidRPr="00000000">
        <w:rPr>
          <w:rtl w:val="0"/>
        </w:rPr>
        <w:t xml:space="preserve">Tab. 2. Matryca taktyk manipulacji interpersonalnej i społecznej</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100"/>
        <w:gridCol w:w="2580"/>
        <w:gridCol w:w="2340"/>
        <w:tblGridChange w:id="0">
          <w:tblGrid>
            <w:gridCol w:w="2340"/>
            <w:gridCol w:w="2100"/>
            <w:gridCol w:w="258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Nazwa taktyki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Poziom operacyjny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Mechanizm psychologiczny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Cel bezpośredni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Pozorne ramy win-win</w:t>
            </w:r>
            <w:r w:rsidDel="00000000" w:rsidR="00000000" w:rsidRPr="00000000">
              <w:rPr>
                <w:rFonts w:ascii="Google Sans" w:cs="Google Sans" w:eastAsia="Google Sans" w:hAnsi="Google Sans"/>
                <w:sz w:val="20"/>
                <w:szCs w:val="20"/>
                <w:rtl w:val="0"/>
              </w:rPr>
              <w:t xml:space="preserve"> (Manipulative win-win) </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Interpersonalny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Udawanie kooperacji przy jednoczesnym ukrywaniu intencji rywalizacyjnych.</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Eksploatacja zasobów ofiary pod pozorem obopólnych korzyści.</w:t>
            </w:r>
            <w:r w:rsidDel="00000000" w:rsidR="00000000" w:rsidRPr="00000000">
              <w:rPr>
                <w:rFonts w:ascii="Google Sans" w:cs="Google Sans" w:eastAsia="Google Sans" w:hAnsi="Google Sans"/>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Odrzucenie dla ustępstwa</w:t>
            </w:r>
            <w:r w:rsidDel="00000000" w:rsidR="00000000" w:rsidRPr="00000000">
              <w:rPr>
                <w:rFonts w:ascii="Google Sans" w:cs="Google Sans" w:eastAsia="Google Sans" w:hAnsi="Google Sans"/>
                <w:sz w:val="20"/>
                <w:szCs w:val="20"/>
                <w:rtl w:val="0"/>
              </w:rPr>
              <w:t xml:space="preserve"> (Get denied to deny) </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Negocjacyjny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Przedstawienie intencjonalnie nieakceptowalnej propozycji w celu odrzucenia późniejszego, słusznego roszczenia ofiary.</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Uzyskanie asymetrycznej przewagi przetargowej.</w:t>
            </w:r>
            <w:r w:rsidDel="00000000" w:rsidR="00000000" w:rsidRPr="00000000">
              <w:rPr>
                <w:rFonts w:ascii="Google Sans" w:cs="Google Sans" w:eastAsia="Google Sans" w:hAnsi="Google Sans"/>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Manipulacyjne zawstydzanie</w:t>
            </w:r>
            <w:r w:rsidDel="00000000" w:rsidR="00000000" w:rsidRPr="00000000">
              <w:rPr>
                <w:rFonts w:ascii="Google Sans" w:cs="Google Sans" w:eastAsia="Google Sans" w:hAnsi="Google Sans"/>
                <w:sz w:val="20"/>
                <w:szCs w:val="20"/>
                <w:rtl w:val="0"/>
              </w:rPr>
              <w:t xml:space="preserve"> (Manipulative shaming) </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Społeczny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Piętnowanie przekonań ofiary jako niemoralnych, zacofanych lub aspołecznych.</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Zmuszenie ofiary do konformizmu normatywnego wobec narzuconych standardów.</w:t>
            </w:r>
            <w:r w:rsidDel="00000000" w:rsidR="00000000" w:rsidRPr="00000000">
              <w:rPr>
                <w:rFonts w:ascii="Google Sans" w:cs="Google Sans" w:eastAsia="Google Sans" w:hAnsi="Google Sans"/>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Podział i polaryzacja</w:t>
            </w:r>
            <w:r w:rsidDel="00000000" w:rsidR="00000000" w:rsidRPr="00000000">
              <w:rPr>
                <w:rFonts w:ascii="Google Sans" w:cs="Google Sans" w:eastAsia="Google Sans" w:hAnsi="Google Sans"/>
                <w:sz w:val="20"/>
                <w:szCs w:val="20"/>
                <w:rtl w:val="0"/>
              </w:rPr>
              <w:t xml:space="preserve"> (Ingroup/Outgroup framing) </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Makrospołeczny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Fabrykowanie egzystencjalnych wrogów grupy i dewaluacja osiągnięć obcych.</w:t>
            </w:r>
            <w:r w:rsidDel="00000000" w:rsidR="00000000" w:rsidRPr="00000000">
              <w:rPr>
                <w:rFonts w:ascii="Google Sans" w:cs="Google Sans" w:eastAsia="Google Sans" w:hAnsi="Google Sans"/>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Zwiększenie spójności grupy własnej i ślepego posłuszeństwa wobec przywódcy.</w:t>
            </w:r>
            <w:r w:rsidDel="00000000" w:rsidR="00000000" w:rsidRPr="00000000">
              <w:rPr>
                <w:rFonts w:ascii="Google Sans" w:cs="Google Sans" w:eastAsia="Google Sans" w:hAnsi="Google Sans"/>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b w:val="1"/>
                <w:bCs w:val="1"/>
                <w:sz w:val="20"/>
                <w:szCs w:val="20"/>
                <w:rtl w:val="0"/>
              </w:rPr>
              <w:t xml:space="preserve">Astroturfing</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Cyfrowy / Medialny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Skoordynowane symulowanie oddolnych ruchów społecznych przez opłaconych aktorów lub boty.</w:t>
            </w:r>
            <w:r w:rsidDel="00000000" w:rsidR="00000000" w:rsidRPr="00000000">
              <w:rPr>
                <w:rFonts w:ascii="Google Sans" w:cs="Google Sans" w:eastAsia="Google Sans" w:hAnsi="Google Sans"/>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vertAlign w:val="superscript"/>
              </w:rPr>
            </w:pPr>
            <w:r w:rsidDel="00000000" w:rsidR="00000000" w:rsidRPr="00000000">
              <w:rPr>
                <w:rFonts w:ascii="Google Sans" w:cs="Google Sans" w:eastAsia="Google Sans" w:hAnsi="Google Sans"/>
                <w:sz w:val="20"/>
                <w:szCs w:val="20"/>
                <w:rtl w:val="0"/>
              </w:rPr>
              <w:t xml:space="preserve">Wykreowanie iluzji powszechnego poparcia społecznego dla określonej opcji politycznej.</w:t>
            </w:r>
            <w:r w:rsidDel="00000000" w:rsidR="00000000" w:rsidRPr="00000000">
              <w:rPr>
                <w:rFonts w:ascii="Google Sans" w:cs="Google Sans" w:eastAsia="Google Sans" w:hAnsi="Google Sans"/>
                <w:vertAlign w:val="superscript"/>
                <w:rtl w:val="0"/>
              </w:rPr>
              <w:t xml:space="preserve">15</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pPr>
      <w:r w:rsidDel="00000000" w:rsidR="00000000" w:rsidRPr="00000000">
        <w:rPr>
          <w:rtl w:val="0"/>
        </w:rPr>
      </w:r>
    </w:p>
    <w:p w:rsidR="00000000" w:rsidDel="00000000" w:rsidP="00000000" w:rsidRDefault="00000000" w:rsidRPr="00000000" w14:paraId="00000054">
      <w:pPr>
        <w:pStyle w:val="Heading2"/>
        <w:numPr>
          <w:ilvl w:val="0"/>
          <w:numId w:val="5"/>
        </w:numPr>
        <w:pBdr>
          <w:top w:space="0" w:sz="0" w:val="nil"/>
          <w:left w:space="0" w:sz="0" w:val="nil"/>
          <w:bottom w:space="0" w:sz="0" w:val="nil"/>
          <w:right w:space="0" w:sz="0" w:val="nil"/>
          <w:between w:space="0" w:sz="0" w:val="nil"/>
        </w:pBdr>
        <w:shd w:fill="auto" w:val="clear"/>
        <w:spacing w:before="0" w:line="275.9999942779541"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Metodologia eksperymentalna i neurobiologiczna operacjonalizacja torowania kulturowego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 ciągu ostatnich dekad psychologia międzykulturowa oraz neuronauka dokonały znaczącego postępu w empirycznym badaniu plastyczności ludzkiego umysłu pod wpływem bodźców kulturowych.</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Kluczową metodą badawczą stało się torowanie kulturowe (cultural priming), które pozwala na kontrolowane manipulowanie orientacją poznawczą badanych w warunkach laboratoryjnych.</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Badania te wykazują, że wartości takie jak indywidualizm i kolektywizm nie są statycznymi cechami charakterologicznymi, lecz dynamicznymi konfiguracjami neuronowymi, które mogą być chwilowo aktywowane za pomocą subtelnych wskazówek środowiskowych.</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Jednym z najbardziej rygorystycznych sposobów formalizacji tych procesów jest modelowanie matematyczne przy użyciu Markowowskich Procesów Decyzyjnych (MDP) dla nastawienia kulturowego.</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W modelach tych przestrzeń stanów poznawczych pacjenta bądź gracza reprezentowana jest przez wektor przekonań </w:t>
      </w:r>
      <w:r w:rsidDel="00000000" w:rsidR="00000000" w:rsidRPr="00000000">
        <w:rPr>
          <w:rFonts w:ascii="Google Sans" w:cs="Google Sans" w:eastAsia="Google Sans" w:hAnsi="Google Sans"/>
        </w:rPr>
        <w:drawing>
          <wp:inline distB="19050" distT="19050" distL="19050" distR="19050">
            <wp:extent cx="521335" cy="233229"/>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21335" cy="23322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1285875"/>
            <wp:effectExtent b="0" l="0" r="0" t="0"/>
            <wp:docPr id="3" name="image5.png"/>
            <a:graphic>
              <a:graphicData uri="http://schemas.openxmlformats.org/drawingml/2006/picture">
                <pic:pic>
                  <pic:nvPicPr>
                    <pic:cNvPr id="0" name="image5.png"/>
                    <pic:cNvPicPr preferRelativeResize="0"/>
                  </pic:nvPicPr>
                  <pic:blipFill>
                    <a:blip r:embed="rId7"/>
                    <a:srcRect b="25824" l="0" r="0" t="0"/>
                    <a:stretch>
                      <a:fillRect/>
                    </a:stretch>
                  </pic:blipFill>
                  <pic:spPr>
                    <a:xfrm>
                      <a:off x="0" y="0"/>
                      <a:ext cx="5905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Każda ze zmiennych określających stopień internalizacji danej normy kulturowej przyjmuje wartości dyskretne z przedziału , </w:t>
      </w:r>
      <w:r w:rsidDel="00000000" w:rsidR="00000000" w:rsidRPr="00000000">
        <w:rPr>
          <w:rFonts w:ascii="Google Sans" w:cs="Google Sans" w:eastAsia="Google Sans" w:hAnsi="Google Sans"/>
        </w:rPr>
        <w:drawing>
          <wp:inline distB="19050" distT="19050" distL="19050" distR="19050">
            <wp:extent cx="427397" cy="183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7397" cy="183600"/>
                    </a:xfrm>
                    <a:prstGeom prst="rect"/>
                    <a:ln/>
                  </pic:spPr>
                </pic:pic>
              </a:graphicData>
            </a:graphic>
          </wp:inline>
        </w:drawing>
      </w:r>
      <w:r w:rsidDel="00000000" w:rsidR="00000000" w:rsidRPr="00000000">
        <w:rPr>
          <w:rFonts w:ascii="Google Sans" w:cs="Google Sans" w:eastAsia="Google Sans" w:hAnsi="Google Sans"/>
          <w:rtl w:val="0"/>
        </w:rPr>
        <w:t xml:space="preserve">gdzie wartość </w:t>
      </w:r>
      <w:r w:rsidDel="00000000" w:rsidR="00000000" w:rsidRPr="00000000">
        <w:rPr>
          <w:rFonts w:ascii="Google Sans" w:cs="Google Sans" w:eastAsia="Google Sans" w:hAnsi="Google Sans"/>
        </w:rPr>
        <w:drawing>
          <wp:inline distB="19050" distT="19050" distL="19050" distR="19050">
            <wp:extent cx="69226" cy="183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9226" cy="183600"/>
                    </a:xfrm>
                    <a:prstGeom prst="rect"/>
                    <a:ln/>
                  </pic:spPr>
                </pic:pic>
              </a:graphicData>
            </a:graphic>
          </wp:inline>
        </w:drawing>
      </w:r>
      <w:r w:rsidDel="00000000" w:rsidR="00000000" w:rsidRPr="00000000">
        <w:rPr>
          <w:rFonts w:ascii="Google Sans" w:cs="Google Sans" w:eastAsia="Google Sans" w:hAnsi="Google Sans"/>
          <w:rtl w:val="0"/>
        </w:rPr>
        <w:t xml:space="preserve"> oznacza absolutną pewność co do obowiązywania określonego skryptu (np. konieczności zachowania dystansu i formalności wobec osób starszych), </w:t>
      </w:r>
      <w:r w:rsidDel="00000000" w:rsidR="00000000" w:rsidRPr="00000000">
        <w:rPr>
          <w:rFonts w:ascii="Google Sans" w:cs="Google Sans" w:eastAsia="Google Sans" w:hAnsi="Google Sans"/>
        </w:rPr>
        <w:drawing>
          <wp:inline distB="19050" distT="19050" distL="19050" distR="19050">
            <wp:extent cx="195639" cy="1836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95639" cy="183600"/>
                    </a:xfrm>
                    <a:prstGeom prst="rect"/>
                    <a:ln/>
                  </pic:spPr>
                </pic:pic>
              </a:graphicData>
            </a:graphic>
          </wp:inline>
        </w:drawing>
      </w:r>
      <w:r w:rsidDel="00000000" w:rsidR="00000000" w:rsidRPr="00000000">
        <w:rPr>
          <w:rFonts w:ascii="Google Sans" w:cs="Google Sans" w:eastAsia="Google Sans" w:hAnsi="Google Sans"/>
          <w:rtl w:val="0"/>
        </w:rPr>
        <w:t xml:space="preserve"> reprezentuje pewność o jego nieobowiązywaniu, natomiast </w:t>
      </w:r>
      <w:r w:rsidDel="00000000" w:rsidR="00000000" w:rsidRPr="00000000">
        <w:rPr>
          <w:rFonts w:ascii="Google Sans" w:cs="Google Sans" w:eastAsia="Google Sans" w:hAnsi="Google Sans"/>
        </w:rPr>
        <w:drawing>
          <wp:inline distB="19050" distT="19050" distL="19050" distR="19050">
            <wp:extent cx="69226" cy="1836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9226" cy="183600"/>
                    </a:xfrm>
                    <a:prstGeom prst="rect"/>
                    <a:ln/>
                  </pic:spPr>
                </pic:pic>
              </a:graphicData>
            </a:graphic>
          </wp:inline>
        </w:drawing>
      </w:r>
      <w:r w:rsidDel="00000000" w:rsidR="00000000" w:rsidRPr="00000000">
        <w:rPr>
          <w:rFonts w:ascii="Google Sans" w:cs="Google Sans" w:eastAsia="Google Sans" w:hAnsi="Google Sans"/>
          <w:rtl w:val="0"/>
        </w:rPr>
        <w:t xml:space="preserve"> oznacza całkowity agnostycyzm poznawczy.</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jc w:val="left"/>
        <w:rPr/>
      </w:pPr>
      <w:r w:rsidDel="00000000" w:rsidR="00000000" w:rsidRPr="00000000">
        <w:rPr>
          <w:rFonts w:ascii="Google Sans" w:cs="Google Sans" w:eastAsia="Google Sans" w:hAnsi="Google Sans"/>
          <w:rtl w:val="0"/>
        </w:rPr>
        <w:t xml:space="preserve">Aktualizacja przekonań następuje pod wpływem interakcji z otoczeniem i aplikacji bodźców torujących, co opisuje funkcja przejścia prawdopodobieństwa</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2555081" cy="253453"/>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55081" cy="25345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jc w:val="left"/>
        <w:rPr/>
      </w:pPr>
      <w:r w:rsidDel="00000000" w:rsidR="00000000" w:rsidRPr="00000000">
        <w:rPr>
          <w:rtl w:val="0"/>
        </w:rPr>
        <w:t xml:space="preserve">, </w:t>
      </w:r>
      <w:r w:rsidDel="00000000" w:rsidR="00000000" w:rsidRPr="00000000">
        <w:rPr>
          <w:rFonts w:ascii="Google Sans" w:cs="Google Sans" w:eastAsia="Google Sans" w:hAnsi="Google Sans"/>
          <w:rtl w:val="0"/>
        </w:rPr>
        <w:t xml:space="preserve">gdzie akcja </w:t>
      </w:r>
      <w:r w:rsidDel="00000000" w:rsidR="00000000" w:rsidRPr="00000000">
        <w:rPr>
          <w:rFonts w:ascii="Google Sans" w:cs="Google Sans" w:eastAsia="Google Sans" w:hAnsi="Google Sans"/>
        </w:rPr>
        <w:drawing>
          <wp:inline distB="19050" distT="19050" distL="19050" distR="19050">
            <wp:extent cx="163037" cy="255188"/>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3037" cy="255188"/>
                    </a:xfrm>
                    <a:prstGeom prst="rect"/>
                    <a:ln/>
                  </pic:spPr>
                </pic:pic>
              </a:graphicData>
            </a:graphic>
          </wp:inline>
        </w:drawing>
      </w:r>
      <w:r w:rsidDel="00000000" w:rsidR="00000000" w:rsidRPr="00000000">
        <w:rPr>
          <w:rFonts w:ascii="Google Sans" w:cs="Google Sans" w:eastAsia="Google Sans" w:hAnsi="Google Sans"/>
          <w:rtl w:val="0"/>
        </w:rPr>
        <w:t xml:space="preserve"> reprezentuje podany bodziec kulturowy </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Eksperymenty dowodzą, że jednostki o elastycznym nastawieniu (malleable mindset) rozpoczynają interakcję ze stanem wyjściowym bliskim zeru (agnostycyzm), wykazując wysoką responsywność i zdolność szybkiego uczenia się nowych reguł, podczas gdy jednostki </w:t>
        <w:br w:type="textWrapping"/>
        <w:t xml:space="preserve">o sztywnym nastawieniu (fixed mindset) operują na z góry ustalonych, nienegocjowalnych priorytetach poznawczych, wykazując odporność na korygujące informacje zwrotne.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 sferze neurobiologii kulturowej (cultural neuroscience) badania z wykorzystaniem funkcjonalnego rezonansu magnetycznego (fMRI) oraz elektroencefalografii (EEG) potwierdzają, że krótkotrwałe eksponowanie badanych na symbole kulturowe (np. flagi państwowe, ikony religijne) moduluje aktywność struktur korowych odpowiedzialnych za uwagę, percepcję wzrokową, empatię i procesy decyzyjne.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Mimo </w:t>
      </w:r>
      <w:r w:rsidDel="00000000" w:rsidR="00000000" w:rsidRPr="00000000">
        <w:rPr>
          <w:rtl w:val="0"/>
        </w:rPr>
        <w:t xml:space="preserve">tych</w:t>
      </w:r>
      <w:r w:rsidDel="00000000" w:rsidR="00000000" w:rsidRPr="00000000">
        <w:rPr>
          <w:rFonts w:ascii="Google Sans" w:cs="Google Sans" w:eastAsia="Google Sans" w:hAnsi="Google Sans"/>
          <w:rtl w:val="0"/>
        </w:rPr>
        <w:t xml:space="preserve"> wyników, to współczesna psychologia poznawcza nadal boryka się z poważnym kryzysem metodologicznym wynikającym z faktu, że przeważająca większość badań empirycznych jest prowadzona na próbach typu WEIRD (Western, Educated, Industrialized, Rich, Democratic).</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Założenie o uniwersalności ludzkich procesów poznawczych zostało podważone: różnice w stylach myślenia (analityczny na Zachodzie vs. holistyczny na Wschodzie) wpływają na fundamentalne mechanizmy uwagi, pamięci roboczej i kategoryzacji obiektów.</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Ignorowanie tej zmiennej w diagnostyce klinicznej i neuropsychologicznej prowadzi do systematycznych błędów diagnostycznych i stanowi formę mimowolnej manipulacji metodologicznej.</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5F">
      <w:pPr>
        <w:pStyle w:val="Heading2"/>
        <w:numPr>
          <w:ilvl w:val="0"/>
          <w:numId w:val="5"/>
        </w:numPr>
        <w:pBdr>
          <w:top w:space="0" w:sz="0" w:val="nil"/>
          <w:left w:space="0" w:sz="0" w:val="nil"/>
          <w:bottom w:space="0" w:sz="0" w:val="nil"/>
          <w:right w:space="0" w:sz="0" w:val="nil"/>
          <w:between w:space="0" w:sz="0" w:val="nil"/>
        </w:pBdr>
        <w:shd w:fill="auto" w:val="clear"/>
        <w:spacing w:before="0" w:line="275.9999942779541"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Analiza przypadków empirycznych i zjawisk dezinformacyjnych</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t xml:space="preserve">5.1. </w:t>
      </w:r>
      <w:r w:rsidDel="00000000" w:rsidR="00000000" w:rsidRPr="00000000">
        <w:rPr>
          <w:rFonts w:ascii="Google Sans" w:cs="Google Sans" w:eastAsia="Google Sans" w:hAnsi="Google Sans"/>
          <w:rtl w:val="0"/>
        </w:rPr>
        <w:t xml:space="preserve">Wojny kulturowe, spektakle medialne i falsyfikacje historyczne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Współczesna przestrzeń informacyjna jest zdominowana przez zjawisko spektaklu medialnego (media spectacle), w którym realne procesy polityczne i społeczne są zastępowane przez wyreżyserowane, nasycone emocjonalnie wydarzenia medialne, mające na celu polaryzację opinii publicznej i narzucenie określonych interpretacji tożsamościowych.</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Klasycznym przykładem falsyfikacji kulturowej (cultural falsification) w mediach głównego nurtu był docudrama platformy Netflix z 2023 roku pt. </w:t>
      </w:r>
      <w:r w:rsidDel="00000000" w:rsidR="00000000" w:rsidRPr="00000000">
        <w:rPr>
          <w:rFonts w:ascii="Google Sans" w:cs="Google Sans" w:eastAsia="Google Sans" w:hAnsi="Google Sans"/>
          <w:i w:val="1"/>
          <w:iCs w:val="1"/>
          <w:rtl w:val="0"/>
        </w:rPr>
        <w:t xml:space="preserve">Queen Cleopatra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Serial wywołał międzynarodowy kryzys dyplomatyczny i naukowy, przedstawiając Kleopatrę VII jako kobietę o ciemnoskórych, afrykańskich rysach twarzy, co wprost gwałciło konsensus historyczny potwierdzający jej macedońsko-greckie pochodzenie.</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Zjawisko to wpisuje się w szerszy nurt ideologiczny afrocentryzmu, którego korzenie sięgają publikacji takich jak </w:t>
      </w:r>
      <w:r w:rsidDel="00000000" w:rsidR="00000000" w:rsidRPr="00000000">
        <w:rPr>
          <w:rFonts w:ascii="Google Sans" w:cs="Google Sans" w:eastAsia="Google Sans" w:hAnsi="Google Sans"/>
          <w:i w:val="1"/>
          <w:iCs w:val="1"/>
          <w:rtl w:val="0"/>
        </w:rPr>
        <w:t xml:space="preserve">Black Athena</w:t>
      </w:r>
      <w:r w:rsidDel="00000000" w:rsidR="00000000" w:rsidRPr="00000000">
        <w:rPr>
          <w:rFonts w:ascii="Google Sans" w:cs="Google Sans" w:eastAsia="Google Sans" w:hAnsi="Google Sans"/>
          <w:rtl w:val="0"/>
        </w:rPr>
        <w:t xml:space="preserve"> Martina Bernala, dążących do przypisania dziedzictwa klasycznej cywilizacji greckiej wpływom afrykańskim i egipskim bez wiarygodnych dowodów źródłowych.</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Wykorzystanie filmu dokumentalnego – tradycyjnie uznawanego za obiektywne źródło wiedzy – do propagowania rewizjonizmu historycznego dowodzi, jak łatwo media masowe mogą trwale zdeformować zbiorową świadomość historyczną społeczeństwa.</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Podobne zjawisko instrumentalizacji edukacji historycznej miało miejsce w Stanach Zjednoczonych w latach 1994–1995 podczas tak zwanych wojen kulturowych wokół Narodowych Standardów Historii (National History Standards).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Projekt stworzenia dobrowolnych standardów nauczania dla szkół podstawowych i średnich stał się obiektem zmasowanego i skoordynowanego ataku ze strony polityków konserwatywnych, kierowanego przez Lynne Cheney, byłą przewodniczącą National Endowment for the Humanities.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Atak ten, oparty na łamach wiodących konserwatywnych mediów, oskarżał autorów standardów </w:t>
        <w:br w:type="textWrapping"/>
        <w:t xml:space="preserve">o</w:t>
      </w:r>
      <w:r w:rsidDel="00000000" w:rsidR="00000000" w:rsidRPr="00000000">
        <w:rPr>
          <w:rtl w:val="0"/>
        </w:rPr>
        <w:t xml:space="preserve"> </w:t>
      </w:r>
      <w:r w:rsidDel="00000000" w:rsidR="00000000" w:rsidRPr="00000000">
        <w:rPr>
          <w:rFonts w:ascii="Google Sans" w:cs="Google Sans" w:eastAsia="Google Sans" w:hAnsi="Google Sans"/>
          <w:rtl w:val="0"/>
        </w:rPr>
        <w:t xml:space="preserve">antyamerykanizm i nadmierny radykalizm kulturowy.</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 rzeczywistości kampania ta była precyzyjnie zsynchronizowana z przejęciem Izby Reprezentantów przez Republikanów w 1994 roku, stanowiąc podręcznikowy przykład manipulacji pamięcią zbiorową w celu skonsolidowania władzy politycznej.</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t xml:space="preserve">5.2. A</w:t>
      </w:r>
      <w:r w:rsidDel="00000000" w:rsidR="00000000" w:rsidRPr="00000000">
        <w:rPr>
          <w:rFonts w:ascii="Google Sans" w:cs="Google Sans" w:eastAsia="Google Sans" w:hAnsi="Google Sans"/>
          <w:rtl w:val="0"/>
        </w:rPr>
        <w:t xml:space="preserve">symilacja tożsamościowa i wykluczenie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 wymiarze historycznym manipulacja kulturowa była stosowana jako technologia władzy do pacyfikacji mniejszości etnicznych i rasowych.</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Drastycznym tego przykładem były tak zwane prawa Tignon (Tignon laws) wprowadzone w Luizjanie w 1780 roku przez hiszpańskiego gubernatora Estevana Miró.</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Przepisy te zmuszały wolne i niewolne czarnoskóre kobiety do publicznego zakrywania włosów chustami (tignon), co miało na celu zniszczenie ich kulturowej tożsamości, ukrycie ich naturalnego piękna i wizualne usankcjonowanie ich rzekomej niższości rasowej w hierarchii kolonialnej.</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Współcześnie analogiczne mechanizmy opresji strukturalnej przejawiają się w systemowej apropriacji dorobku artystycznego mniejszości (np. pionierskich nurtów muzycznych kreowanych przez społeczność afroamerykańską) oraz w przymusowej asymilacji poprzez narzucanie tradycji świątecznych (Thanksgiving, Columbus Day), które dla społeczności rdzennych są symbolami przemocy i kolonizacji, a w kulturze dominującej funkcjonują jako niewinne elementy spójności narodowej.</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Komercjalizacja tożsamości jest również widoczna w sektorze turystyki dziedzictwa kulturowego (cultural heritage tourism).</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Dziedzictwo historyczne i sakralne bywa redukowane do formy produktu turystycznego, mającego na celu maksymalizację zysków ekonomicznych, co poprzez sterowanie doświadczeniem podróżniczym (travel experience) oraz przywiązaniem do miejsca (place attachment) modyfikuje naturalne poczucie tożsamości lokalnej społeczności na rzecz oczekiwań masowego odbiorcy.</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t xml:space="preserve">5.3. </w:t>
      </w:r>
      <w:r w:rsidDel="00000000" w:rsidR="00000000" w:rsidRPr="00000000">
        <w:rPr>
          <w:rFonts w:ascii="Google Sans" w:cs="Google Sans" w:eastAsia="Google Sans" w:hAnsi="Google Sans"/>
          <w:rtl w:val="0"/>
        </w:rPr>
        <w:t xml:space="preserve">Ignorancja kompetencyjna elit medialnych i błędy geopolityczne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Wyczerpującej analizy mechanizmów manipulacji kulturowej w warunkach transformacji ustrojowej w Europie Wschodniej dokonała Dana Galanton, koncentrując się na rumuńskiej sferze medialnej po 1989 roku.</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Autorka udowodniła, że drastyczne deficyty edukacyjne i brak elementarnej wiedzy historyczno-kulturowej u dziennikarzy telewizyjnych stały się kluczowym czynnikiem umożliwiającym masową manipulację opinii publicznej.</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Do najbardziej znaczących błędów i manipulacji należą:</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Odrzucenie z Grupy Wyszehradzkiej</w:t>
      </w:r>
      <w:r w:rsidDel="00000000" w:rsidR="00000000" w:rsidRPr="00000000">
        <w:rPr>
          <w:rFonts w:ascii="Google Sans" w:cs="Google Sans" w:eastAsia="Google Sans" w:hAnsi="Google Sans"/>
          <w:rtl w:val="0"/>
        </w:rPr>
        <w:t xml:space="preserve">: W latach 90. rumuńskie elity polityczne </w:t>
        <w:br w:type="textWrapping"/>
        <w:t xml:space="preserve">i dziennikarze, ignorując głębokie różnice kulturowe, wyznaniowe i społeczne dzielące przestrzeń prawosławną od katolicko-protestanckiego kręgu Europy Środkowej, forsowali ideę natychmiastowego członkostwa Rumunii w Grupie Wyszehradzkiej.</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Naturalne i grzeczne odrzucenie tej kandydatury przez państwa członkowskie wywołało w kraju falę niezrozumienia i frustracji, będącą wynikiem braku realizmu kulturowego.</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Teza o „Syberii Ducha”</w:t>
      </w:r>
      <w:r w:rsidDel="00000000" w:rsidR="00000000" w:rsidRPr="00000000">
        <w:rPr>
          <w:rFonts w:ascii="Google Sans" w:cs="Google Sans" w:eastAsia="Google Sans" w:hAnsi="Google Sans"/>
          <w:rtl w:val="0"/>
        </w:rPr>
        <w:t xml:space="preserve">: Po upadku dyktatury komunistycznej nowo powstałe wolne media zaczęły agresywnie lansować tezę, że okres komunistyczny w Rumunii był całkowitą pustynią intelektualną.</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Twierdzenie to było rażącym kłamstwem, ignorującym bogaty dorobek wybitnych dysydentów i twórców kultury, którzy </w:t>
      </w:r>
      <w:r w:rsidDel="00000000" w:rsidR="00000000" w:rsidRPr="00000000">
        <w:rPr>
          <w:rtl w:val="0"/>
        </w:rPr>
        <w:t xml:space="preserve">(</w:t>
      </w:r>
      <w:r w:rsidDel="00000000" w:rsidR="00000000" w:rsidRPr="00000000">
        <w:rPr>
          <w:rFonts w:ascii="Google Sans" w:cs="Google Sans" w:eastAsia="Google Sans" w:hAnsi="Google Sans"/>
          <w:rtl w:val="0"/>
        </w:rPr>
        <w:t xml:space="preserve">paradoksalnie) po 1989 roku stali się twarzami nowej, antykomunistycznej debaty publicznej.</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Konflikty wyznaniowe i oskarżenia kleru prawosławnego</w:t>
      </w:r>
      <w:r w:rsidDel="00000000" w:rsidR="00000000" w:rsidRPr="00000000">
        <w:rPr>
          <w:rFonts w:ascii="Google Sans" w:cs="Google Sans" w:eastAsia="Google Sans" w:hAnsi="Google Sans"/>
          <w:rtl w:val="0"/>
        </w:rPr>
        <w:t xml:space="preserve">: Brak wiedzy dziennikarzy </w:t>
        <w:br w:type="textWrapping"/>
        <w:t xml:space="preserve">w zakresie różnic między wschodnim cezaropapizmem (podporządkowaniem Kościoła państwu) a zachodnim papocezarizmem doprowadził do niesprawiedliwych oskarżeń wyższego duchowieństwa prawosławnego o systemową kolaborację z reżimem komunistycznym, bezpodstawnie kontrastując ich postawę z Kościołem rzymskokatolickim.</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Teza o kumańskim pochodzeniu wojewodów</w:t>
      </w:r>
      <w:r w:rsidDel="00000000" w:rsidR="00000000" w:rsidRPr="00000000">
        <w:rPr>
          <w:rFonts w:ascii="Google Sans" w:cs="Google Sans" w:eastAsia="Google Sans" w:hAnsi="Google Sans"/>
          <w:rtl w:val="0"/>
        </w:rPr>
        <w:t xml:space="preserve">: Bezrefleksyjne nagłośnienie w mediach nienaukowych i pozbawionych dowodów źródłowych tez o rzekomym kumańsko-turkijskim (i katolickim) pochodzeniu pierwszych założycieli państwowości rumuńskiej, co uderzało w fundamenty rumuńskiej etnogenezy.</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Tragiczne kryzysy karykaturalne</w:t>
      </w:r>
      <w:r w:rsidDel="00000000" w:rsidR="00000000" w:rsidRPr="00000000">
        <w:rPr>
          <w:rFonts w:ascii="Google Sans" w:cs="Google Sans" w:eastAsia="Google Sans" w:hAnsi="Google Sans"/>
          <w:rtl w:val="0"/>
        </w:rPr>
        <w:t xml:space="preserve">: Publikacja karykatur Mahometa (Dania 2005, Francja 2015), będąca efektem ignorancji zachodnich dziennikarzy wobec specyfiki cywilizacji islamskiej i absolutyzacji wolności słowa, zderzyła się z radykalną reakcją ekstremistów, prowadząc do tragicznej utraty życia ludzkiego.</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Galanton wskazuje również na zjawisko bombardowania informacyjnego (information bombarding), które poprzez zalewanie obywateli gigantyczną ilością niespójnych danych wywołuje efekt sedacji (sedation effect), drastycznie obniżając krytycyzm poznawczy społeczeństwa i czyniąc je podatnym na najprostsze formy manipulacji.</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71">
      <w:pPr>
        <w:pStyle w:val="Heading3"/>
        <w:rPr>
          <w:rFonts w:ascii="Google Sans" w:cs="Google Sans" w:eastAsia="Google Sans" w:hAnsi="Google Sans"/>
        </w:rPr>
      </w:pPr>
      <w:r w:rsidDel="00000000" w:rsidR="00000000" w:rsidRPr="00000000">
        <w:rPr>
          <w:rtl w:val="0"/>
        </w:rPr>
        <w:t xml:space="preserve">5.4. </w:t>
      </w:r>
      <w:r w:rsidDel="00000000" w:rsidR="00000000" w:rsidRPr="00000000">
        <w:rPr>
          <w:rtl w:val="0"/>
        </w:rPr>
        <w:t xml:space="preserve">Cyfrowy</w:t>
      </w:r>
      <w:r w:rsidDel="00000000" w:rsidR="00000000" w:rsidRPr="00000000">
        <w:rPr>
          <w:rFonts w:ascii="Google Sans" w:cs="Google Sans" w:eastAsia="Google Sans" w:hAnsi="Google Sans"/>
          <w:rtl w:val="0"/>
        </w:rPr>
        <w:t xml:space="preserve"> warsztat manipulacji i kampanie dezinformacyjne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Współczesna manipulacja tożsamościowa w cyberprzestrzeni operuje wysoce wyspecjalizowanym warsztatem technicznym (trade craft), szczegółowo badanym przez instytut Data &amp; Society.</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Strategie te obejmują hakowanie źródeł (source hacking), fabrykowanie wycieków dokumentów, generowanie fałszywych materiałów audiowizualnych (deepfakes, cheap fakes) oraz manipulowanie algorytmami wyszukiwarek i trendów w celu sztucznego wprowadzania niszowych teorii spiskowych do debaty głównego nurtu.</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Znamiennym przykładem jest ruch QAnon, który zdołał stworzyć własną, alternatywną instytucję legitymizacji wiedzy, całkowicie niezależną od oficjalnych autorytetów naukowych </w:t>
        <w:br w:type="textWrapping"/>
        <w:t xml:space="preserve">i medialnych.</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Badania empiryczne przeprowadzone przez polski instytut NASK ujawniają dramatyczną skalę podatności społeczeństwa na tego typu operacje: aż 19% ankietowanych wprost przyznaje, że w ogóle nie weryfikuje wiarygodności informacji znajdowanych w sieci ani ich źródeł, a 32,8% ma poważne trudności z określeniem, czy w ostatnim czasie zetknęło się ze zmanipulowanym przekazem.</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 kolei analizy konsorcjum CEDMO (Central European Digital Media Observatory) wykazują, że legitymizacja dezinformacji i fake newsów w 52% opiera się na odwołaniach do zasad moralnych i rzekomej obrony „właściwego porządku świata”, budując czarno-białą, spolaryzowaną narrację, w której „zwykli, krzywdzeni ludzie” są systemowo uciskani przez złowrogie instytucje władzy.</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pPr>
      <w:r w:rsidDel="00000000" w:rsidR="00000000" w:rsidRPr="00000000">
        <w:rPr>
          <w:rtl w:val="0"/>
        </w:rPr>
      </w:r>
    </w:p>
    <w:p w:rsidR="00000000" w:rsidDel="00000000" w:rsidP="00000000" w:rsidRDefault="00000000" w:rsidRPr="00000000" w14:paraId="00000077">
      <w:pPr>
        <w:pStyle w:val="Heading2"/>
        <w:numPr>
          <w:ilvl w:val="0"/>
          <w:numId w:val="5"/>
        </w:numPr>
        <w:pBdr>
          <w:top w:space="0" w:sz="0" w:val="nil"/>
          <w:left w:space="0" w:sz="0" w:val="nil"/>
          <w:bottom w:space="0" w:sz="0" w:val="nil"/>
          <w:right w:space="0" w:sz="0" w:val="nil"/>
          <w:between w:space="0" w:sz="0" w:val="nil"/>
        </w:pBdr>
        <w:shd w:fill="auto" w:val="clear"/>
        <w:spacing w:before="0" w:line="275.9999942779541"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Konsekwencje kliniczne i społeczno-psychologiczne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Systemowe oddziaływanie manipulacji kulturowej wywiera destrukcyjny wpływ na dobrostan psychiczny jednostek, prowadząc do głębokich zaburzeń tożsamościowych i trudności adaptacyjnych.</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Proces ten jest szczególnie dotkliwy dla migrantów i uchodźców poddawanych presji przymusowej asymilacji.</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Zgodnie z klasycznymi modelami akulturacji Johna Berry'ego, jednostki stają przed koniecznością negocjacji między utrzymaniem kultury pochodzenia a adopcją kultury przyjmującej, co prowadzi do czterech strategii: integracji, asymilacji, separacji oraz marginalizacji.</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Wymuszanie asymilacji bądź marginalizacja wywołują u imigrantów głębokie poczucie demoralizacji, wyobcowania oraz chroniczny konflikt wartości (cultural conflict), będący bezpośrednim źródłem zaburzeń depresyjnych i lękowych.</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 sferze klinicznej różnice kulturowe i narzucone przez nie skrypty komunikacyjne determinują sposób prezentowania objawów przez pacjentów.</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Pacjenci z kręgów kolektywistycznych wykazują silną tendencję do somatyzacji cierpienia psychicznego (zgłaszają ból fizyczny zamiast smutku), co przy barierach językowych i uprzedzeniach kulturowych personelu medycznego w placówkach podstawowej opieki zdrowotnej drastycznie zwiększa ryzyko niewykrycia zaburzeń psychicznych.</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Szacuje się, że od jednej trzeciej do połowy pacjentów z zaburzeniami psychicznymi w podstawowej opiece zdrowotnej pozostaje niezdiagnozowanych, a mniejszości etniczne należą do grupy najwyższego ryzyka błędu diagnostycznego.</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Manipulacja kulturowa wpływa również na samo zjawisko konformizmu społecznego.</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Eksperymenty wykazują, że o ile członkowie kultur kolektywistycznych częściej ulegają konformizmowi w klasycznych testach wzrokowych typu Ascha (ocena długości linii), o tyle przetwarzanie informacji zwrotnych dotyczących cech charakteru ujawnia znacznie bardziej skomplikowaną dynamikę.</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W kulturach niezależnych (np. w Niemczech) konformizm niesie ze sobą pejoratywne konotacje, podczas gdy w kulturach współzależnych (np. w Chinach) jest postrzegany pozytywnie jako dążenie do harmonii.</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Różnice te determinują podatność na manipulacyjne shaming i moralizatorstwo, co bezpośrednio przekłada się na skuteczność odgórnej kontroli społecznej w różnych kręgach cywilizacyjnych.</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D">
      <w:pPr>
        <w:pStyle w:val="Heading2"/>
        <w:numPr>
          <w:ilvl w:val="0"/>
          <w:numId w:val="5"/>
        </w:numPr>
        <w:pBdr>
          <w:top w:space="0" w:sz="0" w:val="nil"/>
          <w:left w:space="0" w:sz="0" w:val="nil"/>
          <w:bottom w:space="0" w:sz="0" w:val="nil"/>
          <w:right w:space="0" w:sz="0" w:val="nil"/>
          <w:between w:space="0" w:sz="0" w:val="nil"/>
        </w:pBdr>
        <w:shd w:fill="auto" w:val="clear"/>
        <w:spacing w:before="0" w:line="275.9999942779541"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Wnioski i kierunki przeciwdziałania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Przeciwdziałanie systemowej manipulacji kulturowej wymaga wdrożenia zintegrowanych, interdyscyplinarnych strategii obronnych, łączących edukację poznawczą, regulacje technologiczne oraz monitoring społeczny:</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Promowanie powolnego myślenia (slow thinking)</w:t>
      </w:r>
      <w:r w:rsidDel="00000000" w:rsidR="00000000" w:rsidRPr="00000000">
        <w:rPr>
          <w:rFonts w:ascii="Google Sans" w:cs="Google Sans" w:eastAsia="Google Sans" w:hAnsi="Google Sans"/>
          <w:rtl w:val="0"/>
        </w:rPr>
        <w:t xml:space="preserve">: Kluczem do neutralizacji dezinformacji jest rozwijanie u odbiorców umiejętności krytycznego dystansu wobec emocji zawartych w przekazach medialnych.</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Konieczne jest systemowe wdrażanie programów edukacyjnych stymulujących analityczne przetwarzanie danych w miejsce automatycznych reakcji afektywnych.</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Wdrażanie algorytmicznych systemów detekcji</w:t>
      </w:r>
      <w:r w:rsidDel="00000000" w:rsidR="00000000" w:rsidRPr="00000000">
        <w:rPr>
          <w:rFonts w:ascii="Google Sans" w:cs="Google Sans" w:eastAsia="Google Sans" w:hAnsi="Google Sans"/>
          <w:rtl w:val="0"/>
        </w:rPr>
        <w:t xml:space="preserve">: Walka z zalewem fałszywych informacji w mediach społecznościowych wymaga rozwoju zaawansowanych modeli uczenia maszynowego.</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Modele te muszą opierać się na dwutorowej analizie: analizie języka (wykrywanie stylu i jakości pisania charakterystycznych dla fake newsów) oraz analizie propagacji (śledzenie podejrzanych wzorców rozpowszechniania treści przez boty i farmy trolli).</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jc w:val="left"/>
      </w:pPr>
      <w:r w:rsidDel="00000000" w:rsidR="00000000" w:rsidRPr="00000000">
        <w:rPr>
          <w:rFonts w:ascii="Google Sans" w:cs="Google Sans" w:eastAsia="Google Sans" w:hAnsi="Google Sans"/>
          <w:b w:val="1"/>
          <w:bCs w:val="1"/>
          <w:rtl w:val="0"/>
        </w:rPr>
        <w:t xml:space="preserve">Zwalczanie manipulacji tożsamościowej metodą racism-baiting</w:t>
      </w:r>
      <w:r w:rsidDel="00000000" w:rsidR="00000000" w:rsidRPr="00000000">
        <w:rPr>
          <w:rFonts w:ascii="Google Sans" w:cs="Google Sans" w:eastAsia="Google Sans" w:hAnsi="Google Sans"/>
          <w:rtl w:val="0"/>
        </w:rPr>
        <w:t xml:space="preserve">: Skutecznym narzędziem obrony mniejszości przed systemową stygmatyzacją jest monitoring </w:t>
        <w:br w:type="textWrapping"/>
        <w:t xml:space="preserve">i publiczne demaskowanie polityków oraz instytucji stosujących uprzedzenia rasowe </w:t>
        <w:br w:type="textWrapping"/>
        <w:t xml:space="preserve">i kulturowe do celów wyborczych.</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Działalność wyspecjalizowanych lig antyfaszystowskich i organizacji strażniczych odgrywa kluczową rolę w prawnym </w:t>
        <w:br w:type="textWrapping"/>
        <w:t xml:space="preserve">i wizerunkowym dyscyplinowaniu manipulatorów.</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Strukturalna modyfikacja sytuacji decyzyjnych</w:t>
      </w:r>
      <w:r w:rsidDel="00000000" w:rsidR="00000000" w:rsidRPr="00000000">
        <w:rPr>
          <w:rFonts w:ascii="Google Sans" w:cs="Google Sans" w:eastAsia="Google Sans" w:hAnsi="Google Sans"/>
          <w:rtl w:val="0"/>
        </w:rPr>
        <w:t xml:space="preserve">: Zgodnie z badaniami Toshio Yamagishiego, zamiast nieskutecznych prób natychmiastowej zmiany zakorzenionych wartości kulturowych, skuteczniejszą metodą eliminacji uprzedzeń jest zmiana parametrów strukturalnych danej sytuacji (np. wprowadzenie instytucjonalnych gwarancji transparentności lub salwentności konsekwencji społecznych), co automatycznie wymusza zmianę zachowań u członków grupy większościowej.</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Ochrona suwerenności kognitywnej współczesnych społeczeństw zależy od determinacji państw i organizacji międzynarodowych w zakresie budowania odporności obywateli na techniki manipulacyjne przemysłu kulturowego oraz od rzetelności naukowej w badaniu różnic kulturowych bez popadania w ideologiczny rewizjonizm.</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t xml:space="preserve">Bibliografia</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Nastolatki wobec internetu</w:t>
      </w:r>
      <w:r w:rsidDel="00000000" w:rsidR="00000000" w:rsidRPr="00000000">
        <w:rPr>
          <w:sz w:val="24"/>
          <w:szCs w:val="24"/>
          <w:rtl w:val="0"/>
        </w:rPr>
        <w:t xml:space="preserve">,</w:t>
      </w:r>
      <w:r w:rsidDel="00000000" w:rsidR="00000000" w:rsidRPr="00000000">
        <w:rPr>
          <w:rFonts w:ascii="Google Sans" w:cs="Google Sans" w:eastAsia="Google Sans" w:hAnsi="Google Sans"/>
          <w:sz w:val="24"/>
          <w:szCs w:val="24"/>
          <w:rtl w:val="0"/>
        </w:rPr>
        <w:t xml:space="preserve"> Cyberprofilaktyka NASK,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14">
        <w:r w:rsidDel="00000000" w:rsidR="00000000" w:rsidRPr="00000000">
          <w:rPr>
            <w:rFonts w:ascii="Google Sans" w:cs="Google Sans" w:eastAsia="Google Sans" w:hAnsi="Google Sans"/>
            <w:color w:val="0000ee"/>
            <w:sz w:val="24"/>
            <w:szCs w:val="24"/>
            <w:u w:val="single"/>
            <w:rtl w:val="0"/>
          </w:rPr>
          <w:t xml:space="preserve">https://cyberprofilaktyka.pl/publikacje/Nastolatki_wobec_internetu_.pdf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Edukacja – relacja – zabawa - Cyberprofilaktyka NASK,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15">
        <w:r w:rsidDel="00000000" w:rsidR="00000000" w:rsidRPr="00000000">
          <w:rPr>
            <w:rFonts w:ascii="Google Sans" w:cs="Google Sans" w:eastAsia="Google Sans" w:hAnsi="Google Sans"/>
            <w:color w:val="0000ee"/>
            <w:sz w:val="24"/>
            <w:szCs w:val="24"/>
            <w:u w:val="single"/>
            <w:rtl w:val="0"/>
          </w:rPr>
          <w:t xml:space="preserve">https://cyberprofilaktyka.pl/publikacje/edukacja-relacja-zabawa.pdf</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Manipulation: Meaning, Examples, &amp; Techniques to Be Safe - The Power Moves,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16">
        <w:r w:rsidDel="00000000" w:rsidR="00000000" w:rsidRPr="00000000">
          <w:rPr>
            <w:rFonts w:ascii="Google Sans" w:cs="Google Sans" w:eastAsia="Google Sans" w:hAnsi="Google Sans"/>
            <w:color w:val="0000ee"/>
            <w:sz w:val="24"/>
            <w:szCs w:val="24"/>
            <w:u w:val="single"/>
            <w:rtl w:val="0"/>
          </w:rPr>
          <w:t xml:space="preserve">https://thepowermoves.com/manipulation/</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Psychological Culture: Ambivalence and Resistance to Social Change - OAsis: UNLV's - University of Nevada, Las Vegas,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17">
        <w:r w:rsidDel="00000000" w:rsidR="00000000" w:rsidRPr="00000000">
          <w:rPr>
            <w:rFonts w:ascii="Google Sans" w:cs="Google Sans" w:eastAsia="Google Sans" w:hAnsi="Google Sans"/>
            <w:color w:val="0000ee"/>
            <w:sz w:val="24"/>
            <w:szCs w:val="24"/>
            <w:u w:val="single"/>
            <w:rtl w:val="0"/>
          </w:rPr>
          <w:t xml:space="preserve">https://oasis.library.unlv.edu/cgi/viewcontent.cgi?article=1004&amp;context=russian_culture</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The Frankfurt School and Antonio Gramsci: Theoretical concerns in the practice of Cultural Criticism, and their “means” to producing - Bilgi Üniversitesi,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18">
        <w:r w:rsidDel="00000000" w:rsidR="00000000" w:rsidRPr="00000000">
          <w:rPr>
            <w:rFonts w:ascii="Google Sans" w:cs="Google Sans" w:eastAsia="Google Sans" w:hAnsi="Google Sans"/>
            <w:color w:val="0000ee"/>
            <w:sz w:val="24"/>
            <w:szCs w:val="24"/>
            <w:u w:val="single"/>
            <w:rtl w:val="0"/>
          </w:rPr>
          <w:t xml:space="preserve">https://openaccess.bilgi.edu.tr/bitstream/handle/11411/541/The%20Frankfurt%20School%20and%20Antonio%20Gramsci%20Theoretical%20concerns%20in%20the%20practice%20of%20cultural%20criticism,%20an%20their%20means%20to%20producing%20aneo-Marxist%20approach.pdf?sequence=1</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Diverse Approaches in Cultural Studies: A Comparative Analysis ...,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19">
        <w:r w:rsidDel="00000000" w:rsidR="00000000" w:rsidRPr="00000000">
          <w:rPr>
            <w:rFonts w:ascii="Google Sans" w:cs="Google Sans" w:eastAsia="Google Sans" w:hAnsi="Google Sans"/>
            <w:color w:val="0000ee"/>
            <w:sz w:val="24"/>
            <w:szCs w:val="24"/>
            <w:u w:val="single"/>
            <w:rtl w:val="0"/>
          </w:rPr>
          <w:t xml:space="preserve">https://journalism.university/media-and-communication-theories/cultural-studies-diverse-approaches-comparison/</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On Cultural Criticism: The Parallels between Gramsci and Frankfurt ...,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0">
        <w:r w:rsidDel="00000000" w:rsidR="00000000" w:rsidRPr="00000000">
          <w:rPr>
            <w:rFonts w:ascii="Google Sans" w:cs="Google Sans" w:eastAsia="Google Sans" w:hAnsi="Google Sans"/>
            <w:color w:val="0000ee"/>
            <w:sz w:val="24"/>
            <w:szCs w:val="24"/>
            <w:u w:val="single"/>
            <w:rtl w:val="0"/>
          </w:rPr>
          <w:t xml:space="preserve">https://medium.com/@ailiya.nooruddin/on-cultural-criticism-the-parallels-between-gramsci-and-frankfurt-school-8e4e1a0aaa6d</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hegemony - Wikipedia,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https://en.wikipedia.org/wiki/Cultural_hegemony</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Hegemonia Kulturowa | PDF - Scribd,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https://www.scribd.com/document/912421638/Hegemonia-kulturowa</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Public sphere - Wikipedia,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https://en.wikipedia.org/wiki/Public_sphere</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Culture Traits, Strength, and Organizational Performance: Moving Beyond “Strong” Culture | Academy of Management Review,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4">
        <w:r w:rsidDel="00000000" w:rsidR="00000000" w:rsidRPr="00000000">
          <w:rPr>
            <w:rFonts w:ascii="Google Sans" w:cs="Google Sans" w:eastAsia="Google Sans" w:hAnsi="Google Sans"/>
            <w:color w:val="0000ee"/>
            <w:sz w:val="24"/>
            <w:szCs w:val="24"/>
            <w:u w:val="single"/>
            <w:rtl w:val="0"/>
          </w:rPr>
          <w:t xml:space="preserve">https://journals.aom.org/doi/10.5465/amr.1988.4307418</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5">
        <w:r w:rsidDel="00000000" w:rsidR="00000000" w:rsidRPr="00000000">
          <w:rPr>
            <w:rFonts w:ascii="Google Sans" w:cs="Google Sans" w:eastAsia="Google Sans" w:hAnsi="Google Sans"/>
            <w:color w:val="0000ee"/>
            <w:sz w:val="24"/>
            <w:szCs w:val="24"/>
            <w:u w:val="single"/>
            <w:rtl w:val="0"/>
          </w:rPr>
          <w:t xml:space="preserve">https://notes.darrensmith.com.au/Control/Control+via+Language+Manipulation/Cultural+Manipulation/Cultural+Manipulation#:~:text=24.1.,cultural%20vilification%20by%20the%20manipulator.</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Manipulation - Darren's Public Notes,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6">
        <w:r w:rsidDel="00000000" w:rsidR="00000000" w:rsidRPr="00000000">
          <w:rPr>
            <w:rFonts w:ascii="Google Sans" w:cs="Google Sans" w:eastAsia="Google Sans" w:hAnsi="Google Sans"/>
            <w:color w:val="0000ee"/>
            <w:sz w:val="24"/>
            <w:szCs w:val="24"/>
            <w:u w:val="single"/>
            <w:rtl w:val="0"/>
          </w:rPr>
          <w:t xml:space="preserve">https://notes.darrensmith.com.au/Control/Control+via+Language+Manipulation/Cultural+Manipulation/Cultural+Manipulation</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Denial or Conspiracy of Silence - Rational-Understanding.com,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7">
        <w:r w:rsidDel="00000000" w:rsidR="00000000" w:rsidRPr="00000000">
          <w:rPr>
            <w:rFonts w:ascii="Google Sans" w:cs="Google Sans" w:eastAsia="Google Sans" w:hAnsi="Google Sans"/>
            <w:color w:val="0000ee"/>
            <w:sz w:val="24"/>
            <w:szCs w:val="24"/>
            <w:u w:val="single"/>
            <w:rtl w:val="0"/>
          </w:rPr>
          <w:t xml:space="preserve">https://rational-understanding.com/2023/09/05/cultural-denial-or-conspiracy-of-silence/</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Dezinformacja jako narzędzie manipulacji medialnej - Wojsko-Polskie.pl,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8">
        <w:r w:rsidDel="00000000" w:rsidR="00000000" w:rsidRPr="00000000">
          <w:rPr>
            <w:rFonts w:ascii="Google Sans" w:cs="Google Sans" w:eastAsia="Google Sans" w:hAnsi="Google Sans"/>
            <w:color w:val="0000ee"/>
            <w:sz w:val="24"/>
            <w:szCs w:val="24"/>
            <w:u w:val="single"/>
            <w:rtl w:val="0"/>
          </w:rPr>
          <w:t xml:space="preserve">https://www.wojsko-polskie.pl/awl/u/f8/77/f877f702-2832-4f44-bf46-7172128db9a3/5_n_szymanska_2023.pdf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Using true experiments to study culture: Manipulations, measurement issues, and the question of appropriate control groups - SJSU ScholarWorks,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29">
        <w:r w:rsidDel="00000000" w:rsidR="00000000" w:rsidRPr="00000000">
          <w:rPr>
            <w:rFonts w:ascii="Google Sans" w:cs="Google Sans" w:eastAsia="Google Sans" w:hAnsi="Google Sans"/>
            <w:color w:val="0000ee"/>
            <w:sz w:val="24"/>
            <w:szCs w:val="24"/>
            <w:u w:val="single"/>
            <w:rtl w:val="0"/>
          </w:rPr>
          <w:t xml:space="preserve">https://scholarworks.sjsu.edu/cgi/viewcontent.cgi?article=1796&amp;context=faculty_rsca</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Consideration of culture in cognition: How we can enrich methodology and theory - PMC,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https://pmc.ncbi.nlm.nih.gov/articles/PMC10258220/</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Priming Effects and the Human Brain (Chapter 7),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1">
        <w:r w:rsidDel="00000000" w:rsidR="00000000" w:rsidRPr="00000000">
          <w:rPr>
            <w:rFonts w:ascii="Google Sans" w:cs="Google Sans" w:eastAsia="Google Sans" w:hAnsi="Google Sans"/>
            <w:color w:val="0000ee"/>
            <w:sz w:val="24"/>
            <w:szCs w:val="24"/>
            <w:u w:val="single"/>
            <w:rtl w:val="0"/>
          </w:rPr>
          <w:t xml:space="preserve">https://www.cambridge.org/core/books/culture-mind-and-brain/cultural-priming-effects-and-the-human-brain/FF5BBDE4E6622341112DE2836872E133</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Individualism, Collectivism, and Allocation Behavior: Evidence from the Ultimatum Game and Dictator Game - PMC,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https://pmc.ncbi.nlm.nih.gov/articles/PMC9951955/</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Priming as a Tool to Understand Multiculturalism and Culture - ScholarWorks@GVSU,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3">
        <w:r w:rsidDel="00000000" w:rsidR="00000000" w:rsidRPr="00000000">
          <w:rPr>
            <w:rFonts w:ascii="Google Sans" w:cs="Google Sans" w:eastAsia="Google Sans" w:hAnsi="Google Sans"/>
            <w:color w:val="0000ee"/>
            <w:sz w:val="24"/>
            <w:szCs w:val="24"/>
            <w:u w:val="single"/>
            <w:rtl w:val="0"/>
          </w:rPr>
          <w:t xml:space="preserve">https://scholarworks.gvsu.edu/cgi/viewcontent.cgi?article=1134&amp;context=orpc</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Evidence for a Cultural Mindset: Combining Process Data, Theory, and Simulation - PMC,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https://pmc.ncbi.nlm.nih.gov/articles/PMC8461051/</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"Using true experiments to study culture: Manipulations, measurement is" by Christine Ma-Kellams - SJSU ScholarWorks,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5">
        <w:r w:rsidDel="00000000" w:rsidR="00000000" w:rsidRPr="00000000">
          <w:rPr>
            <w:rFonts w:ascii="Google Sans" w:cs="Google Sans" w:eastAsia="Google Sans" w:hAnsi="Google Sans"/>
            <w:color w:val="0000ee"/>
            <w:sz w:val="24"/>
            <w:szCs w:val="24"/>
            <w:u w:val="single"/>
            <w:rtl w:val="0"/>
          </w:rPr>
          <w:t xml:space="preserve">https://scholarworks.sjsu.edu/faculty_rsca/797/</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Chapter 2 Culture Counts: The Influence of Culture and Society on Mental Health - NCBI,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6">
        <w:r w:rsidDel="00000000" w:rsidR="00000000" w:rsidRPr="00000000">
          <w:rPr>
            <w:rFonts w:ascii="Google Sans" w:cs="Google Sans" w:eastAsia="Google Sans" w:hAnsi="Google Sans"/>
            <w:color w:val="0000ee"/>
            <w:sz w:val="24"/>
            <w:szCs w:val="24"/>
            <w:u w:val="single"/>
            <w:rtl w:val="0"/>
          </w:rPr>
          <w:t xml:space="preserve">https://www.ncbi.nlm.nih.gov/books/NBK44249/</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Media Spectacle by Douglas Kellner - UCLA School of Education &amp; Information Studies,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7">
        <w:r w:rsidDel="00000000" w:rsidR="00000000" w:rsidRPr="00000000">
          <w:rPr>
            <w:rFonts w:ascii="Google Sans" w:cs="Google Sans" w:eastAsia="Google Sans" w:hAnsi="Google Sans"/>
            <w:color w:val="0000ee"/>
            <w:sz w:val="24"/>
            <w:szCs w:val="24"/>
            <w:u w:val="single"/>
            <w:rtl w:val="0"/>
          </w:rPr>
          <w:t xml:space="preserve">https://pages.gseis.ucla.edu/faculty/kellner/papers/mediaspectacleintro.htm</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(PDF) CULTURAL FALSIFICATION THROUGH DOCUMENTARIES: THE CASE OF CLEOPATRAPALSU BUDAYA MELALUI DOKUMENTER: KASUS CLEOPATRA - ResearchGate,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https://www.researchgate.net/publication/394579418_CULTURAL_FALSIFICATION_THROUGH_DOCUMENTARIES_THE_CASE_OF_CLEOPATRAPALSU_BUDAYA_MELALUI_DOKUMENTER_KASUS_CLEOPATRA</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Window into Cultural Manipulation: The Conservative Attack on National History Standards, 1994-1995 - DigitalCommons@UMaine,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39">
        <w:r w:rsidDel="00000000" w:rsidR="00000000" w:rsidRPr="00000000">
          <w:rPr>
            <w:rFonts w:ascii="Google Sans" w:cs="Google Sans" w:eastAsia="Google Sans" w:hAnsi="Google Sans"/>
            <w:color w:val="0000ee"/>
            <w:sz w:val="24"/>
            <w:szCs w:val="24"/>
            <w:u w:val="single"/>
            <w:rtl w:val="0"/>
          </w:rPr>
          <w:t xml:space="preserve">https://digitalcommons.library.umaine.edu/cgi/viewcontent.cgi?article=3337&amp;context=etd</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Is Black history at risk of being erased? - Planet Detroit,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0">
        <w:r w:rsidDel="00000000" w:rsidR="00000000" w:rsidRPr="00000000">
          <w:rPr>
            <w:rFonts w:ascii="Google Sans" w:cs="Google Sans" w:eastAsia="Google Sans" w:hAnsi="Google Sans"/>
            <w:color w:val="0000ee"/>
            <w:sz w:val="24"/>
            <w:szCs w:val="24"/>
            <w:u w:val="single"/>
            <w:rtl w:val="0"/>
          </w:rPr>
          <w:t xml:space="preserve">https://planetdetroit.org/2025/08/cultural-manipulation-black-community/</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An empirical study on cultural identity measurement and its influence mechanism among heritage tourists - Frontiers,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https://www.frontiersin.org/journals/psychology/articles/10.3389/fpsyg.2022.1032672/full</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THE MANIPULATION THROUGH MEDIA, FROM CONCEPT TO PRACTICAL APPLICATION - International Journal of Communication Research,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2">
        <w:r w:rsidDel="00000000" w:rsidR="00000000" w:rsidRPr="00000000">
          <w:rPr>
            <w:rFonts w:ascii="Google Sans" w:cs="Google Sans" w:eastAsia="Google Sans" w:hAnsi="Google Sans"/>
            <w:color w:val="0000ee"/>
            <w:sz w:val="24"/>
            <w:szCs w:val="24"/>
            <w:u w:val="single"/>
            <w:rtl w:val="0"/>
          </w:rPr>
          <w:t xml:space="preserve">https://www.ijcr.eu/articole/433_003%20Dana%20GALANTON.pdf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Media Manipulation &amp; Disinformation - Data &amp; Society Research Institute,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3">
        <w:r w:rsidDel="00000000" w:rsidR="00000000" w:rsidRPr="00000000">
          <w:rPr>
            <w:rFonts w:ascii="Google Sans" w:cs="Google Sans" w:eastAsia="Google Sans" w:hAnsi="Google Sans"/>
            <w:color w:val="0000ee"/>
            <w:sz w:val="24"/>
            <w:szCs w:val="24"/>
            <w:u w:val="single"/>
            <w:rtl w:val="0"/>
          </w:rPr>
          <w:t xml:space="preserve">https://datasociety.net/research/media-manipulation/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Dezinformacja i manipulacja w Internecie – wyniki badań NASK - Ministerstwo Cyfryzacji,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4">
        <w:r w:rsidDel="00000000" w:rsidR="00000000" w:rsidRPr="00000000">
          <w:rPr>
            <w:rFonts w:ascii="Google Sans" w:cs="Google Sans" w:eastAsia="Google Sans" w:hAnsi="Google Sans"/>
            <w:color w:val="0000ee"/>
            <w:sz w:val="24"/>
            <w:szCs w:val="24"/>
            <w:u w:val="single"/>
            <w:rtl w:val="0"/>
          </w:rPr>
          <w:t xml:space="preserve">https://www.gov.pl/web/cyfryzacja/dezinformacja-i-manipulacja-w-internecie-wyniki-badan-nask</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Co wiemy o fake newsach? – badania CEDMO 2.0 - Uniwersytet SWPS,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5">
        <w:r w:rsidDel="00000000" w:rsidR="00000000" w:rsidRPr="00000000">
          <w:rPr>
            <w:rFonts w:ascii="Google Sans" w:cs="Google Sans" w:eastAsia="Google Sans" w:hAnsi="Google Sans"/>
            <w:color w:val="0000ee"/>
            <w:sz w:val="24"/>
            <w:szCs w:val="24"/>
            <w:u w:val="single"/>
            <w:rtl w:val="0"/>
          </w:rPr>
          <w:t xml:space="preserve">https://swps.pl/centrum-prasowe/informacje-prasowe/37489-co-wiemy-o-fake-newsach-badania-cedmo-2-0</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Diversity and Mental Health: Considerations for Policy and Practice - Frontiers,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https://www.frontiersin.org/journals/public-health/articles/10.3389/fpubh.2018.00179/full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Effects and Perspectives on Mental Health - MindPlace Madrid,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7">
        <w:r w:rsidDel="00000000" w:rsidR="00000000" w:rsidRPr="00000000">
          <w:rPr>
            <w:rFonts w:ascii="Google Sans" w:cs="Google Sans" w:eastAsia="Google Sans" w:hAnsi="Google Sans"/>
            <w:color w:val="0000ee"/>
            <w:sz w:val="24"/>
            <w:szCs w:val="24"/>
            <w:u w:val="single"/>
            <w:rtl w:val="0"/>
          </w:rPr>
          <w:t xml:space="preserve">https://www.mindplacecenter.com/en/post/cultural-effects-and-perspectives-on-mental-health</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Cultural influences on social feedback processing of character traits - PMC - NIH,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https://pmc.ncbi.nlm.nih.gov/articles/PMC3983486/</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jc w:val="left"/>
      </w:pPr>
      <w:r w:rsidDel="00000000" w:rsidR="00000000" w:rsidRPr="00000000">
        <w:rPr>
          <w:rFonts w:ascii="Google Sans" w:cs="Google Sans" w:eastAsia="Google Sans" w:hAnsi="Google Sans"/>
          <w:sz w:val="24"/>
          <w:szCs w:val="24"/>
          <w:rtl w:val="0"/>
        </w:rPr>
        <w:t xml:space="preserve">Dezinformacja w mediach społecznościowych. Przegląd technik automatycznego wykrywania fake news opartych o analizę języka</w:t>
      </w:r>
      <w:r w:rsidDel="00000000" w:rsidR="00000000" w:rsidRPr="00000000">
        <w:rPr>
          <w:sz w:val="24"/>
          <w:szCs w:val="24"/>
          <w:rtl w:val="0"/>
        </w:rPr>
        <w:t xml:space="preserve">,</w:t>
      </w:r>
      <w:r w:rsidDel="00000000" w:rsidR="00000000" w:rsidRPr="00000000">
        <w:rPr>
          <w:rFonts w:ascii="Google Sans" w:cs="Google Sans" w:eastAsia="Google Sans" w:hAnsi="Google Sans"/>
          <w:sz w:val="24"/>
          <w:szCs w:val="24"/>
          <w:rtl w:val="0"/>
        </w:rPr>
        <w:t xml:space="preserve"> Publisherspanel.com, </w:t>
      </w:r>
      <w:r w:rsidDel="00000000" w:rsidR="00000000" w:rsidRPr="00000000">
        <w:rPr>
          <w:sz w:val="24"/>
          <w:szCs w:val="24"/>
          <w:rtl w:val="0"/>
        </w:rPr>
        <w:t xml:space="preserve">dostęp:</w:t>
      </w:r>
      <w:r w:rsidDel="00000000" w:rsidR="00000000" w:rsidRPr="00000000">
        <w:rPr>
          <w:rFonts w:ascii="Google Sans" w:cs="Google Sans" w:eastAsia="Google Sans" w:hAnsi="Google Sans"/>
          <w:sz w:val="24"/>
          <w:szCs w:val="24"/>
          <w:rtl w:val="0"/>
        </w:rPr>
        <w:t xml:space="preserve"> maja 26, 2026, </w:t>
      </w:r>
      <w:hyperlink r:id="rId49">
        <w:r w:rsidDel="00000000" w:rsidR="00000000" w:rsidRPr="00000000">
          <w:rPr>
            <w:rFonts w:ascii="Google Sans" w:cs="Google Sans" w:eastAsia="Google Sans" w:hAnsi="Google Sans"/>
            <w:color w:val="0000ee"/>
            <w:sz w:val="24"/>
            <w:szCs w:val="24"/>
            <w:u w:val="single"/>
            <w:rtl w:val="0"/>
          </w:rPr>
          <w:t xml:space="preserve">https://publisherspanel.com/api/files/view/2920743.pdf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200" w:before="200" w:line="275.9999942779541"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240" w:before="0" w:lineRule="auto"/>
      <w:jc w:val="left"/>
    </w:pPr>
    <w:rPr>
      <w:b w:val="1"/>
      <w:bCs w:val="1"/>
      <w:sz w:val="32"/>
      <w:szCs w:val="32"/>
    </w:rPr>
  </w:style>
  <w:style w:type="paragraph" w:styleId="Heading3">
    <w:name w:val="heading 3"/>
    <w:basedOn w:val="Normal"/>
    <w:next w:val="Normal"/>
    <w:pPr>
      <w:spacing w:after="240" w:before="360" w:line="276"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lanetdetroit.org/2025/08/cultural-manipulation-black-community/" TargetMode="External"/><Relationship Id="rId42" Type="http://schemas.openxmlformats.org/officeDocument/2006/relationships/hyperlink" Target="https://www.ijcr.eu/articole/433_003%20Dana%20GALANTON.pdf" TargetMode="External"/><Relationship Id="rId41" Type="http://schemas.openxmlformats.org/officeDocument/2006/relationships/hyperlink" Target="https://www.frontiersin.org/journals/psychology/articles/10.3389/fpsyg.2022.1032672/full" TargetMode="External"/><Relationship Id="rId44" Type="http://schemas.openxmlformats.org/officeDocument/2006/relationships/hyperlink" Target="https://www.gov.pl/web/cyfryzacja/dezinformacja-i-manipulacja-w-internecie-wyniki-badan-nask" TargetMode="External"/><Relationship Id="rId43" Type="http://schemas.openxmlformats.org/officeDocument/2006/relationships/hyperlink" Target="https://datasociety.net/research/media-manipulation/" TargetMode="External"/><Relationship Id="rId46" Type="http://schemas.openxmlformats.org/officeDocument/2006/relationships/hyperlink" Target="https://www.frontiersin.org/journals/public-health/articles/10.3389/fpubh.2018.00179/full" TargetMode="External"/><Relationship Id="rId45" Type="http://schemas.openxmlformats.org/officeDocument/2006/relationships/hyperlink" Target="https://swps.pl/centrum-prasowe/informacje-prasowe/37489-co-wiemy-o-fake-newsach-badania-cedmo-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pmc.ncbi.nlm.nih.gov/articles/PMC3983486/" TargetMode="External"/><Relationship Id="rId47" Type="http://schemas.openxmlformats.org/officeDocument/2006/relationships/hyperlink" Target="https://www.mindplacecenter.com/en/post/cultural-effects-and-perspectives-on-mental-health" TargetMode="External"/><Relationship Id="rId49" Type="http://schemas.openxmlformats.org/officeDocument/2006/relationships/hyperlink" Target="https://publisherspanel.com/api/files/view/2920743.pdf"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hyperlink" Target="https://www.cambridge.org/core/books/culture-mind-and-brain/cultural-priming-effects-and-the-human-brain/FF5BBDE4E6622341112DE2836872E133" TargetMode="External"/><Relationship Id="rId30" Type="http://schemas.openxmlformats.org/officeDocument/2006/relationships/hyperlink" Target="https://pmc.ncbi.nlm.nih.gov/articles/PMC10258220/" TargetMode="External"/><Relationship Id="rId33" Type="http://schemas.openxmlformats.org/officeDocument/2006/relationships/hyperlink" Target="https://scholarworks.gvsu.edu/cgi/viewcontent.cgi?article=1134&amp;context=orpc" TargetMode="External"/><Relationship Id="rId32" Type="http://schemas.openxmlformats.org/officeDocument/2006/relationships/hyperlink" Target="https://pmc.ncbi.nlm.nih.gov/articles/PMC9951955/" TargetMode="External"/><Relationship Id="rId35" Type="http://schemas.openxmlformats.org/officeDocument/2006/relationships/hyperlink" Target="https://scholarworks.sjsu.edu/faculty_rsca/797/" TargetMode="External"/><Relationship Id="rId34" Type="http://schemas.openxmlformats.org/officeDocument/2006/relationships/hyperlink" Target="https://pmc.ncbi.nlm.nih.gov/articles/PMC8461051/" TargetMode="External"/><Relationship Id="rId37" Type="http://schemas.openxmlformats.org/officeDocument/2006/relationships/hyperlink" Target="https://pages.gseis.ucla.edu/faculty/kellner/papers/mediaspectacleintro.htm" TargetMode="External"/><Relationship Id="rId36" Type="http://schemas.openxmlformats.org/officeDocument/2006/relationships/hyperlink" Target="https://www.ncbi.nlm.nih.gov/books/NBK44249/" TargetMode="External"/><Relationship Id="rId39" Type="http://schemas.openxmlformats.org/officeDocument/2006/relationships/hyperlink" Target="https://digitalcommons.library.umaine.edu/cgi/viewcontent.cgi?article=3337&amp;context=etd" TargetMode="External"/><Relationship Id="rId38" Type="http://schemas.openxmlformats.org/officeDocument/2006/relationships/hyperlink" Target="https://www.researchgate.net/publication/394579418_CULTURAL_FALSIFICATION_THROUGH_DOCUMENTARIES_THE_CASE_OF_CLEOPATRAPALSU_BUDAYA_MELALUI_DOKUMENTER_KASUS_CLEOPATRA" TargetMode="External"/><Relationship Id="rId20" Type="http://schemas.openxmlformats.org/officeDocument/2006/relationships/hyperlink" Target="https://medium.com/@ailiya.nooruddin/on-cultural-criticism-the-parallels-between-gramsci-and-frankfurt-school-8e4e1a0aaa6d" TargetMode="External"/><Relationship Id="rId22" Type="http://schemas.openxmlformats.org/officeDocument/2006/relationships/hyperlink" Target="https://www.scribd.com/document/912421638/Hegemonia-kulturowa" TargetMode="External"/><Relationship Id="rId21" Type="http://schemas.openxmlformats.org/officeDocument/2006/relationships/hyperlink" Target="https://en.wikipedia.org/wiki/Cultural_hegemony" TargetMode="External"/><Relationship Id="rId24" Type="http://schemas.openxmlformats.org/officeDocument/2006/relationships/hyperlink" Target="https://journals.aom.org/doi/10.5465/amr.1988.4307418" TargetMode="External"/><Relationship Id="rId23" Type="http://schemas.openxmlformats.org/officeDocument/2006/relationships/hyperlink" Target="https://en.wikipedia.org/wiki/Public_sphere" TargetMode="External"/><Relationship Id="rId26" Type="http://schemas.openxmlformats.org/officeDocument/2006/relationships/hyperlink" Target="https://notes.darrensmith.com.au/Control/Control+via+Language+Manipulation/Cultural+Manipulation/Cultural+Manipulation" TargetMode="External"/><Relationship Id="rId25" Type="http://schemas.openxmlformats.org/officeDocument/2006/relationships/hyperlink" Target="https://notes.darrensmith.com.au/Control/Control+via+Language+Manipulation/Cultural+Manipulation/Cultural+Manipulation#:~:text=24.1.,cultural%20vilification%20by%20the%20manipulator." TargetMode="External"/><Relationship Id="rId28" Type="http://schemas.openxmlformats.org/officeDocument/2006/relationships/hyperlink" Target="https://www.wojsko-polskie.pl/awl/u/f8/77/f877f702-2832-4f44-bf46-7172128db9a3/5_n_szymanska_2023.pdf" TargetMode="External"/><Relationship Id="rId27" Type="http://schemas.openxmlformats.org/officeDocument/2006/relationships/hyperlink" Target="https://rational-understanding.com/2023/09/05/cultural-denial-or-conspiracy-of-silence/" TargetMode="External"/><Relationship Id="rId29" Type="http://schemas.openxmlformats.org/officeDocument/2006/relationships/hyperlink" Target="https://scholarworks.sjsu.edu/cgi/viewcontent.cgi?article=1796&amp;context=faculty_rsca" TargetMode="External"/><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hyperlink" Target="https://cyberprofilaktyka.pl/publikacje/edukacja-relacja-zabawa.pdf" TargetMode="External"/><Relationship Id="rId14" Type="http://schemas.openxmlformats.org/officeDocument/2006/relationships/hyperlink" Target="https://cyberprofilaktyka.pl/publikacje/Nastolatki_wobec_internetu_.pdf" TargetMode="External"/><Relationship Id="rId17" Type="http://schemas.openxmlformats.org/officeDocument/2006/relationships/hyperlink" Target="https://oasis.library.unlv.edu/cgi/viewcontent.cgi?article=1004&amp;context=russian_culture" TargetMode="External"/><Relationship Id="rId16" Type="http://schemas.openxmlformats.org/officeDocument/2006/relationships/hyperlink" Target="https://thepowermoves.com/manipulation/" TargetMode="External"/><Relationship Id="rId19" Type="http://schemas.openxmlformats.org/officeDocument/2006/relationships/hyperlink" Target="https://journalism.university/media-and-communication-theories/cultural-studies-diverse-approaches-comparison/" TargetMode="External"/><Relationship Id="rId18" Type="http://schemas.openxmlformats.org/officeDocument/2006/relationships/hyperlink" Target="https://openaccess.bilgi.edu.tr/bitstream/handle/11411/541/The%20Frankfurt%20School%20and%20Antonio%20Gramsci%20Theoretical%20concerns%20in%20the%20practice%20of%20cultural%20criticism,%20an%20their%20means%20to%20producing%20aneo-Marxist%20approach.pdf?sequence=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