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79"/>
        <w:rPr>
          <w:b/>
          <w:bCs/>
        </w:rPr>
      </w:pPr>
      <w:bookmarkStart w:id="0" w:name="header"/>
      <w:bookmarkStart w:id="1" w:name="X6e998f5611adb3b549e70805d3447a4982c93e7"/>
      <w:bookmarkStart w:id="2" w:name="content"/>
      <w:bookmarkEnd w:id="0"/>
      <w:r>
        <w:rPr>
          <w:b/>
          <w:bCs/>
          <w:color w:val="auto"/>
          <w:vertAlign w:val="superscript"/>
        </w:rPr>
        <w:t>Dlaczego wiadomość od przyjaciela może uruchomić chęć zakończenia związku</w:t>
      </w:r>
      <w:bookmarkStart w:id="3" w:name="streszczenie-wykonawcze"/>
    </w:p>
    <w:p>
      <w:pPr>
        <w:pStyle w:val="FirstParagraph"/>
        <w:rPr/>
      </w:pPr>
      <w:r>
        <w:rPr/>
        <w:t xml:space="preserve">W opisanej sytuacji sama treść wiadomości od przyjaciela nie musi być głównym problemem. Klinicznie bardziej prawdopodobne jest to, że stała się ona </w:t>
      </w:r>
      <w:r>
        <w:rPr>
          <w:b/>
          <w:bCs/>
        </w:rPr>
        <w:t>wyzwalaczem znaczenia</w:t>
      </w:r>
      <w:r>
        <w:rPr/>
        <w:t xml:space="preserve">: „ten związek zaczyna zmieniać moje życie”, „zaraz stracę ważną relację”, „znowu mam się dostosować”, albo „bliskość oznacza ograniczenie i późniejsze cierpienie”. U osoby z historią przemocy psychicznej i fizycznej w dzieciństwie, a następnie po rozwodzie i bolesnym rozstaniu, taki bodziec może aktywować jednocześnie lęk przed utratą, lęk przed kontrolą oraz potrzebę nagłego odzyskania sprawczości. To nie przesądza o jednym mechanizmie; raczej zwiększa prawdopodobieństwo </w:t>
      </w:r>
      <w:r>
        <w:rPr>
          <w:b/>
          <w:bCs/>
        </w:rPr>
        <w:t>mieszanych reakcji lękowo-unikowych lub zdezorganizowanych</w:t>
      </w:r>
      <w:r>
        <w:rPr/>
        <w:t xml:space="preserve">. </w:t>
      </w:r>
      <w:hyperlink r:id="rId2">
        <w:r>
          <w:rPr>
            <w:rStyle w:val="Hyperlink"/>
          </w:rPr>
          <w:t>[1]</w:t>
        </w:r>
      </w:hyperlink>
    </w:p>
    <w:p>
      <w:pPr>
        <w:pStyle w:val="BodyText"/>
        <w:rPr/>
      </w:pPr>
      <w:r>
        <w:rPr/>
        <w:t xml:space="preserve">Najbardziej oszczędna interpretacja jest taka: kobieta mogła nie reagować na partnera jako na konkretną osobę, lecz na </w:t>
      </w:r>
      <w:r>
        <w:rPr>
          <w:b/>
          <w:bCs/>
        </w:rPr>
        <w:t>symboliczną zmianę układu więzi</w:t>
      </w:r>
      <w:r>
        <w:rPr/>
        <w:t xml:space="preserve">. Jeśli ważny przyjaciel ogranicza kontakt „z szacunku dla związku”, może to zostać odebrane nie jako neutralna granica, lecz jako dowód, że związek wymaga kosztownej rezygnacji z części siebie, swojej sieci wsparcia albo autonomii. Badania pokazują, że poczucie autonomii w relacji ma silny związek z satysfakcją, a osoby z wyższym nasileniem lęku lub unikania w przywiązaniu częściej zgłaszają niższe poczucie autonomii. Osoby bardziej unikowe częściej przeżywają zmiany związane z relacją jako </w:t>
      </w:r>
      <w:r>
        <w:rPr>
          <w:b/>
          <w:bCs/>
        </w:rPr>
        <w:t>utratę siebie</w:t>
      </w:r>
      <w:r>
        <w:rPr/>
        <w:t xml:space="preserve">, nawet gdy zewnętrzne wskaźniki takiej utraty tego nie potwierdzają. </w:t>
      </w:r>
      <w:hyperlink r:id="rId3">
        <w:r>
          <w:rPr>
            <w:rStyle w:val="Hyperlink"/>
          </w:rPr>
          <w:t>[2]</w:t>
        </w:r>
      </w:hyperlink>
    </w:p>
    <w:p>
      <w:pPr>
        <w:pStyle w:val="BodyText"/>
        <w:rPr/>
      </w:pPr>
      <w:r>
        <w:rPr/>
        <w:t xml:space="preserve">Jednocześnie ta reakcja może mieć zarówno komponent </w:t>
      </w:r>
      <w:r>
        <w:rPr>
          <w:b/>
          <w:bCs/>
        </w:rPr>
        <w:t>adaptacyjny</w:t>
      </w:r>
      <w:r>
        <w:rPr/>
        <w:t>, jak i </w:t>
      </w:r>
      <w:r>
        <w:rPr>
          <w:b/>
          <w:bCs/>
        </w:rPr>
        <w:t>maladaptacyjny</w:t>
      </w:r>
      <w:r>
        <w:rPr/>
        <w:t xml:space="preserve">. Adaptacyjny: po doświadczeniu kontroli, przemocy lub destrukcyjnego małżeństwa ktoś może być szczególnie wyczulony na izolowanie od przyjaciół i na niejasne granice. Maladaptacyjny: trauma może prowadzić do nadinterpretacji kosztu relacji, szybkiego przejścia od dyskomfortu do decyzji o zerwaniu, „odcinania uczuć” i traktowania wyjścia ze związku jako najkrótszej drogi regulacji napięcia. Rozstrzygające nie jest więc pytanie „czy ona przesadza?”, lecz „czy reaguje na </w:t>
      </w:r>
      <w:r>
        <w:rPr>
          <w:b/>
          <w:bCs/>
        </w:rPr>
        <w:t>realną niezgodność wartości i granic</w:t>
      </w:r>
      <w:r>
        <w:rPr/>
        <w:t xml:space="preserve">, czy na </w:t>
      </w:r>
      <w:r>
        <w:rPr>
          <w:b/>
          <w:bCs/>
        </w:rPr>
        <w:t>uruchomiony dawny schemat zagrożenia</w:t>
      </w:r>
      <w:r>
        <w:rPr/>
        <w:t xml:space="preserve">?” </w:t>
      </w:r>
      <w:hyperlink r:id="rId4">
        <w:r>
          <w:rPr>
            <w:rStyle w:val="Hyperlink"/>
          </w:rPr>
          <w:t>[3]</w:t>
        </w:r>
      </w:hyperlink>
      <w:bookmarkEnd w:id="3"/>
    </w:p>
    <w:p>
      <w:pPr>
        <w:pStyle w:val="Heading2"/>
        <w:rPr/>
      </w:pPr>
      <w:bookmarkStart w:id="4" w:name="punkt-wyjścia-i-granice-wnioskowania"/>
      <w:r>
        <w:rPr/>
        <w:t>Punkt wyjścia i granice wnioskowania</w:t>
      </w:r>
    </w:p>
    <w:p>
      <w:pPr>
        <w:pStyle w:val="FirstParagraph"/>
        <w:rPr/>
      </w:pPr>
      <w:r>
        <w:rPr/>
        <w:t xml:space="preserve">Opisane zachowanie </w:t>
      </w:r>
      <w:r>
        <w:rPr>
          <w:b/>
          <w:bCs/>
        </w:rPr>
        <w:t>nie pozwala postawić diagnozy</w:t>
      </w:r>
      <w:r>
        <w:rPr/>
        <w:t xml:space="preserve">. Na podstawie jednego epizodu nie można rozstrzygnąć, czy chodzi przede wszystkim o nieprzepracowaną traumę, styl przywiązania, trwałą różnicę wartości dotyczących granic w relacji, silne przywiązanie do przyjaciela, ambiwalencję wobec partnera, czy kombinację tych czynników. Najbardziej rzetelne jest myślenie w kategoriach kilku konkurencyjnych hipotez psychologicznych. </w:t>
      </w:r>
      <w:hyperlink r:id="rId5">
        <w:r>
          <w:rPr>
            <w:rStyle w:val="Hyperlink"/>
          </w:rPr>
          <w:t>[4]</w:t>
        </w:r>
      </w:hyperlink>
    </w:p>
    <w:p>
      <w:pPr>
        <w:pStyle w:val="BodyText"/>
        <w:rPr/>
      </w:pPr>
      <w:r>
        <w:rPr/>
        <w:t xml:space="preserve">Ważne jest też, że </w:t>
      </w:r>
      <w:r>
        <w:rPr>
          <w:b/>
          <w:bCs/>
        </w:rPr>
        <w:t>zmiana relacji z przyjaciółmi po wejściu w związek nie jest sama w sobie ani „zdrowa”, ani „toksyczna”</w:t>
      </w:r>
      <w:r>
        <w:rPr/>
        <w:t xml:space="preserve">. To, czy dana zmiana jest dojrzałą renegocjacją granic, czy naruszeniem autonomii, zależy od kontekstu, wcześniejszych doświadczeń, jawności zasad i tego, czy granice są negocjowane, czy narzucane. Filozoficzno-społeczna literatura pokazuje, że sama granica między „przyjaźnią” a „związkiem romantycznym” jest w dużej mierze organizowana przez normy społeczne, a nie przez jedną obiektywną, uniwersalną regułę. </w:t>
      </w:r>
      <w:hyperlink r:id="rId6">
        <w:r>
          <w:rPr>
            <w:rStyle w:val="Hyperlink"/>
          </w:rPr>
          <w:t>[5]</w:t>
        </w:r>
      </w:hyperlink>
    </w:p>
    <w:p>
      <w:pPr>
        <w:pStyle w:val="BodyText"/>
        <w:rPr/>
      </w:pPr>
      <w:r>
        <w:rPr/>
        <w:t xml:space="preserve">W tym konkretnym przypadku fakt kluczowy brzmi: przyjaciel zakomunikował ograniczenie relacji jeden-na-jeden „z szacunku dla jej związku”, a ona odpowiedziała, że nie chce, by związek zmieniał jej życie. To sugeruje, że </w:t>
      </w:r>
      <w:r>
        <w:rPr>
          <w:b/>
          <w:bCs/>
        </w:rPr>
        <w:t>centralnym tematem psychologicznym jest koszt relacji dla autonomii i tożsamości</w:t>
      </w:r>
      <w:r>
        <w:rPr/>
        <w:t xml:space="preserve">, a dopiero wtórnie kwestia samego przyjaciela. Nie oznacza to jeszcze, że chce wybrać przyjaciela zamiast partnera; może raczej protestować przeciw przeżywanemu przymusowi zmiany. </w:t>
      </w:r>
      <w:hyperlink r:id="rId7">
        <w:r>
          <w:rPr>
            <w:rStyle w:val="Hyperlink"/>
          </w:rPr>
          <w:t>[6]</w:t>
        </w:r>
      </w:hyperlink>
      <w:bookmarkEnd w:id="4"/>
    </w:p>
    <w:p>
      <w:pPr>
        <w:pStyle w:val="Heading2"/>
        <w:rPr/>
      </w:pPr>
      <w:bookmarkStart w:id="5" w:name="X7b71db5716a3fd3a15be217d8335d8fcacb27c7"/>
      <w:r>
        <w:rPr/>
        <w:t>Mechanizmy psychologiczne, które mogą to wyjaśniać</w:t>
      </w:r>
    </w:p>
    <w:p>
      <w:pPr>
        <w:pStyle w:val="Heading3"/>
        <w:rPr/>
      </w:pPr>
      <w:bookmarkStart w:id="6" w:name="bezpośrednia-reakcja-emocjonalna"/>
      <w:r>
        <w:rPr/>
        <w:t>Bezpośrednia reakcja emocjonalna</w:t>
      </w:r>
    </w:p>
    <w:p>
      <w:pPr>
        <w:pStyle w:val="FirstParagraph"/>
        <w:rPr/>
      </w:pPr>
      <w:r>
        <w:rPr/>
        <w:t xml:space="preserve">Pierwszą warstwą bywa </w:t>
      </w:r>
      <w:r>
        <w:rPr>
          <w:b/>
          <w:bCs/>
        </w:rPr>
        <w:t>gwałtowna reakcja afektywna</w:t>
      </w:r>
      <w:r>
        <w:rPr/>
        <w:t xml:space="preserve">: złość, protest, napięcie, poczucie niesprawiedliwości, panika przed utratą ważnej więzi albo przeciwnie — nagłe odrętwienie i decyzja „to nie ma sensu”. Z perspektywy teorii przywiązania jest to zrozumiałe: sygnały separacji, utraty dostępności bliskiej osoby albo zmiany w sieci więzi aktywują system przywiązania. Reakcje na stratę i separację są szczególnie silne u osób z niepewnym przywiązaniem, a rozstania romantyczne mogą wiązać się z nasilonymi objawami potraumatycznymi. </w:t>
      </w:r>
      <w:hyperlink r:id="rId8">
        <w:r>
          <w:rPr>
            <w:rStyle w:val="Hyperlink"/>
          </w:rPr>
          <w:t>[7]</w:t>
        </w:r>
      </w:hyperlink>
    </w:p>
    <w:p>
      <w:pPr>
        <w:pStyle w:val="BodyText"/>
        <w:rPr/>
      </w:pPr>
      <w:r>
        <w:rPr/>
        <w:t xml:space="preserve">U osób z przewagą </w:t>
      </w:r>
      <w:r>
        <w:rPr>
          <w:b/>
          <w:bCs/>
        </w:rPr>
        <w:t>lękowego</w:t>
      </w:r>
      <w:r>
        <w:rPr/>
        <w:t xml:space="preserve"> stylu przywiązania aktywują się zwykle strategie hiperaktywacyjne: wzmożona czujność na sygnały odrzucenia, gwałtowne poszukiwanie bliskości, nasilenie emocji i „protest” wobec zagrożenia relacji. U osób z przewagą </w:t>
      </w:r>
      <w:r>
        <w:rPr>
          <w:b/>
          <w:bCs/>
        </w:rPr>
        <w:t>unikową</w:t>
      </w:r>
      <w:r>
        <w:rPr/>
        <w:t xml:space="preserve"> częstsze są strategie dezaktywacyjne: tłumienie potrzeb więziowych, przymus samowystarczalności, obniżanie znaczenia relacji i szybkie mentalne przesuwanie się w stronę „lepiej odejść”. Wzorce mieszane lub zdezorganizowane mogą łączyć oba ruchy naraz: jednoczesne pragnienie bliskości i ucieczkę od niej. </w:t>
      </w:r>
      <w:hyperlink r:id="rId9">
        <w:r>
          <w:rPr>
            <w:rStyle w:val="Hyperlink"/>
          </w:rPr>
          <w:t>[8]</w:t>
        </w:r>
      </w:hyperlink>
    </w:p>
    <w:p>
      <w:pPr>
        <w:pStyle w:val="BodyText"/>
        <w:rPr/>
      </w:pPr>
      <w:r>
        <w:rPr/>
        <w:t xml:space="preserve">Jeżeli w tle obecna jest trauma dziecięca, emocjonalna reakcja może być silniejsza, ponieważ przemoc wobec dziecka wiąże się długofalowo z PTSD, lękiem, depresją, zaburzeniami regulacji emocji i trudnościami w rozwiązywaniu konfliktów. WHO podkreśla, że przemoc fizyczna i psychiczna wobec dzieci może zaburzać rozwój mózgu, układu nerwowego, uczenie się i funkcjonowanie społeczne; KCPU opisuje z kolei długofalowe skutki przemocy, w tym obniżenie poczucia własnej wartości i uczenie się relacji opartych na kontroli oraz bezradności. </w:t>
      </w:r>
      <w:hyperlink r:id="rId10">
        <w:r>
          <w:rPr>
            <w:rStyle w:val="Hyperlink"/>
          </w:rPr>
          <w:t>[9]</w:t>
        </w:r>
      </w:hyperlink>
      <w:bookmarkEnd w:id="6"/>
    </w:p>
    <w:p>
      <w:pPr>
        <w:pStyle w:val="Heading3"/>
        <w:rPr/>
      </w:pPr>
      <w:bookmarkStart w:id="7" w:name="ocena-poznawcza-sytuacji"/>
      <w:r>
        <w:rPr/>
        <w:t>Ocena poznawcza sytuacji</w:t>
      </w:r>
    </w:p>
    <w:p>
      <w:pPr>
        <w:pStyle w:val="FirstParagraph"/>
        <w:rPr/>
      </w:pPr>
      <w:r>
        <w:rPr/>
        <w:t xml:space="preserve">Druga warstwa to </w:t>
      </w:r>
      <w:r>
        <w:rPr>
          <w:b/>
          <w:bCs/>
        </w:rPr>
        <w:t>poznawcza interpretacja zdarzenia</w:t>
      </w:r>
      <w:r>
        <w:rPr/>
        <w:t xml:space="preserve">. Ta sama wiadomość od przyjaciela może być odczytana bardzo różnie: jako rozsądna granica, jako odrzucenie, jako dowód lojalności z jego strony, jako pośrednia presja ze strony partnera, jako początek izolacji społecznej albo jako sygnał, że „relacja wchodzi mi za głęboko w życie”. U osoby z historią przemocy najbardziej obciążające bywają interpretacje typu: „mam znowu się podporządkować”, „moje potrzeby będą redukowane”, „za chwilę stracę jeszcze jedną ważną więź”, „związek mnie zawęża”. </w:t>
      </w:r>
      <w:hyperlink r:id="rId11">
        <w:r>
          <w:rPr>
            <w:rStyle w:val="Hyperlink"/>
          </w:rPr>
          <w:t>[10]</w:t>
        </w:r>
      </w:hyperlink>
    </w:p>
    <w:p>
      <w:pPr>
        <w:pStyle w:val="BodyText"/>
        <w:rPr/>
      </w:pPr>
      <w:r>
        <w:rPr/>
        <w:t xml:space="preserve">Badania nad autonomią w relacjach pokazują, że możliwość pozostawania „sobą, kochając drugą osobę” jest ważnym predyktorem satysfakcji. Gdy osoba doświadcza relacji jako przestrzeni zmniejszającej autonomię, wzrasta prawdopodobieństwo spadku satysfakcji i uruchomienia obron. To jest szczególnie istotne u osób z niepewnym przywiązaniem. Z kolei badania nad „doświadczaną utratą siebie” pokazują, że osoby bardziej unikowe mogą </w:t>
      </w:r>
      <w:r>
        <w:rPr>
          <w:b/>
          <w:bCs/>
        </w:rPr>
        <w:t>subiektywnie</w:t>
      </w:r>
      <w:r>
        <w:rPr/>
        <w:t xml:space="preserve"> czuć, że związek odbiera im część tożsamości, mimo że zewnętrznie nie widać realnej utraty. </w:t>
      </w:r>
      <w:hyperlink r:id="rId12">
        <w:r>
          <w:rPr>
            <w:rStyle w:val="Hyperlink"/>
          </w:rPr>
          <w:t>[2]</w:t>
        </w:r>
      </w:hyperlink>
    </w:p>
    <w:p>
      <w:pPr>
        <w:pStyle w:val="BodyText"/>
        <w:rPr/>
      </w:pPr>
      <w:r>
        <w:rPr/>
        <w:t xml:space="preserve">W tym punkcie warto zauważyć możliwą rolę rozwodu. Literatura o stracie i rozpadzie relacji pokazuje, że wcześniejsze bolesne rozstania mogą zwiększać czułość na sygnały kolejnej utraty, a sam rozpad związku może być przeżywany jako wydarzenie o charakterze potencjalnie traumatycznym. Po rozwodzie decyzja „skończę to wcześniej, zanim znów coś stracę” może dawać natychmiastową ulgę, choć nie zawsze odzwierciedla trwałą ocenę partnera czy związku. </w:t>
      </w:r>
      <w:hyperlink r:id="rId13">
        <w:r>
          <w:rPr>
            <w:rStyle w:val="Hyperlink"/>
          </w:rPr>
          <w:t>[11]</w:t>
        </w:r>
      </w:hyperlink>
      <w:bookmarkEnd w:id="7"/>
    </w:p>
    <w:p>
      <w:pPr>
        <w:pStyle w:val="Heading3"/>
        <w:rPr/>
      </w:pPr>
      <w:bookmarkStart w:id="8" w:name="Xbc8b5008c865c4742483316d7cf8b70c3cba4f8"/>
      <w:r>
        <w:rPr/>
        <w:t>Schematy nieuświadomione i historia przemocy</w:t>
      </w:r>
    </w:p>
    <w:p>
      <w:pPr>
        <w:pStyle w:val="FirstParagraph"/>
        <w:rPr/>
      </w:pPr>
      <w:r>
        <w:rPr/>
        <w:t xml:space="preserve">Na trzecim poziomie działają </w:t>
      </w:r>
      <w:r>
        <w:rPr>
          <w:b/>
          <w:bCs/>
        </w:rPr>
        <w:t>schematy</w:t>
      </w:r>
      <w:r>
        <w:rPr/>
        <w:t xml:space="preserve"> — względnie trwałe, często słabo uświadomione reguły typu: „bliskość zabiera wolność”, „miłość kończy się krzywdą”, „ktoś ważny i tak odejdzie”, „muszę decydować sama, bo zależność jest niebezpieczna”, „jeżeli mam wybierać między sobą a związkiem, muszę ratować siebie”. Takie schematy są spójne z wynikami pokazującymi, że doświadczenia zaniedbania i przemocy w dzieciństwie wiążą się później z wyższym nasileniem lęku i unikania w przywiązaniu. W badaniu podłużnym opartym na obiektywnie potwierdzonej przemocy/zaniedbaniu dziecięcym, zarówno zaniedbanie, jak i przemoc fizyczna były związane z wyższą niepewnością przywiązaniową w dorosłości. </w:t>
      </w:r>
      <w:hyperlink r:id="rId14">
        <w:r>
          <w:rPr>
            <w:rStyle w:val="Hyperlink"/>
          </w:rPr>
          <w:t>[12]</w:t>
        </w:r>
      </w:hyperlink>
    </w:p>
    <w:p>
      <w:pPr>
        <w:pStyle w:val="BodyText"/>
        <w:rPr/>
      </w:pPr>
      <w:r>
        <w:rPr/>
        <w:t xml:space="preserve">Szczególnie ważna jest przemoc </w:t>
      </w:r>
      <w:r>
        <w:rPr>
          <w:b/>
          <w:bCs/>
        </w:rPr>
        <w:t>emocjonalna</w:t>
      </w:r>
      <w:r>
        <w:rPr/>
        <w:t xml:space="preserve">, bo to ona najczęściej uderza w podstawowe reprezentacje siebie i innych: „jestem nieważna”, „moje uczucia są przeszkodą”, „bliskość jest warunkowa”, „potrzeba wsparcia kończy się zawstydzeniem”. Dostępne badania wskazują, że przemoc emocjonalna w dzieciństwie wiąże się z gorszą jakością związków romantycznych, a niepewne przywiązanie może pośredniczyć między doświadczeniem emocjonalnego nadużycia a lękiem przed intymnością. </w:t>
      </w:r>
      <w:hyperlink r:id="rId15">
        <w:r>
          <w:rPr>
            <w:rStyle w:val="Hyperlink"/>
          </w:rPr>
          <w:t>[13]</w:t>
        </w:r>
      </w:hyperlink>
    </w:p>
    <w:p>
      <w:pPr>
        <w:pStyle w:val="BodyText"/>
        <w:rPr/>
      </w:pPr>
      <w:r>
        <w:rPr/>
        <w:t xml:space="preserve">To pomaga zrozumieć, dlaczego kobieta może </w:t>
      </w:r>
      <w:r>
        <w:rPr>
          <w:b/>
          <w:bCs/>
        </w:rPr>
        <w:t>szczerze</w:t>
      </w:r>
      <w:r>
        <w:rPr/>
        <w:t xml:space="preserve"> mówić: „nie chcę, żeby mój związek zmieniał moje życie”, a zarazem jej reakcja może być częściowo sterowana przez przeszłość. W sensie fenomenologicznym nie musi ona „grać” ani „szukać pretekstu”. Może autentycznie odczuwać, że granica wprowadzona przez przyjaciela uruchamia dawny wzorzec kontroli, utraty lub osamotnienia. </w:t>
      </w:r>
      <w:hyperlink r:id="rId16">
        <w:r>
          <w:rPr>
            <w:rStyle w:val="Hyperlink"/>
          </w:rPr>
          <w:t>[14]</w:t>
        </w:r>
      </w:hyperlink>
      <w:bookmarkEnd w:id="8"/>
    </w:p>
    <w:p>
      <w:pPr>
        <w:pStyle w:val="Heading3"/>
        <w:rPr/>
      </w:pPr>
      <w:bookmarkStart w:id="9" w:name="X7792b0d57383d35375f3e5e3b7a47a1af4e2b5f"/>
      <w:r>
        <w:rPr/>
        <w:t>Styl przywiązania i różne ścieżki tej samej reakcji</w:t>
      </w:r>
    </w:p>
    <w:p>
      <w:pPr>
        <w:pStyle w:val="FirstParagraph"/>
        <w:rPr/>
      </w:pPr>
      <w:r>
        <w:rPr/>
        <w:t xml:space="preserve">W wariancie bardziej </w:t>
      </w:r>
      <w:r>
        <w:rPr>
          <w:b/>
          <w:bCs/>
        </w:rPr>
        <w:t>lękowym</w:t>
      </w:r>
      <w:r>
        <w:rPr/>
        <w:t xml:space="preserve"> centralna myśl może brzmieć: „zaraz stracę ważne osoby przez ten związek; jeśli teraz odpuszczę, potem zostanę sama”. Wtedy decyzja o zakończeniu związku może być paradoksalnie próbą ochrony przed przyszłą stratą. Meta-analiza pokazuje, że przywiązanie lękowe silniej wiąże się z konfliktem w relacjach. W polskim badaniu osób we wczesnej dorosłości styl lękowo-ambiwalentny korelował z niższą satysfakcją i większą liczbą zachowań konfliktowych. </w:t>
      </w:r>
      <w:hyperlink r:id="rId17">
        <w:r>
          <w:rPr>
            <w:rStyle w:val="Hyperlink"/>
          </w:rPr>
          <w:t>[15]</w:t>
        </w:r>
      </w:hyperlink>
    </w:p>
    <w:p>
      <w:pPr>
        <w:pStyle w:val="BodyText"/>
        <w:rPr/>
      </w:pPr>
      <w:r>
        <w:rPr/>
        <w:t xml:space="preserve">W wariancie bardziej </w:t>
      </w:r>
      <w:r>
        <w:rPr>
          <w:b/>
          <w:bCs/>
        </w:rPr>
        <w:t>unikowym</w:t>
      </w:r>
      <w:r>
        <w:rPr/>
        <w:t xml:space="preserve"> centralna myśl może być inna: „jeżeli mam korygować swoje życie przez związek, to znaczy, że ten związek za dużo ode mnie chce”. Tu rozstanie pełni funkcję odzyskania przestrzeni, kontroli i nieprzepuszczania nikogo zbyt blisko. Meta-analiza wskazuje, że przywiązanie unikowe jest szczególnie silnie związane z niższą satysfakcją, mniejszym poczuciem connectedness i niższym wsparciem w relacji; polskie badanie potwierdza związek stylu unikowego z niższą intymnością, zaangażowaniem i satysfakcją. </w:t>
      </w:r>
      <w:hyperlink r:id="rId18">
        <w:r>
          <w:rPr>
            <w:rStyle w:val="Hyperlink"/>
          </w:rPr>
          <w:t>[15]</w:t>
        </w:r>
      </w:hyperlink>
    </w:p>
    <w:p>
      <w:pPr>
        <w:pStyle w:val="BodyText"/>
        <w:rPr/>
      </w:pPr>
      <w:r>
        <w:rPr/>
        <w:t xml:space="preserve">W wariancie </w:t>
      </w:r>
      <w:r>
        <w:rPr>
          <w:b/>
          <w:bCs/>
        </w:rPr>
        <w:t>zdezorganizowanym</w:t>
      </w:r>
      <w:r>
        <w:rPr/>
        <w:t xml:space="preserve"> lub lękowo-unikowym obie ścieżki mogą działać jednocześnie. Taka osoba może bardzo potrzebować więzi, lecz gdy więź zaczyna pociągać za sobą zmianę granic albo ryzyko zależności, przeżywa to jako zagrożenie. Trauma i niepewne przywiązanie są też powiązane z nasileniem objawów pourazowych; meta-analiza dotycząca przywiązania i PTSD wskazuje, że bezpieczne przywiązanie wiąże się z niższymi objawami PTSD, a niepewne z wyższymi. </w:t>
      </w:r>
      <w:hyperlink r:id="rId19">
        <w:r>
          <w:rPr>
            <w:rStyle w:val="Hyperlink"/>
          </w:rPr>
          <w:t>[16]</w:t>
        </w:r>
      </w:hyperlink>
      <w:bookmarkEnd w:id="9"/>
    </w:p>
    <w:p>
      <w:pPr>
        <w:pStyle w:val="Heading3"/>
        <w:rPr/>
      </w:pPr>
      <w:bookmarkStart w:id="10" w:name="Xbcf6970dc458c67612a3d494b3aff3076a538a6"/>
      <w:r>
        <w:rPr/>
        <w:t>Autonomia, tożsamość, sieć społeczna i normy społeczne</w:t>
      </w:r>
    </w:p>
    <w:p>
      <w:pPr>
        <w:pStyle w:val="FirstParagraph"/>
        <w:rPr/>
      </w:pPr>
      <w:r>
        <w:rPr/>
        <w:t xml:space="preserve">Nie każda motywacja do obrony autonomii jest patologiczna. Po przemocy lub controllingowym małżeństwie wrażliwość na kwestie autonomii może być </w:t>
      </w:r>
      <w:r>
        <w:rPr>
          <w:b/>
          <w:bCs/>
        </w:rPr>
        <w:t>adaptacyjną korektą</w:t>
      </w:r>
      <w:r>
        <w:rPr/>
        <w:t xml:space="preserve"> wcześniejszego podporządkowania. Jeśli ktoś ma za sobą izolację, manipulację albo wymaganie „wybieraj mnie albo innych”, to szybka reakcja na sygnały zawężania życia może być próbą ochrony siebie. KCPU zwraca uwagę, że przemoc domowa narusza godność, wolność i prywatność oraz może prowadzić do przekonania, że człowiek „zasługuje” na złe traktowanie; po wyjściu z takiego układu nadwrażliwość na ograniczenie bywa zrozumiała. </w:t>
      </w:r>
      <w:hyperlink r:id="rId20">
        <w:r>
          <w:rPr>
            <w:rStyle w:val="Hyperlink"/>
          </w:rPr>
          <w:t>[17]</w:t>
        </w:r>
      </w:hyperlink>
    </w:p>
    <w:p>
      <w:pPr>
        <w:pStyle w:val="BodyText"/>
        <w:rPr/>
      </w:pPr>
      <w:r>
        <w:rPr/>
        <w:t xml:space="preserve">Jednocześnie bliskie przyjaźnie są realnym zasobem psychicznym. Systematyczny przegląd badań wskazuje, że jakość dorosłych przyjaźni jest dodatnio związana z dobrostanem. To ważne, bo dla części osób przyjaciel pełni funkcję regulacyjną, stabilizującą samoocenę i poczucie ciągłości tożsamości. Wtedy groźba zmiany tej więzi może być przeżywana silniej niż „obiektywnie powinna”. </w:t>
      </w:r>
      <w:hyperlink r:id="rId21">
        <w:r>
          <w:rPr>
            <w:rStyle w:val="Hyperlink"/>
          </w:rPr>
          <w:t>[18]</w:t>
        </w:r>
      </w:hyperlink>
    </w:p>
    <w:p>
      <w:pPr>
        <w:pStyle w:val="BodyText"/>
        <w:rPr/>
      </w:pPr>
      <w:r>
        <w:rPr/>
        <w:t xml:space="preserve">W tle działają też normy społeczne. To, czy spotkania jeden-na-jeden z bliskim przyjacielem płci przeciwnej są rozumiane jako neutralne, czy jako naruszenie wyłączności związku, bywa kulturowo i środowiskowo zmienne. Literatura filozoficzna pokazuje, że granice między przyjaźnią a relacją romantyczną są częściowo konstruowane przez normy społeczne; WHO i KCPU podkreślają z kolei, że normy kulturowe, w tym sztywne role płciowe i akceptacja przemocy, wpływają na życiowe wzorce relacyjne. Dlatego bez dodatkowego kontekstu nie da się po prostu powiedzieć, że „ona ma rację” albo „partner ma rację”; można jedynie oceniać </w:t>
      </w:r>
      <w:r>
        <w:rPr>
          <w:b/>
          <w:bCs/>
        </w:rPr>
        <w:t>czy sposób negocjowania granic był bezpieczny, jawny i wzajemny</w:t>
      </w:r>
      <w:r>
        <w:rPr/>
        <w:t xml:space="preserve">. </w:t>
      </w:r>
      <w:hyperlink r:id="rId22">
        <w:r>
          <w:rPr>
            <w:rStyle w:val="Hyperlink"/>
          </w:rPr>
          <w:t>[19]</w:t>
        </w:r>
      </w:hyperlink>
      <w:bookmarkEnd w:id="5"/>
      <w:bookmarkEnd w:id="10"/>
    </w:p>
    <w:p>
      <w:pPr>
        <w:pStyle w:val="Heading2"/>
        <w:rPr>
          <w:sz w:val="28"/>
          <w:szCs w:val="28"/>
        </w:rPr>
      </w:pPr>
      <w:bookmarkStart w:id="11" w:name="X4686d4b565c167080be71b74eebce467003f110"/>
      <w:r>
        <w:rPr>
          <w:sz w:val="28"/>
          <w:szCs w:val="28"/>
        </w:rPr>
        <w:t>Etapy przetwarzania od wiadomości do decyzji o rozstaniu</w:t>
      </w:r>
    </w:p>
    <w:p>
      <w:pPr>
        <w:pStyle w:val="FirstParagraph"/>
        <w:rPr/>
      </w:pPr>
      <w:r>
        <w:rPr/>
        <w:t xml:space="preserve">Analitycznie tę sytuację można rozłożyć na trzy kolejne progi: </w:t>
      </w:r>
      <w:r>
        <w:rPr>
          <w:b/>
          <w:bCs/>
        </w:rPr>
        <w:t>ocenę faktu</w:t>
      </w:r>
      <w:r>
        <w:rPr/>
        <w:t xml:space="preserve">, </w:t>
      </w:r>
      <w:r>
        <w:rPr>
          <w:b/>
          <w:bCs/>
        </w:rPr>
        <w:t>uruchomienie pamięci relacyjnej</w:t>
      </w:r>
      <w:r>
        <w:rPr/>
        <w:t xml:space="preserve"> i </w:t>
      </w:r>
      <w:r>
        <w:rPr>
          <w:b/>
          <w:bCs/>
        </w:rPr>
        <w:t>próg decyzyjny</w:t>
      </w:r>
      <w:r>
        <w:rPr/>
        <w:t xml:space="preserve">. Taki model jest zgodny z tym, co wiemy o przywiązaniu, regulacji emocji i reakcji na utratę. </w:t>
      </w:r>
      <w:hyperlink r:id="rId23">
        <w:r>
          <w:rPr>
            <w:rStyle w:val="Hyperlink"/>
          </w:rPr>
          <w:t>[20]</w:t>
        </w:r>
      </w:hyperlink>
    </w:p>
    <w:p>
      <w:pPr>
        <w:pStyle w:val="BodyText"/>
        <w:rPr/>
      </w:pPr>
      <w:r>
        <w:rPr/>
        <w:t xml:space="preserve">Na poziomie </w:t>
      </w:r>
      <w:r>
        <w:rPr>
          <w:b/>
          <w:bCs/>
        </w:rPr>
        <w:t>oceny faktu</w:t>
      </w:r>
      <w:r>
        <w:rPr/>
        <w:t xml:space="preserve"> kobieta rejestruje zdarzenie: przyjaciel ogranicza kontakt 1:1, bo uważa, że obecny związek tego wymaga lub implikuje. Na poziomie samego zdarzenia to może oznaczać tylko zmianę granicy. Jednak dla osoby po przemocy i rozwodzie fakt ten może zostać odczytany jako początek ograniczania innych ważnych części życia. </w:t>
      </w:r>
      <w:hyperlink r:id="rId24">
        <w:r>
          <w:rPr>
            <w:rStyle w:val="Hyperlink"/>
          </w:rPr>
          <w:t>[21]</w:t>
        </w:r>
      </w:hyperlink>
    </w:p>
    <w:p>
      <w:pPr>
        <w:pStyle w:val="BodyText"/>
        <w:rPr/>
      </w:pPr>
      <w:r>
        <w:rPr/>
        <w:t xml:space="preserve">Na poziomie </w:t>
      </w:r>
      <w:r>
        <w:rPr>
          <w:b/>
          <w:bCs/>
        </w:rPr>
        <w:t>pamięci relacyjnej</w:t>
      </w:r>
      <w:r>
        <w:rPr/>
        <w:t xml:space="preserve"> obecna sytuacja łączy się z wcześniejszym doświadczeniem: „w relacjach trzeba rezygnować z siebie”, „ktoś będzie decydował, z kim mogę się spotykać”, „bliskość kończy się utratą”, „muszę wybierać między więziami”. To właśnie tutaj działają style przywiązania i trauma: lęk zwiększa czujność na odrzucenie, unikanie zwiększa czujność na zagrożenie autonomii, a trauma nasila obie reakcje. </w:t>
      </w:r>
      <w:hyperlink r:id="rId25">
        <w:r>
          <w:rPr>
            <w:rStyle w:val="Hyperlink"/>
          </w:rPr>
          <w:t>[22]</w:t>
        </w:r>
      </w:hyperlink>
    </w:p>
    <w:p>
      <w:pPr>
        <w:pStyle w:val="BodyText"/>
        <w:rPr/>
      </w:pPr>
      <w:r>
        <w:rPr/>
        <w:t xml:space="preserve">Na poziomie </w:t>
      </w:r>
      <w:r>
        <w:rPr>
          <w:b/>
          <w:bCs/>
        </w:rPr>
        <w:t>progu decyzyjnego</w:t>
      </w:r>
      <w:r>
        <w:rPr/>
        <w:t xml:space="preserve"> pojawia się pytanie: co najszybciej obniży napięcie? Jeżeli dominującym mechanizmem jest lęk przed stratą, osoba może próbować odzyskać kontrolę przez wyjście ze związku zanim „związek zabierze jej życie”. Jeżeli dominuje unikanie, zerwanie może pełnić funkcję natychmiastowego odcięcia od źródła postrzeganego przymusu. Jeżeli działa mieszany wzorzec lękowo-unikowy, rozstanie daje jednocześnie ulgę od zależności i ulgę od przewidywanej utraty. To wyjaśnia, dlaczego decyzja może wyglądać na nagłą i „nieproporcjonalną”, choć dla samej osoby jest odczuwana jako konieczna. </w:t>
      </w:r>
      <w:hyperlink r:id="rId26">
        <w:r>
          <w:rPr>
            <w:rStyle w:val="Hyperlink"/>
          </w:rPr>
          <w:t>[23]</w:t>
        </w:r>
      </w:hyperlink>
    </w:p>
    <w:p>
      <w:pPr>
        <w:pStyle w:val="BodyText"/>
        <w:rPr/>
      </w:pPr>
      <w:r>
        <w:rPr/>
        <w:t xml:space="preserve">Ta sekwencja nie mówi jeszcze, czy decyzja jest błędna. Oznacza tylko, że przed oceną moralną lub partnerską trzeba oddzielić trzy pytania: </w:t>
      </w:r>
      <w:r>
        <w:rPr>
          <w:b/>
          <w:bCs/>
        </w:rPr>
        <w:t>co się wydarzyło obiektywnie</w:t>
      </w:r>
      <w:r>
        <w:rPr/>
        <w:t xml:space="preserve">, </w:t>
      </w:r>
      <w:r>
        <w:rPr>
          <w:b/>
          <w:bCs/>
        </w:rPr>
        <w:t>jakie znaczenie temu nadano</w:t>
      </w:r>
      <w:r>
        <w:rPr/>
        <w:t xml:space="preserve">, i </w:t>
      </w:r>
      <w:r>
        <w:rPr>
          <w:b/>
          <w:bCs/>
        </w:rPr>
        <w:t>które elementy tej reakcji są dawnym schematem, a które realną niezgodnością wartości</w:t>
      </w:r>
      <w:r>
        <w:rPr/>
        <w:t xml:space="preserve">. W praktyce dopiero taka separacja pozwala odróżnić autentyczny wybór życiowy od reakcji ochronnej. </w:t>
      </w:r>
      <w:hyperlink r:id="rId27">
        <w:r>
          <w:rPr>
            <w:rStyle w:val="Hyperlink"/>
          </w:rPr>
          <w:t>[24]</w:t>
        </w:r>
      </w:hyperlink>
      <w:bookmarkEnd w:id="11"/>
    </w:p>
    <w:p>
      <w:pPr>
        <w:pStyle w:val="Heading2"/>
        <w:rPr/>
      </w:pPr>
      <w:r>
        <w:rPr/>
        <w:t>Mechanizmy, zachowania i możliwe odpowiedzi partnera</w:t>
      </w:r>
    </w:p>
    <w:tbl>
      <w:tblPr>
        <w:tblStyle w:val="Table"/>
        <w:tblW w:w="9465"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703"/>
        <w:gridCol w:w="3172"/>
        <w:gridCol w:w="2153"/>
        <w:gridCol w:w="2437"/>
      </w:tblGrid>
      <w:tr>
        <w:trPr>
          <w:tblHeader w:val="true"/>
        </w:trPr>
        <w:tc>
          <w:tcPr>
            <w:tcW w:w="1703" w:type="dxa"/>
            <w:tcBorders>
              <w:bottom w:val="single" w:sz="6" w:space="0" w:color="000000"/>
            </w:tcBorders>
            <w:vAlign w:val="bottom"/>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Prawdopodobny mechanizm</w:t>
            </w:r>
          </w:p>
        </w:tc>
        <w:tc>
          <w:tcPr>
            <w:tcW w:w="3172" w:type="dxa"/>
            <w:tcBorders>
              <w:bottom w:val="single" w:sz="6" w:space="0" w:color="000000"/>
            </w:tcBorders>
            <w:vAlign w:val="bottom"/>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Jak może wyglądać w tej sytuacji</w:t>
            </w:r>
          </w:p>
        </w:tc>
        <w:tc>
          <w:tcPr>
            <w:tcW w:w="2153" w:type="dxa"/>
            <w:tcBorders>
              <w:bottom w:val="single" w:sz="6" w:space="0" w:color="000000"/>
            </w:tcBorders>
            <w:vAlign w:val="bottom"/>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Co bywa obserwowalne</w:t>
            </w:r>
          </w:p>
        </w:tc>
        <w:tc>
          <w:tcPr>
            <w:tcW w:w="2437" w:type="dxa"/>
            <w:tcBorders>
              <w:bottom w:val="single" w:sz="6" w:space="0" w:color="000000"/>
            </w:tcBorders>
            <w:vAlign w:val="bottom"/>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Co może zrobić partner</w:t>
            </w:r>
          </w:p>
        </w:tc>
      </w:tr>
      <w:tr>
        <w:trPr/>
        <w:tc>
          <w:tcPr>
            <w:tcW w:w="170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b/>
                <w:bCs/>
                <w:kern w:val="0"/>
                <w:sz w:val="16"/>
                <w:szCs w:val="16"/>
                <w:lang w:val="pl-PL" w:eastAsia="en-US" w:bidi="ar-SA"/>
              </w:rPr>
              <w:t>Lęk przed utratą ważnej więzi</w:t>
            </w:r>
          </w:p>
        </w:tc>
        <w:tc>
          <w:tcPr>
            <w:tcW w:w="3172"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Wiadomość od przyjaciela jest odczytywana jako sygnał: „już tracę ludzi przez ten związek”. Przywiązanie lękowe częściej wiąże się z konfliktem i nadinterpretacją zagrożeń relacyjnych. </w:t>
            </w:r>
            <w:hyperlink r:id="rId28">
              <w:r>
                <w:rPr>
                  <w:rStyle w:val="Hyperlink"/>
                  <w:rFonts w:eastAsia="Aptos" w:cs=""/>
                  <w:kern w:val="0"/>
                  <w:sz w:val="16"/>
                  <w:szCs w:val="16"/>
                  <w:lang w:val="pl-PL" w:eastAsia="en-US" w:bidi="ar-SA"/>
                </w:rPr>
                <w:t>[25]</w:t>
              </w:r>
            </w:hyperlink>
          </w:p>
        </w:tc>
        <w:tc>
          <w:tcPr>
            <w:tcW w:w="215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Gwałtowny protest, wzrost napięcia, myślenie katastroficzne, presja na szybką decyzję</w:t>
            </w:r>
          </w:p>
        </w:tc>
        <w:tc>
          <w:tcPr>
            <w:tcW w:w="2437"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Nazwać emocję, nie polemizować od razu z treścią: „Widzę, że to uruchomiło w Tobie lęk o ważną część Twojego życia”. Ustalić czas na ochłonięcie przed rozmową o decyzjach. </w:t>
            </w:r>
            <w:hyperlink r:id="rId29">
              <w:r>
                <w:rPr>
                  <w:rStyle w:val="Hyperlink"/>
                  <w:rFonts w:eastAsia="Aptos" w:cs=""/>
                  <w:kern w:val="0"/>
                  <w:sz w:val="16"/>
                  <w:szCs w:val="16"/>
                  <w:lang w:val="pl-PL" w:eastAsia="en-US" w:bidi="ar-SA"/>
                </w:rPr>
                <w:t>[26]</w:t>
              </w:r>
            </w:hyperlink>
          </w:p>
        </w:tc>
      </w:tr>
      <w:tr>
        <w:trPr/>
        <w:tc>
          <w:tcPr>
            <w:tcW w:w="170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b/>
                <w:bCs/>
                <w:kern w:val="0"/>
                <w:sz w:val="16"/>
                <w:szCs w:val="16"/>
                <w:lang w:val="pl-PL" w:eastAsia="en-US" w:bidi="ar-SA"/>
              </w:rPr>
              <w:t>Lęk przed utratą autonomii</w:t>
            </w:r>
          </w:p>
        </w:tc>
        <w:tc>
          <w:tcPr>
            <w:tcW w:w="3172"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Zdarzenie jest czytane jako: „relacja zaczyna mnie zawężać”. Osoby bardziej unikowe częściej zgłaszają niższe poczucie autonomii i subiektywną utratę siebie w relacji. </w:t>
            </w:r>
            <w:hyperlink r:id="rId30">
              <w:r>
                <w:rPr>
                  <w:rStyle w:val="Hyperlink"/>
                  <w:rFonts w:eastAsia="Aptos" w:cs=""/>
                  <w:kern w:val="0"/>
                  <w:sz w:val="16"/>
                  <w:szCs w:val="16"/>
                  <w:lang w:val="pl-PL" w:eastAsia="en-US" w:bidi="ar-SA"/>
                </w:rPr>
                <w:t>[2]</w:t>
              </w:r>
            </w:hyperlink>
          </w:p>
        </w:tc>
        <w:tc>
          <w:tcPr>
            <w:tcW w:w="215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Stwierdzenia typu „nie chcę, żeby związek zmieniał moje życie”, szybkie myślenie o odejściu, dystans emocjonalny</w:t>
            </w:r>
          </w:p>
        </w:tc>
        <w:tc>
          <w:tcPr>
            <w:tcW w:w="2437"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Podkreślić, że rozmowa dotyczy granic, nie podporządkowania: „Nie chcę Cię izolować od ludzi; chcę zrozumieć, jakie zasady są dla nas obojga fair”. </w:t>
            </w:r>
            <w:hyperlink r:id="rId31">
              <w:r>
                <w:rPr>
                  <w:rStyle w:val="Hyperlink"/>
                  <w:rFonts w:eastAsia="Aptos" w:cs=""/>
                  <w:kern w:val="0"/>
                  <w:sz w:val="16"/>
                  <w:szCs w:val="16"/>
                  <w:lang w:val="pl-PL" w:eastAsia="en-US" w:bidi="ar-SA"/>
                </w:rPr>
                <w:t>[27]</w:t>
              </w:r>
            </w:hyperlink>
          </w:p>
        </w:tc>
      </w:tr>
      <w:tr>
        <w:trPr/>
        <w:tc>
          <w:tcPr>
            <w:tcW w:w="170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b/>
                <w:bCs/>
                <w:kern w:val="0"/>
                <w:sz w:val="16"/>
                <w:szCs w:val="16"/>
                <w:lang w:val="pl-PL" w:eastAsia="en-US" w:bidi="ar-SA"/>
              </w:rPr>
              <w:t>Traumatyczne skojarzenie z kontrolą lub izolacją</w:t>
            </w:r>
          </w:p>
        </w:tc>
        <w:tc>
          <w:tcPr>
            <w:tcW w:w="3172"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Obecny konflikt łączy się z dawnym doświadczeniem przemocy, zawstydzania, odbierania wolności lub decydowania za nią. </w:t>
            </w:r>
            <w:hyperlink r:id="rId32">
              <w:r>
                <w:rPr>
                  <w:rStyle w:val="Hyperlink"/>
                  <w:rFonts w:eastAsia="Aptos" w:cs=""/>
                  <w:kern w:val="0"/>
                  <w:sz w:val="16"/>
                  <w:szCs w:val="16"/>
                  <w:lang w:val="pl-PL" w:eastAsia="en-US" w:bidi="ar-SA"/>
                </w:rPr>
                <w:t>[28]</w:t>
              </w:r>
            </w:hyperlink>
          </w:p>
        </w:tc>
        <w:tc>
          <w:tcPr>
            <w:tcW w:w="215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Nieproporcjonalnie silna złość, poczucie osaczenia, argumenty odwołujące się do wolności i godności</w:t>
            </w:r>
          </w:p>
        </w:tc>
        <w:tc>
          <w:tcPr>
            <w:tcW w:w="2437"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Nie wchodzić w ton nadzoru ani ultimatum. Dopytać, co dokładnie poczuła jako ograniczenie, i oddzielić aktualne fakty od dawnych skojarzeń. </w:t>
            </w:r>
            <w:hyperlink r:id="rId33">
              <w:r>
                <w:rPr>
                  <w:rStyle w:val="Hyperlink"/>
                  <w:rFonts w:eastAsia="Aptos" w:cs=""/>
                  <w:kern w:val="0"/>
                  <w:sz w:val="16"/>
                  <w:szCs w:val="16"/>
                  <w:lang w:val="pl-PL" w:eastAsia="en-US" w:bidi="ar-SA"/>
                </w:rPr>
                <w:t>[29]</w:t>
              </w:r>
            </w:hyperlink>
          </w:p>
        </w:tc>
      </w:tr>
      <w:tr>
        <w:trPr/>
        <w:tc>
          <w:tcPr>
            <w:tcW w:w="170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b/>
                <w:bCs/>
                <w:kern w:val="0"/>
                <w:sz w:val="16"/>
                <w:szCs w:val="16"/>
                <w:lang w:val="pl-PL" w:eastAsia="en-US" w:bidi="ar-SA"/>
              </w:rPr>
              <w:t>Próg „wyjścia prewencyjnego” po rozwodzie</w:t>
            </w:r>
          </w:p>
        </w:tc>
        <w:tc>
          <w:tcPr>
            <w:tcW w:w="3172"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Rozstanie bywa użyte jako szybka metoda uniknięcia kolejnego zranienia; rozpad relacji może być przeżywany bardzo traumatycznie. </w:t>
            </w:r>
            <w:hyperlink r:id="rId34">
              <w:r>
                <w:rPr>
                  <w:rStyle w:val="Hyperlink"/>
                  <w:rFonts w:eastAsia="Aptos" w:cs=""/>
                  <w:kern w:val="0"/>
                  <w:sz w:val="16"/>
                  <w:szCs w:val="16"/>
                  <w:lang w:val="pl-PL" w:eastAsia="en-US" w:bidi="ar-SA"/>
                </w:rPr>
                <w:t>[30]</w:t>
              </w:r>
            </w:hyperlink>
          </w:p>
        </w:tc>
        <w:tc>
          <w:tcPr>
            <w:tcW w:w="215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w:t>
            </w:r>
            <w:r>
              <w:rPr>
                <w:rFonts w:eastAsia="Aptos" w:cs=""/>
                <w:kern w:val="0"/>
                <w:sz w:val="16"/>
                <w:szCs w:val="16"/>
                <w:lang w:val="pl-PL" w:eastAsia="en-US" w:bidi="ar-SA"/>
              </w:rPr>
              <w:t>Lepiej skończyć to teraz”, szybka decyzja dająca ulgę, a potem możliwy żal lub ambiwalencja</w:t>
            </w:r>
          </w:p>
        </w:tc>
        <w:tc>
          <w:tcPr>
            <w:tcW w:w="2437"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Nie wymuszać deklaracji „na już”. Zaproponować krótkie zawieszenie rozmowy o rozstaniu i powrót do niej po obniżeniu napięcia. </w:t>
            </w:r>
            <w:hyperlink r:id="rId35">
              <w:r>
                <w:rPr>
                  <w:rStyle w:val="Hyperlink"/>
                  <w:rFonts w:eastAsia="Aptos" w:cs=""/>
                  <w:kern w:val="0"/>
                  <w:sz w:val="16"/>
                  <w:szCs w:val="16"/>
                  <w:lang w:val="pl-PL" w:eastAsia="en-US" w:bidi="ar-SA"/>
                </w:rPr>
                <w:t>[31]</w:t>
              </w:r>
            </w:hyperlink>
          </w:p>
        </w:tc>
      </w:tr>
      <w:tr>
        <w:trPr/>
        <w:tc>
          <w:tcPr>
            <w:tcW w:w="170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b/>
                <w:bCs/>
                <w:kern w:val="0"/>
                <w:sz w:val="16"/>
                <w:szCs w:val="16"/>
                <w:lang w:val="pl-PL" w:eastAsia="en-US" w:bidi="ar-SA"/>
              </w:rPr>
              <w:t>Lojalność wobec przyjaźni i opór wobec konfliktu lojalności</w:t>
            </w:r>
          </w:p>
        </w:tc>
        <w:tc>
          <w:tcPr>
            <w:tcW w:w="3172"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Nie chodzi o to, że przyjaciel „jest ważniejszy”, lecz że sama konieczność wyboru uruchamia sprzeciw. Bliskie przyjaźnie są ważnym zasobem dobrostanu. </w:t>
            </w:r>
            <w:hyperlink r:id="rId36">
              <w:r>
                <w:rPr>
                  <w:rStyle w:val="Hyperlink"/>
                  <w:rFonts w:eastAsia="Aptos" w:cs=""/>
                  <w:kern w:val="0"/>
                  <w:sz w:val="16"/>
                  <w:szCs w:val="16"/>
                  <w:lang w:val="pl-PL" w:eastAsia="en-US" w:bidi="ar-SA"/>
                </w:rPr>
                <w:t>[18]</w:t>
              </w:r>
            </w:hyperlink>
          </w:p>
        </w:tc>
        <w:tc>
          <w:tcPr>
            <w:tcW w:w="215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Obrona zasady: „nie będę zmieniać mojego życia przez związek”</w:t>
            </w:r>
          </w:p>
        </w:tc>
        <w:tc>
          <w:tcPr>
            <w:tcW w:w="2437"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Uznanie znaczenia przyjaźni bez ironii i rywalizacji. Rozmowa o konkretach: które formy kontaktu są neutralne, a które dla partnera trudne. </w:t>
            </w:r>
            <w:hyperlink r:id="rId37">
              <w:r>
                <w:rPr>
                  <w:rStyle w:val="Hyperlink"/>
                  <w:rFonts w:eastAsia="Aptos" w:cs=""/>
                  <w:kern w:val="0"/>
                  <w:sz w:val="16"/>
                  <w:szCs w:val="16"/>
                  <w:lang w:val="pl-PL" w:eastAsia="en-US" w:bidi="ar-SA"/>
                </w:rPr>
                <w:t>[32]</w:t>
              </w:r>
            </w:hyperlink>
          </w:p>
        </w:tc>
      </w:tr>
      <w:tr>
        <w:trPr/>
        <w:tc>
          <w:tcPr>
            <w:tcW w:w="170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b/>
                <w:bCs/>
                <w:kern w:val="0"/>
                <w:sz w:val="16"/>
                <w:szCs w:val="16"/>
                <w:lang w:val="pl-PL" w:eastAsia="en-US" w:bidi="ar-SA"/>
              </w:rPr>
              <w:t>Triangularizacja napięcia</w:t>
            </w:r>
          </w:p>
        </w:tc>
        <w:tc>
          <w:tcPr>
            <w:tcW w:w="3172"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Trzecia osoba zaczyna regulować napięcie w parze: związek i przyjaźń przestają być odrębnymi więziami, a stają się areną testowania lojalności i wyłączności. W ujęciu systemowym napięcie dwuosobowe często „wciąga” trzecią osobę. </w:t>
            </w:r>
            <w:hyperlink r:id="rId38">
              <w:r>
                <w:rPr>
                  <w:rStyle w:val="Hyperlink"/>
                  <w:rFonts w:eastAsia="Aptos" w:cs=""/>
                  <w:kern w:val="0"/>
                  <w:sz w:val="16"/>
                  <w:szCs w:val="16"/>
                  <w:lang w:val="pl-PL" w:eastAsia="en-US" w:bidi="ar-SA"/>
                </w:rPr>
                <w:t>[33]</w:t>
              </w:r>
            </w:hyperlink>
          </w:p>
        </w:tc>
        <w:tc>
          <w:tcPr>
            <w:tcW w:w="215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Rozmowy o partnerze przez przyjaciela, rozstrzyganie konfliktu pary przez osoby trzecie, polaryzacja „kto jest po czyjej stronie”</w:t>
            </w:r>
          </w:p>
        </w:tc>
        <w:tc>
          <w:tcPr>
            <w:tcW w:w="2437"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Przenieść rozmowę z powrotem do diady: „To jest temat między nami; nie chcę, żeby o naszych granicach decydowała osoba trzecia”. </w:t>
            </w:r>
            <w:hyperlink r:id="rId39">
              <w:r>
                <w:rPr>
                  <w:rStyle w:val="Hyperlink"/>
                  <w:rFonts w:eastAsia="Aptos" w:cs=""/>
                  <w:kern w:val="0"/>
                  <w:sz w:val="16"/>
                  <w:szCs w:val="16"/>
                  <w:lang w:val="pl-PL" w:eastAsia="en-US" w:bidi="ar-SA"/>
                </w:rPr>
                <w:t>[33]</w:t>
              </w:r>
            </w:hyperlink>
          </w:p>
        </w:tc>
      </w:tr>
      <w:tr>
        <w:trPr/>
        <w:tc>
          <w:tcPr>
            <w:tcW w:w="170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b/>
                <w:bCs/>
                <w:kern w:val="0"/>
                <w:sz w:val="16"/>
                <w:szCs w:val="16"/>
                <w:lang w:val="pl-PL" w:eastAsia="en-US" w:bidi="ar-SA"/>
              </w:rPr>
              <w:t>Realna niezgodność wartości</w:t>
            </w:r>
          </w:p>
        </w:tc>
        <w:tc>
          <w:tcPr>
            <w:tcW w:w="3172"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Możliwe, że to nie trauma, lecz autentyczna rozbieżność: ona chce związku, który minimalnie ingeruje w przyjaźnie 1:1; partner lub ona akceptują inny model wyłączności. Normy są częściowo społeczne, więc konflikt wartości jest realny. </w:t>
            </w:r>
            <w:hyperlink r:id="rId40">
              <w:r>
                <w:rPr>
                  <w:rStyle w:val="Hyperlink"/>
                  <w:rFonts w:eastAsia="Aptos" w:cs=""/>
                  <w:kern w:val="0"/>
                  <w:sz w:val="16"/>
                  <w:szCs w:val="16"/>
                  <w:lang w:val="pl-PL" w:eastAsia="en-US" w:bidi="ar-SA"/>
                </w:rPr>
                <w:t>[5]</w:t>
              </w:r>
            </w:hyperlink>
          </w:p>
        </w:tc>
        <w:tc>
          <w:tcPr>
            <w:tcW w:w="2153" w:type="dxa"/>
            <w:tcBorders/>
          </w:tcPr>
          <w:p>
            <w:pPr>
              <w:pStyle w:val="Compact"/>
              <w:widowControl/>
              <w:suppressAutoHyphens w:val="false"/>
              <w:spacing w:before="36" w:after="36"/>
              <w:ind w:hanging="0"/>
              <w:jc w:val="left"/>
              <w:rPr>
                <w:rFonts w:ascii="Aptos" w:hAnsi="Aptos" w:eastAsia="Aptos" w:cs=""/>
                <w:kern w:val="0"/>
                <w:sz w:val="16"/>
                <w:szCs w:val="16"/>
                <w:lang w:val="pl-PL" w:eastAsia="en-US" w:bidi="ar-SA"/>
              </w:rPr>
            </w:pPr>
            <w:r>
              <w:rPr>
                <w:rFonts w:eastAsia="Aptos" w:cs=""/>
                <w:kern w:val="0"/>
                <w:sz w:val="16"/>
                <w:szCs w:val="16"/>
                <w:lang w:val="pl-PL" w:eastAsia="en-US" w:bidi="ar-SA"/>
              </w:rPr>
              <w:t>Spokojna, spójna argumentacja powtarzająca się także po ochłonięciu</w:t>
            </w:r>
          </w:p>
        </w:tc>
        <w:tc>
          <w:tcPr>
            <w:tcW w:w="2437" w:type="dxa"/>
            <w:tcBorders/>
          </w:tcPr>
          <w:p>
            <w:pPr>
              <w:pStyle w:val="Compact"/>
              <w:widowControl/>
              <w:suppressAutoHyphens w:val="false"/>
              <w:spacing w:before="36" w:after="36"/>
              <w:ind w:hanging="0"/>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Zamiast szukać „winnego”, sprawdzić, czy istnieje wykonalny wspólny model granic. Jeśli nie, rozpad związku może być adaptacyjny, a nie objawowy. </w:t>
            </w:r>
            <w:hyperlink r:id="rId41">
              <w:r>
                <w:rPr>
                  <w:rStyle w:val="Hyperlink"/>
                  <w:rFonts w:eastAsia="Aptos" w:cs=""/>
                  <w:kern w:val="0"/>
                  <w:sz w:val="16"/>
                  <w:szCs w:val="16"/>
                  <w:lang w:val="pl-PL" w:eastAsia="en-US" w:bidi="ar-SA"/>
                </w:rPr>
                <w:t>[34]</w:t>
              </w:r>
            </w:hyperlink>
            <w:bookmarkStart w:id="12" w:name="X2f583d692043a20f98add59a98301bd9736c982"/>
            <w:bookmarkEnd w:id="12"/>
          </w:p>
        </w:tc>
      </w:tr>
    </w:tbl>
    <w:p>
      <w:pPr>
        <w:pStyle w:val="Heading2"/>
        <w:rPr/>
      </w:pPr>
      <w:r>
        <w:rPr/>
        <w:t>Strategie komunikacji i krótkie skrypty deeskalacyjne</w:t>
      </w:r>
    </w:p>
    <w:p>
      <w:pPr>
        <w:pStyle w:val="FirstParagraph"/>
        <w:rPr/>
      </w:pPr>
      <w:r>
        <w:rPr/>
        <w:t xml:space="preserve">Najskuteczniejsza komunikacja w takiej sytuacji zwykle nie zaczyna się od rozstrzygania, </w:t>
      </w:r>
      <w:r>
        <w:rPr>
          <w:b/>
          <w:bCs/>
        </w:rPr>
        <w:t>czy przyjaciel miał rację</w:t>
      </w:r>
      <w:r>
        <w:rPr/>
        <w:t xml:space="preserve">, ani od przesłuchiwania, </w:t>
      </w:r>
      <w:r>
        <w:rPr>
          <w:b/>
          <w:bCs/>
        </w:rPr>
        <w:t>co ona naprawdę czuje do przyjaciela</w:t>
      </w:r>
      <w:r>
        <w:rPr/>
        <w:t xml:space="preserve">. Najpierw trzeba obniżyć pobudzenie, bo przy wysokim napięciu ludzie częściej przechodzą w hiperaktywację, dezaktywację albo obronną polaryzację. W praktyce oznacza to: nazwanie emocji, oddzielenie faktów od interpretacji, niewydawanie ultimatum na gorąco i powrót do rozmowy po przerwie. Takie podejście jest spójne z literaturą o przywiązaniu, konflikcie i regulacji emocji. </w:t>
      </w:r>
      <w:hyperlink r:id="rId42">
        <w:r>
          <w:rPr>
            <w:rStyle w:val="Hyperlink"/>
          </w:rPr>
          <w:t>[35]</w:t>
        </w:r>
      </w:hyperlink>
    </w:p>
    <w:p>
      <w:pPr>
        <w:pStyle w:val="BodyText"/>
        <w:rPr/>
      </w:pPr>
      <w:r>
        <w:rPr/>
        <w:t xml:space="preserve">Pomocne bywa rozdzielenie rozmowy na trzy wątki: </w:t>
      </w:r>
      <w:r>
        <w:rPr>
          <w:b/>
          <w:bCs/>
        </w:rPr>
        <w:t>przyjaźń</w:t>
      </w:r>
      <w:r>
        <w:rPr/>
        <w:t xml:space="preserve">, </w:t>
      </w:r>
      <w:r>
        <w:rPr>
          <w:b/>
          <w:bCs/>
        </w:rPr>
        <w:t>granice w związku</w:t>
      </w:r>
      <w:r>
        <w:rPr/>
        <w:t xml:space="preserve"> i </w:t>
      </w:r>
      <w:r>
        <w:rPr>
          <w:b/>
          <w:bCs/>
        </w:rPr>
        <w:t>to, co uruchomiła w niej sama wiadomość</w:t>
      </w:r>
      <w:r>
        <w:rPr/>
        <w:t xml:space="preserve">. Gdy te trzy poziomy mieszają się w jedno, partner słyszy głównie „wybierasz przyjaciela”, a ona słyszy głównie „chcesz kontrolować moje życie”. Rozdzielenie poziomów zmniejsza ryzyko, że konflikt przerodzi się w walkę o godność lub autonomię. </w:t>
      </w:r>
      <w:hyperlink r:id="rId43">
        <w:r>
          <w:rPr>
            <w:rStyle w:val="Hyperlink"/>
          </w:rPr>
          <w:t>[36]</w:t>
        </w:r>
      </w:hyperlink>
    </w:p>
    <w:p>
      <w:pPr>
        <w:pStyle w:val="BodyText"/>
        <w:rPr>
          <w:u w:val="single"/>
        </w:rPr>
      </w:pPr>
      <w:r>
        <w:rPr>
          <w:u w:val="single"/>
        </w:rPr>
        <w:t>Krótki skrypt partnera, gdy chce deeskalować:</w:t>
      </w:r>
    </w:p>
    <w:p>
      <w:pPr>
        <w:pStyle w:val="BodyText"/>
        <w:rPr/>
      </w:pPr>
      <w:r>
        <w:rPr>
          <w:b/>
          <w:bCs/>
        </w:rPr>
        <w:t>„</w:t>
      </w:r>
      <w:r>
        <w:rPr>
          <w:b/>
          <w:bCs/>
        </w:rPr>
        <w:t>Nie chcę teraz decydować za Ciebie, z kim możesz się spotykać. Chcę zrozumieć, co dokładnie ta wiadomość uruchomiła w Tobie i czego boisz się, że ten związek Ci zabierze.”</w:t>
      </w:r>
      <w:r>
        <w:rPr/>
        <w:t xml:space="preserve"> Taki komunikat łączy uznanie autonomii z zaproszeniem do refleksji nad znaczeniem zdarzenia. </w:t>
      </w:r>
      <w:hyperlink r:id="rId44">
        <w:r>
          <w:rPr>
            <w:rStyle w:val="Hyperlink"/>
          </w:rPr>
          <w:t>[2]</w:t>
        </w:r>
      </w:hyperlink>
    </w:p>
    <w:p>
      <w:pPr>
        <w:pStyle w:val="BodyText"/>
        <w:keepNext w:val="true"/>
        <w:rPr>
          <w:u w:val="single"/>
        </w:rPr>
      </w:pPr>
      <w:r>
        <w:rPr>
          <w:u w:val="single"/>
        </w:rPr>
        <w:t>Krótki skrypt partnera, gdy słyszy groźbę rozstania:</w:t>
      </w:r>
    </w:p>
    <w:p>
      <w:pPr>
        <w:pStyle w:val="BodyText"/>
        <w:rPr/>
      </w:pPr>
      <w:r>
        <w:rPr>
          <w:b/>
          <w:bCs/>
        </w:rPr>
        <w:t>„</w:t>
      </w:r>
      <w:r>
        <w:rPr>
          <w:b/>
          <w:bCs/>
        </w:rPr>
        <w:t>Uszanuję każdą Twoją decyzję, ale nie chcę, żebyśmy podejmowali nieodwracalne decyzje w najwyższym napięciu. Czy możemy wrócić do tego jutro i najpierw rozdzielić fakty od tego, co ta sytuacja przypomniała?”</w:t>
      </w:r>
      <w:r>
        <w:rPr/>
        <w:t xml:space="preserve"> To nie jest unieważnianie emocji; to próba obniżenia wpływu stanu alarmowego na decyzję. </w:t>
      </w:r>
      <w:hyperlink r:id="rId45">
        <w:r>
          <w:rPr>
            <w:rStyle w:val="Hyperlink"/>
          </w:rPr>
          <w:t>[31]</w:t>
        </w:r>
      </w:hyperlink>
    </w:p>
    <w:p>
      <w:pPr>
        <w:pStyle w:val="BodyText"/>
        <w:rPr>
          <w:u w:val="single"/>
        </w:rPr>
      </w:pPr>
      <w:r>
        <w:rPr>
          <w:u w:val="single"/>
        </w:rPr>
        <w:t>Krótki skrypt dla niej samej, jeśli chce sprawdzić, co jest schematem:</w:t>
      </w:r>
    </w:p>
    <w:p>
      <w:pPr>
        <w:pStyle w:val="BodyText"/>
        <w:rPr/>
      </w:pPr>
      <w:r>
        <w:rPr>
          <w:b/>
          <w:bCs/>
        </w:rPr>
        <w:t>„</w:t>
      </w:r>
      <w:r>
        <w:rPr>
          <w:b/>
          <w:bCs/>
        </w:rPr>
        <w:t xml:space="preserve">Czy chcę odejść od tego partnera jako osoby, czy </w:t>
        <w:br/>
        <w:t>uciekam od poczucia ograniczenia? Czy po uspokojeniu dalej myślę to samo? Czy ten związek naprawdę mnie izoluje, czy tylko uruchomił stary lęk przed utratą siebie?”</w:t>
      </w:r>
      <w:r>
        <w:rPr/>
        <w:t xml:space="preserve"> Pytania tego typu pomagają przesunąć się z automatycznej reakcji do refleksyjnej oceny. </w:t>
      </w:r>
      <w:hyperlink r:id="rId46">
        <w:r>
          <w:rPr>
            <w:rStyle w:val="Hyperlink"/>
          </w:rPr>
          <w:t>[37]</w:t>
        </w:r>
      </w:hyperlink>
    </w:p>
    <w:p>
      <w:pPr>
        <w:pStyle w:val="BodyText"/>
        <w:rPr>
          <w:u w:val="single"/>
        </w:rPr>
      </w:pPr>
      <w:r>
        <w:rPr>
          <w:u w:val="single"/>
        </w:rPr>
        <w:t>Krótki skrypt do negocjacji granic zamiast wojny o rację:</w:t>
      </w:r>
    </w:p>
    <w:p>
      <w:pPr>
        <w:pStyle w:val="BodyText"/>
        <w:rPr/>
      </w:pPr>
      <w:r>
        <w:drawing>
          <wp:anchor distT="0" distB="0" distL="114935" distR="114935" simplePos="0" relativeHeight="2" behindDoc="0" locked="0" layoutInCell="0" allowOverlap="1">
            <wp:simplePos x="0" y="0"/>
            <wp:positionH relativeFrom="column">
              <wp:posOffset>371475</wp:posOffset>
            </wp:positionH>
            <wp:positionV relativeFrom="paragraph">
              <wp:posOffset>1130935</wp:posOffset>
            </wp:positionV>
            <wp:extent cx="5210175" cy="1162050"/>
            <wp:effectExtent l="0" t="0" r="0" b="0"/>
            <wp:wrapSquare wrapText="largest"/>
            <wp:docPr id="1" name="Picture"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Rendered Mermaid diagram 1"/>
                    <pic:cNvPicPr>
                      <a:picLocks noChangeAspect="1" noChangeArrowheads="1"/>
                    </pic:cNvPicPr>
                  </pic:nvPicPr>
                  <pic:blipFill>
                    <a:blip r:embed="rId47"/>
                    <a:srcRect l="4666" t="17030" r="4491" b="15277"/>
                    <a:stretch>
                      <a:fillRect/>
                    </a:stretch>
                  </pic:blipFill>
                  <pic:spPr bwMode="auto">
                    <a:xfrm>
                      <a:off x="0" y="0"/>
                      <a:ext cx="5210175" cy="1162050"/>
                    </a:xfrm>
                    <a:prstGeom prst="rect">
                      <a:avLst/>
                    </a:prstGeom>
                    <a:noFill/>
                  </pic:spPr>
                </pic:pic>
              </a:graphicData>
            </a:graphic>
          </wp:anchor>
        </w:drawing>
      </w:r>
      <w:r>
        <w:rPr>
          <w:b/>
          <w:bCs/>
        </w:rPr>
        <w:t>„</w:t>
      </w:r>
      <w:r>
        <w:rPr>
          <w:b/>
          <w:bCs/>
        </w:rPr>
        <w:t>Dla mnie ważne jest, żebym nie traciła przyjaciół przez związek. Dla Ciebie ważne jest poczucie bezpieczeństwa i jasnych granic. Zamiast oceniać, kto ma rację, spróbujmy ustalić, jakie konkretne formy kontaktu są dla nas obu do przyjęcia.”</w:t>
      </w:r>
      <w:r>
        <w:rPr/>
        <w:t xml:space="preserve"> Takie przeformułowanie przesuwa rozmowę z poziomu tożsamości i winy na poziom praktycznych ustaleń. </w:t>
      </w:r>
      <w:hyperlink r:id="rId48">
        <w:r>
          <w:rPr>
            <w:rStyle w:val="Hyperlink"/>
          </w:rPr>
          <w:t>[38]</w:t>
        </w:r>
      </w:hyperlink>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c>
          <w:tcPr>
            <w:tcW w:w="7920" w:type="dxa"/>
            <w:tcBorders/>
          </w:tcPr>
          <w:p>
            <w:pPr>
              <w:pStyle w:val="Compact"/>
              <w:spacing w:before="36" w:after="36"/>
              <w:jc w:val="center"/>
              <w:rPr/>
            </w:pPr>
            <w:r>
              <w:rPr/>
            </w:r>
          </w:p>
          <w:p>
            <w:pPr>
              <w:pStyle w:val="Compact"/>
              <w:spacing w:before="36" w:after="36"/>
              <w:jc w:val="center"/>
              <w:rPr/>
            </w:pPr>
            <w:r>
              <w:rPr/>
            </w:r>
          </w:p>
        </w:tc>
      </w:tr>
    </w:tbl>
    <w:p>
      <w:pPr>
        <w:pStyle w:val="BodyText"/>
        <w:rPr/>
      </w:pPr>
      <w:r>
        <w:rPr/>
        <w:t xml:space="preserve">Taki przebieg nie jest pewnikiem, ale dobrze opisuje, jak z jednego, pozornie ograniczonego zdarzenia może powstać cały łańcuch emocjonalno-poznawczy, zwłaszcza gdy w tle są przemoc w dzieciństwie, rozwód i wcześniejsze straty relacyjne. </w:t>
      </w:r>
      <w:hyperlink r:id="rId49">
        <w:r>
          <w:rPr>
            <w:rStyle w:val="Hyperlink"/>
          </w:rPr>
          <w:t>[39]</w:t>
        </w:r>
      </w:hyperlink>
    </w:p>
    <w:p>
      <w:pPr>
        <w:pStyle w:val="Heading2"/>
        <w:rPr/>
      </w:pPr>
      <w:bookmarkStart w:id="13" w:name="X67791ca80e6bd04c2288b35a95d9b3df3cf44d9"/>
      <w:r>
        <w:rPr/>
        <w:t>Podejścia terapeutyczne, zasoby i moment szukania profesjonalnej pomocy</w:t>
      </w:r>
    </w:p>
    <w:p>
      <w:pPr>
        <w:pStyle w:val="FirstParagraph"/>
        <w:rPr/>
      </w:pPr>
      <w:r>
        <w:rPr/>
        <w:t xml:space="preserve">Jeżeli w tle dominują objawy pourazowe — natrętne wspomnienia, koszmary, wybuchy gniewu, drażliwość, nadmierna czujność, odrętwienie, unikanie, dysocjacja — najsilniejsze oparcie w wytycznych mają </w:t>
      </w:r>
      <w:r>
        <w:rPr>
          <w:b/>
          <w:bCs/>
        </w:rPr>
        <w:t>psychoterapie ukierunkowane na traumę</w:t>
      </w:r>
      <w:r>
        <w:rPr/>
        <w:t xml:space="preserve">. Polskie stanowisko opublikowane w </w:t>
      </w:r>
      <w:r>
        <w:rPr>
          <w:i/>
          <w:iCs/>
        </w:rPr>
        <w:t>Psychiatrii Polskiej</w:t>
      </w:r>
      <w:r>
        <w:rPr/>
        <w:t xml:space="preserve"> wskazuje psychoterapię jako leczenie pierwszego rzutu w PTSD, a NICE rekomenduje m.in. EMDR oraz traumafocused CBT/CPT/PE zależnie od obrazu klinicznego. Polskie zalecenia podkreślają też znaczenie etapowego postępowania, monitorowania ryzyka samobójczego i możliwości korzystania z grup wsparcia. </w:t>
      </w:r>
      <w:hyperlink r:id="rId50">
        <w:r>
          <w:rPr>
            <w:rStyle w:val="Hyperlink"/>
          </w:rPr>
          <w:t>[40]</w:t>
        </w:r>
      </w:hyperlink>
    </w:p>
    <w:p>
      <w:pPr>
        <w:pStyle w:val="BodyText"/>
        <w:rPr/>
      </w:pPr>
      <w:r>
        <w:rPr/>
        <w:t xml:space="preserve">Jeżeli obok traumy wyraźnie występują </w:t>
      </w:r>
      <w:r>
        <w:rPr>
          <w:b/>
          <w:bCs/>
        </w:rPr>
        <w:t>silna dysregulacja emocji, impulsywne rozstania, autoagresja, chroniczny wstyd, trudność w utrzymaniu relacji</w:t>
      </w:r>
      <w:r>
        <w:rPr/>
        <w:t xml:space="preserve">, warto rozważyć terapię, która oprócz traumy uczy regulacji emocji i tolerancji dystresu. W tej grupie rośnie baza dowodowa dla </w:t>
      </w:r>
      <w:r>
        <w:rPr>
          <w:b/>
          <w:bCs/>
        </w:rPr>
        <w:t>DBT-PTSD</w:t>
      </w:r>
      <w:r>
        <w:rPr/>
        <w:t xml:space="preserve"> i pokrewnych modułów łączących pracę nad traumą z nauką regulacji; meta-analiza z 2024 r. wskazała skuteczność DBT-PTSD/DBT-PE w redukcji objawów PTSD i depresji, a klasyczne badanie porównawcze wykazało skuteczność DBT-PTSD i CPT u kobiet z kompleksowym PTSD związanym z przemocą w dzieciństwie. </w:t>
      </w:r>
      <w:hyperlink r:id="rId51">
        <w:r>
          <w:rPr>
            <w:rStyle w:val="Hyperlink"/>
          </w:rPr>
          <w:t>[41]</w:t>
        </w:r>
      </w:hyperlink>
    </w:p>
    <w:p>
      <w:pPr>
        <w:pStyle w:val="BodyText"/>
        <w:rPr/>
      </w:pPr>
      <w:r>
        <w:rPr/>
        <w:t xml:space="preserve">Jeżeli rdzeniem problemu są </w:t>
      </w:r>
      <w:r>
        <w:rPr>
          <w:b/>
          <w:bCs/>
        </w:rPr>
        <w:t>utrwalone schematy</w:t>
      </w:r>
      <w:r>
        <w:rPr/>
        <w:t xml:space="preserve"> typu porzucenie, nieufność, podporządkowanie, wadliwość, deprywacja emocjonalna lub „utrata siebie w relacji”, sensowna może być </w:t>
      </w:r>
      <w:r>
        <w:rPr>
          <w:b/>
          <w:bCs/>
        </w:rPr>
        <w:t>terapia schematów</w:t>
      </w:r>
      <w:r>
        <w:rPr/>
        <w:t xml:space="preserve"> albo terapia integrująca pracę z traumą i schematami. Aktualne przeglądy opisują terapię schematów jako obiecującą w PTSD, lęku i powiązanych trudnych prezentacjach klinicznych, ale trzeba uczciwie dodać, że jakość dowodów jest mniej jednolita niż dla klasycznych terapii ukierunkowanych na traumę. </w:t>
      </w:r>
      <w:hyperlink r:id="rId52">
        <w:r>
          <w:rPr>
            <w:rStyle w:val="Hyperlink"/>
          </w:rPr>
          <w:t>[42]</w:t>
        </w:r>
      </w:hyperlink>
    </w:p>
    <w:p>
      <w:pPr>
        <w:pStyle w:val="BodyText"/>
        <w:rPr/>
      </w:pPr>
      <w:r>
        <w:rPr/>
        <w:t xml:space="preserve">Jeżeli para chce ratować relację, a problemem jest przede wszystkim </w:t>
      </w:r>
      <w:r>
        <w:rPr>
          <w:b/>
          <w:bCs/>
        </w:rPr>
        <w:t>rana przywiązaniowa, poczucie opuszczenia lub zdrady zaufania</w:t>
      </w:r>
      <w:r>
        <w:rPr/>
        <w:t xml:space="preserve">, można rozważyć </w:t>
      </w:r>
      <w:r>
        <w:rPr>
          <w:b/>
          <w:bCs/>
        </w:rPr>
        <w:t>terapię par o orientacji przywiązaniowej</w:t>
      </w:r>
      <w:r>
        <w:rPr/>
        <w:t xml:space="preserve">, zwłaszcza podejście EFT. Kluczowe zastrzeżenie: to ma sens tylko wtedy, gdy w relacji </w:t>
      </w:r>
      <w:r>
        <w:rPr>
          <w:b/>
          <w:bCs/>
        </w:rPr>
        <w:t>nie ma przemocy, przymusu ani realnego izolowania</w:t>
      </w:r>
      <w:r>
        <w:rPr/>
        <w:t xml:space="preserve">. Klasyczne prace nad „attachment injury” definiują takie zranienie jako naruszenie oczekiwania, że partner będzie źródłem wsparcia w chwili zagrożenia; część badań pokazuje, że praca nad tym w EFT może pomagać. </w:t>
      </w:r>
      <w:hyperlink r:id="rId53">
        <w:r>
          <w:rPr>
            <w:rStyle w:val="Hyperlink"/>
          </w:rPr>
          <w:t>[43]</w:t>
        </w:r>
      </w:hyperlink>
    </w:p>
    <w:p>
      <w:pPr>
        <w:pStyle w:val="BodyText"/>
        <w:rPr/>
      </w:pPr>
      <w:r>
        <w:rPr/>
        <w:t xml:space="preserve">Profesjonalnej pomocy warto szukać szybciej, nie później, gdy pojawia się którykolwiek z następujących sygnałów: powtarzalne nagłe zrywanie relacji „dla ulgi”, silne odrętwienie lub dysocjacja podczas konfliktu, natrętne wspomnienia przemocy, koszmary, bezsenność, myśli samobójcze, samouszkodzenia, wzrastające używanie alkoholu lub innych substancji, utrata zdolności do pracy, albo każda forma przemocy w aktualnym związku. WHO i polskie wytyczne PTSD podkreślają długofalowe skutki przemocy dziecięcej i wagę szybkiego reagowania na objawy oraz ryzyko samobójcze. </w:t>
      </w:r>
      <w:hyperlink r:id="rId54">
        <w:r>
          <w:rPr>
            <w:rStyle w:val="Hyperlink"/>
          </w:rPr>
          <w:t>[44]</w:t>
        </w:r>
      </w:hyperlink>
    </w:p>
    <w:p>
      <w:pPr>
        <w:pStyle w:val="BodyText"/>
        <w:rPr/>
      </w:pPr>
      <w:r>
        <w:rPr/>
        <w:t xml:space="preserve">W Polsce użyteczne, oficjalnie dostępne zasoby obejmują: </w:t>
      </w:r>
      <w:r>
        <w:rPr>
          <w:b/>
          <w:bCs/>
        </w:rPr>
        <w:t>116 123</w:t>
      </w:r>
      <w:r>
        <w:rPr/>
        <w:t xml:space="preserve"> dla dorosłych w kryzysie emocjonalnym i serwis </w:t>
      </w:r>
      <w:r>
        <w:rPr>
          <w:b/>
          <w:bCs/>
        </w:rPr>
        <w:t>116sos.pl</w:t>
      </w:r>
      <w:r>
        <w:rPr/>
        <w:t xml:space="preserve">, </w:t>
      </w:r>
      <w:r>
        <w:rPr>
          <w:b/>
          <w:bCs/>
        </w:rPr>
        <w:t>Centrum Wsparcia 800 70 2222</w:t>
      </w:r>
      <w:r>
        <w:rPr/>
        <w:t xml:space="preserve"> działające całodobowo, a w sytuacji przemocy domowej </w:t>
      </w:r>
      <w:r>
        <w:rPr>
          <w:b/>
          <w:bCs/>
        </w:rPr>
        <w:t>Ogólnopolskie Pogotowie dla Osób Doznających Przemocy Domowej „Niebieska Linia” 800 120 002</w:t>
      </w:r>
      <w:r>
        <w:rPr/>
        <w:t xml:space="preserve">. W bezpośrednim zagrożeniu życia lub bezpieczeństwa właściwy jest numer alarmowy </w:t>
      </w:r>
      <w:r>
        <w:rPr>
          <w:b/>
          <w:bCs/>
        </w:rPr>
        <w:t>112</w:t>
      </w:r>
      <w:r>
        <w:rPr/>
        <w:t xml:space="preserve">. </w:t>
      </w:r>
      <w:hyperlink r:id="rId55">
        <w:r>
          <w:rPr>
            <w:rStyle w:val="Hyperlink"/>
          </w:rPr>
          <w:t>[45]</w:t>
        </w:r>
      </w:hyperlink>
    </w:p>
    <w:p>
      <w:pPr>
        <w:pStyle w:val="BodyText"/>
        <w:rPr/>
      </w:pPr>
      <w:r>
        <w:rPr/>
        <w:t xml:space="preserve">Najważniejszy wniosek kliniczny brzmi więc następująco: chęć zakończenia związku po wiadomości od przyjaciela </w:t>
      </w:r>
      <w:r>
        <w:rPr>
          <w:b/>
          <w:bCs/>
        </w:rPr>
        <w:t>nie musi oznaczać</w:t>
      </w:r>
      <w:r>
        <w:rPr/>
        <w:t xml:space="preserve">, że kobieta kocha przyjaciela bardziej niż partnera, ani że „nie nadaje się do relacji”. Równie dobrze może oznaczać, że zadziałał bardzo stary układ alarmowy: </w:t>
      </w:r>
      <w:r>
        <w:rPr>
          <w:b/>
          <w:bCs/>
        </w:rPr>
        <w:t>utrata ważnej więzi + zagrożenie autonomii + pamięć dawnej kontroli</w:t>
      </w:r>
      <w:r>
        <w:rPr/>
        <w:t xml:space="preserve">. Dopiero po obniżeniu napięcia i oddzieleniu faktów od schematów można uczciwie ocenić, czy chodzi o realną niezgodność wartości, czy o reakcję obronną po uruchomieniu traumy. </w:t>
      </w:r>
      <w:hyperlink r:id="rId56">
        <w:r>
          <w:rPr>
            <w:rStyle w:val="Hyperlink"/>
          </w:rPr>
          <w:t>[46]</w:t>
        </w:r>
      </w:hyperlink>
      <w:bookmarkEnd w:id="1"/>
      <w:bookmarkEnd w:id="2"/>
      <w:bookmarkEnd w:id="13"/>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57">
        <w:bookmarkStart w:id="14" w:name="citations"/>
        <w:r>
          <w:rPr>
            <w:rStyle w:val="Hyperlink"/>
          </w:rPr>
          <w:t>[1]</w:t>
        </w:r>
      </w:hyperlink>
      <w:r>
        <w:rPr/>
        <w:t xml:space="preserve"> </w:t>
      </w:r>
      <w:hyperlink r:id="rId58">
        <w:r>
          <w:rPr>
            <w:rStyle w:val="Hyperlink"/>
          </w:rPr>
          <w:t>[9]</w:t>
        </w:r>
      </w:hyperlink>
      <w:r>
        <w:rPr/>
        <w:t xml:space="preserve"> </w:t>
      </w:r>
      <w:hyperlink r:id="rId59">
        <w:r>
          <w:rPr>
            <w:rStyle w:val="Hyperlink"/>
          </w:rPr>
          <w:t>[44]</w:t>
        </w:r>
      </w:hyperlink>
      <w:r>
        <w:rPr/>
        <w:t xml:space="preserve">  Child maltreatment </w:t>
      </w:r>
    </w:p>
    <w:p>
      <w:pPr>
        <w:pStyle w:val="BodyText"/>
        <w:rPr/>
      </w:pPr>
      <w:hyperlink r:id="rId60">
        <w:r>
          <w:rPr>
            <w:rStyle w:val="Hyperlink"/>
          </w:rPr>
          <w:t>https://www.who.int/news-room/fact-sheets/detail/child-maltreatment</w:t>
        </w:r>
      </w:hyperlink>
    </w:p>
    <w:p>
      <w:pPr>
        <w:pStyle w:val="BodyText"/>
        <w:rPr/>
      </w:pPr>
      <w:hyperlink r:id="rId61">
        <w:r>
          <w:rPr>
            <w:rStyle w:val="Hyperlink"/>
          </w:rPr>
          <w:t>[2]</w:t>
        </w:r>
      </w:hyperlink>
      <w:r>
        <w:rPr/>
        <w:t xml:space="preserve"> </w:t>
      </w:r>
      <w:hyperlink r:id="rId62">
        <w:r>
          <w:rPr>
            <w:rStyle w:val="Hyperlink"/>
          </w:rPr>
          <w:t>[6]</w:t>
        </w:r>
      </w:hyperlink>
      <w:r>
        <w:rPr/>
        <w:t xml:space="preserve"> </w:t>
      </w:r>
      <w:hyperlink r:id="rId63">
        <w:r>
          <w:rPr>
            <w:rStyle w:val="Hyperlink"/>
          </w:rPr>
          <w:t>[21]</w:t>
        </w:r>
      </w:hyperlink>
      <w:r>
        <w:rPr/>
        <w:t xml:space="preserve"> </w:t>
      </w:r>
      <w:hyperlink r:id="rId64">
        <w:r>
          <w:rPr>
            <w:rStyle w:val="Hyperlink"/>
          </w:rPr>
          <w:t>[24]</w:t>
        </w:r>
      </w:hyperlink>
      <w:r>
        <w:rPr/>
        <w:t xml:space="preserve"> </w:t>
      </w:r>
      <w:hyperlink r:id="rId65">
        <w:r>
          <w:rPr>
            <w:rStyle w:val="Hyperlink"/>
          </w:rPr>
          <w:t>[27]</w:t>
        </w:r>
      </w:hyperlink>
      <w:r>
        <w:rPr/>
        <w:t xml:space="preserve"> </w:t>
      </w:r>
      <w:hyperlink r:id="rId66">
        <w:r>
          <w:rPr>
            <w:rStyle w:val="Hyperlink"/>
          </w:rPr>
          <w:t>[36]</w:t>
        </w:r>
      </w:hyperlink>
      <w:r>
        <w:rPr/>
        <w:t xml:space="preserve"> </w:t>
      </w:r>
      <w:hyperlink r:id="rId67">
        <w:r>
          <w:rPr>
            <w:rStyle w:val="Hyperlink"/>
          </w:rPr>
          <w:t>[46]</w:t>
        </w:r>
      </w:hyperlink>
      <w:r>
        <w:rPr/>
        <w:t xml:space="preserve"> Being Me While Loving You: The Role of Autonomy in the Association Between Insecure Attachment and Relationship Satisfaction - PubMed</w:t>
      </w:r>
    </w:p>
    <w:p>
      <w:pPr>
        <w:pStyle w:val="BodyText"/>
        <w:rPr/>
      </w:pPr>
      <w:hyperlink r:id="rId68">
        <w:r>
          <w:rPr>
            <w:rStyle w:val="Hyperlink"/>
          </w:rPr>
          <w:t>https://pubmed.ncbi.nlm.nih.gov/41025269/</w:t>
        </w:r>
      </w:hyperlink>
    </w:p>
    <w:p>
      <w:pPr>
        <w:pStyle w:val="BodyText"/>
        <w:rPr/>
      </w:pPr>
      <w:hyperlink r:id="rId69">
        <w:r>
          <w:rPr>
            <w:rStyle w:val="Hyperlink"/>
          </w:rPr>
          <w:t>[3]</w:t>
        </w:r>
      </w:hyperlink>
      <w:r>
        <w:rPr/>
        <w:t xml:space="preserve"> </w:t>
      </w:r>
      <w:hyperlink r:id="rId70">
        <w:r>
          <w:rPr>
            <w:rStyle w:val="Hyperlink"/>
          </w:rPr>
          <w:t>[10]</w:t>
        </w:r>
      </w:hyperlink>
      <w:r>
        <w:rPr/>
        <w:t xml:space="preserve"> </w:t>
      </w:r>
      <w:hyperlink r:id="rId71">
        <w:r>
          <w:rPr>
            <w:rStyle w:val="Hyperlink"/>
          </w:rPr>
          <w:t>[14]</w:t>
        </w:r>
      </w:hyperlink>
      <w:r>
        <w:rPr/>
        <w:t xml:space="preserve"> </w:t>
      </w:r>
      <w:hyperlink r:id="rId72">
        <w:r>
          <w:rPr>
            <w:rStyle w:val="Hyperlink"/>
          </w:rPr>
          <w:t>[17]</w:t>
        </w:r>
      </w:hyperlink>
      <w:r>
        <w:rPr/>
        <w:t xml:space="preserve"> </w:t>
      </w:r>
      <w:hyperlink r:id="rId73">
        <w:r>
          <w:rPr>
            <w:rStyle w:val="Hyperlink"/>
          </w:rPr>
          <w:t>[28]</w:t>
        </w:r>
      </w:hyperlink>
      <w:r>
        <w:rPr/>
        <w:t xml:space="preserve"> </w:t>
      </w:r>
      <w:hyperlink r:id="rId74">
        <w:r>
          <w:rPr>
            <w:rStyle w:val="Hyperlink"/>
          </w:rPr>
          <w:t>[29]</w:t>
        </w:r>
      </w:hyperlink>
      <w:r>
        <w:rPr/>
        <w:t xml:space="preserve"> </w:t>
      </w:r>
      <w:hyperlink r:id="rId75">
        <w:r>
          <w:rPr>
            <w:rStyle w:val="Hyperlink"/>
          </w:rPr>
          <w:t>[39]</w:t>
        </w:r>
      </w:hyperlink>
      <w:r>
        <w:rPr/>
        <w:t xml:space="preserve"> Charakterystyka zjawiska przemocy domowej - KCPU</w:t>
      </w:r>
    </w:p>
    <w:p>
      <w:pPr>
        <w:pStyle w:val="BodyText"/>
        <w:rPr/>
      </w:pPr>
      <w:hyperlink r:id="rId76">
        <w:r>
          <w:rPr>
            <w:rStyle w:val="Hyperlink"/>
          </w:rPr>
          <w:t>https://kcpu.gov.pl/przemoc/charakterystyka-zjawiska-przemocy-w-rodzinie/</w:t>
        </w:r>
      </w:hyperlink>
    </w:p>
    <w:p>
      <w:pPr>
        <w:pStyle w:val="BodyText"/>
        <w:rPr/>
      </w:pPr>
      <w:hyperlink r:id="rId77">
        <w:r>
          <w:rPr>
            <w:rStyle w:val="Hyperlink"/>
          </w:rPr>
          <w:t>[4]</w:t>
        </w:r>
      </w:hyperlink>
      <w:r>
        <w:rPr/>
        <w:t xml:space="preserve"> </w:t>
      </w:r>
      <w:hyperlink r:id="rId78">
        <w:r>
          <w:rPr>
            <w:rStyle w:val="Hyperlink"/>
          </w:rPr>
          <w:t>[5]</w:t>
        </w:r>
      </w:hyperlink>
      <w:r>
        <w:rPr/>
        <w:t xml:space="preserve"> </w:t>
      </w:r>
      <w:hyperlink r:id="rId79">
        <w:r>
          <w:rPr>
            <w:rStyle w:val="Hyperlink"/>
          </w:rPr>
          <w:t>[19]</w:t>
        </w:r>
      </w:hyperlink>
      <w:r>
        <w:rPr/>
        <w:t xml:space="preserve"> </w:t>
      </w:r>
      <w:hyperlink r:id="rId80">
        <w:r>
          <w:rPr>
            <w:rStyle w:val="Hyperlink"/>
          </w:rPr>
          <w:t>[32]</w:t>
        </w:r>
      </w:hyperlink>
      <w:r>
        <w:rPr/>
        <w:t xml:space="preserve"> </w:t>
      </w:r>
      <w:hyperlink r:id="rId81">
        <w:r>
          <w:rPr>
            <w:rStyle w:val="Hyperlink"/>
          </w:rPr>
          <w:t>[34]</w:t>
        </w:r>
      </w:hyperlink>
      <w:r>
        <w:rPr/>
        <w:t xml:space="preserve"> On Relationships | Zeitschrift für Ethik und Moralphilosophie | Springer Nature Link</w:t>
      </w:r>
    </w:p>
    <w:p>
      <w:pPr>
        <w:pStyle w:val="BodyText"/>
        <w:rPr/>
      </w:pPr>
      <w:hyperlink r:id="rId82">
        <w:r>
          <w:rPr>
            <w:rStyle w:val="Hyperlink"/>
          </w:rPr>
          <w:t>https://link.springer.com/article/10.1007/s42048-024-00192-3</w:t>
        </w:r>
      </w:hyperlink>
    </w:p>
    <w:p>
      <w:pPr>
        <w:pStyle w:val="BodyText"/>
        <w:rPr/>
      </w:pPr>
      <w:hyperlink r:id="rId83">
        <w:r>
          <w:rPr>
            <w:rStyle w:val="Hyperlink"/>
          </w:rPr>
          <w:t>[7]</w:t>
        </w:r>
      </w:hyperlink>
      <w:r>
        <w:rPr/>
        <w:t xml:space="preserve"> </w:t>
      </w:r>
      <w:hyperlink r:id="rId84">
        <w:r>
          <w:rPr>
            <w:rStyle w:val="Hyperlink"/>
          </w:rPr>
          <w:t>[20]</w:t>
        </w:r>
      </w:hyperlink>
      <w:r>
        <w:rPr/>
        <w:t xml:space="preserve"> </w:t>
      </w:r>
      <w:hyperlink r:id="rId85">
        <w:r>
          <w:rPr>
            <w:rStyle w:val="Hyperlink"/>
          </w:rPr>
          <w:t>[26]</w:t>
        </w:r>
      </w:hyperlink>
      <w:r>
        <w:rPr/>
        <w:t xml:space="preserve"> </w:t>
      </w:r>
      <w:hyperlink r:id="rId86">
        <w:r>
          <w:rPr>
            <w:rStyle w:val="Hyperlink"/>
          </w:rPr>
          <w:t>[31]</w:t>
        </w:r>
      </w:hyperlink>
      <w:r>
        <w:rPr/>
        <w:t xml:space="preserve"> An attachment perspective on loss and grief</w:t>
      </w:r>
    </w:p>
    <w:p>
      <w:pPr>
        <w:pStyle w:val="BodyText"/>
        <w:rPr/>
      </w:pPr>
      <w:hyperlink r:id="rId87">
        <w:r>
          <w:rPr>
            <w:rStyle w:val="Hyperlink"/>
          </w:rPr>
          <w:t>https://pubmed.ncbi.nlm.nih.gov/35008028/?utm_source=chatgpt.com</w:t>
        </w:r>
      </w:hyperlink>
    </w:p>
    <w:p>
      <w:pPr>
        <w:pStyle w:val="BodyText"/>
        <w:rPr/>
      </w:pPr>
      <w:hyperlink r:id="rId88">
        <w:r>
          <w:rPr>
            <w:rStyle w:val="Hyperlink"/>
          </w:rPr>
          <w:t>[8]</w:t>
        </w:r>
      </w:hyperlink>
      <w:r>
        <w:rPr/>
        <w:t xml:space="preserve"> </w:t>
      </w:r>
      <w:hyperlink r:id="rId89">
        <w:r>
          <w:rPr>
            <w:rStyle w:val="Hyperlink"/>
          </w:rPr>
          <w:t>[22]</w:t>
        </w:r>
      </w:hyperlink>
      <w:r>
        <w:rPr/>
        <w:t xml:space="preserve"> A Lifespan Development Theory of Insecure Attachment and ...</w:t>
      </w:r>
    </w:p>
    <w:p>
      <w:pPr>
        <w:pStyle w:val="BodyText"/>
        <w:rPr/>
      </w:pPr>
      <w:hyperlink r:id="rId90">
        <w:r>
          <w:rPr>
            <w:rStyle w:val="Hyperlink"/>
          </w:rPr>
          <w:t>https://pmc.ncbi.nlm.nih.gov/articles/PMC8469853/?utm_source=chatgpt.com</w:t>
        </w:r>
      </w:hyperlink>
    </w:p>
    <w:p>
      <w:pPr>
        <w:pStyle w:val="BodyText"/>
        <w:rPr/>
      </w:pPr>
      <w:hyperlink r:id="rId91">
        <w:r>
          <w:rPr>
            <w:rStyle w:val="Hyperlink"/>
          </w:rPr>
          <w:t>[11]</w:t>
        </w:r>
      </w:hyperlink>
      <w:r>
        <w:rPr/>
        <w:t xml:space="preserve"> </w:t>
      </w:r>
      <w:hyperlink r:id="rId92">
        <w:r>
          <w:rPr>
            <w:rStyle w:val="Hyperlink"/>
          </w:rPr>
          <w:t>[23]</w:t>
        </w:r>
      </w:hyperlink>
      <w:r>
        <w:rPr/>
        <w:t xml:space="preserve"> </w:t>
      </w:r>
      <w:hyperlink r:id="rId93">
        <w:r>
          <w:rPr>
            <w:rStyle w:val="Hyperlink"/>
          </w:rPr>
          <w:t>[30]</w:t>
        </w:r>
      </w:hyperlink>
      <w:r>
        <w:rPr/>
        <w:t xml:space="preserve"> Romantic relationship dissolutions are significantly ...</w:t>
      </w:r>
    </w:p>
    <w:p>
      <w:pPr>
        <w:pStyle w:val="BodyText"/>
        <w:rPr/>
      </w:pPr>
      <w:hyperlink r:id="rId94">
        <w:r>
          <w:rPr>
            <w:rStyle w:val="Hyperlink"/>
          </w:rPr>
          <w:t>https://pubmed.ncbi.nlm.nih.gov/37526098/?utm_source=chatgpt.com</w:t>
        </w:r>
      </w:hyperlink>
    </w:p>
    <w:p>
      <w:pPr>
        <w:pStyle w:val="BodyText"/>
        <w:rPr/>
      </w:pPr>
      <w:hyperlink r:id="rId95">
        <w:r>
          <w:rPr>
            <w:rStyle w:val="Hyperlink"/>
          </w:rPr>
          <w:t>[12]</w:t>
        </w:r>
      </w:hyperlink>
      <w:r>
        <w:rPr/>
        <w:t xml:space="preserve"> Do insecure adult attachment styles mediate the relationship between childhood maltreatment and violent behavior? | Development and Psychopathology | Cambridge Core</w:t>
      </w:r>
    </w:p>
    <w:p>
      <w:pPr>
        <w:pStyle w:val="BodyText"/>
        <w:rPr/>
      </w:pPr>
      <w:hyperlink r:id="rId96">
        <w:r>
          <w:rPr>
            <w:rStyle w:val="Hyperlink"/>
          </w:rPr>
          <w:t>https://www.cambridge.org/core/journals/development-and-psychopathology/article/do-insecure-adult-attachment-styles-mediate-the-relationship-between-childhood-maltreatment-and-violent-behavior/A24B958218FE760588001A849E463837</w:t>
        </w:r>
      </w:hyperlink>
    </w:p>
    <w:p>
      <w:pPr>
        <w:pStyle w:val="BodyText"/>
        <w:rPr/>
      </w:pPr>
      <w:hyperlink r:id="rId97">
        <w:r>
          <w:rPr>
            <w:rStyle w:val="Hyperlink"/>
          </w:rPr>
          <w:t>[13]</w:t>
        </w:r>
      </w:hyperlink>
      <w:r>
        <w:rPr/>
        <w:t xml:space="preserve"> Childhood Emotional Maltreatment and Romantic Relationships</w:t>
      </w:r>
    </w:p>
    <w:p>
      <w:pPr>
        <w:pStyle w:val="BodyText"/>
        <w:rPr/>
      </w:pPr>
      <w:hyperlink r:id="rId98">
        <w:r>
          <w:rPr>
            <w:rStyle w:val="Hyperlink"/>
          </w:rPr>
          <w:t>https://pmc.ncbi.nlm.nih.gov/articles/PMC8666543/?utm_source=chatgpt.com</w:t>
        </w:r>
      </w:hyperlink>
    </w:p>
    <w:p>
      <w:pPr>
        <w:pStyle w:val="BodyText"/>
        <w:rPr/>
      </w:pPr>
      <w:hyperlink r:id="rId99">
        <w:r>
          <w:rPr>
            <w:rStyle w:val="Hyperlink"/>
          </w:rPr>
          <w:t>[15]</w:t>
        </w:r>
      </w:hyperlink>
      <w:r>
        <w:rPr/>
        <w:t xml:space="preserve"> </w:t>
      </w:r>
      <w:hyperlink r:id="rId100">
        <w:r>
          <w:rPr>
            <w:rStyle w:val="Hyperlink"/>
          </w:rPr>
          <w:t>[25]</w:t>
        </w:r>
      </w:hyperlink>
      <w:r>
        <w:rPr/>
        <w:t xml:space="preserve"> How anxious and avoidant attachment affect romantic ...</w:t>
      </w:r>
    </w:p>
    <w:p>
      <w:pPr>
        <w:pStyle w:val="BodyText"/>
        <w:rPr/>
      </w:pPr>
      <w:hyperlink r:id="rId101">
        <w:r>
          <w:rPr>
            <w:rStyle w:val="Hyperlink"/>
          </w:rPr>
          <w:t>https://onlinelibrary.wiley.com/doi/abs/10.1002/ejsp.1842?utm_source=chatgpt.com</w:t>
        </w:r>
      </w:hyperlink>
    </w:p>
    <w:p>
      <w:pPr>
        <w:pStyle w:val="BodyText"/>
        <w:rPr/>
      </w:pPr>
      <w:hyperlink r:id="rId102">
        <w:r>
          <w:rPr>
            <w:rStyle w:val="Hyperlink"/>
          </w:rPr>
          <w:t>[16]</w:t>
        </w:r>
      </w:hyperlink>
      <w:r>
        <w:rPr/>
        <w:t xml:space="preserve"> The relationship between adult attachment style and post ...</w:t>
      </w:r>
    </w:p>
    <w:p>
      <w:pPr>
        <w:pStyle w:val="BodyText"/>
        <w:rPr/>
      </w:pPr>
      <w:hyperlink r:id="rId103">
        <w:r>
          <w:rPr>
            <w:rStyle w:val="Hyperlink"/>
          </w:rPr>
          <w:t>https://www.sciencedirect.com/science/article/abs/pii/S0887618515300013?utm_source=chatgpt.com</w:t>
        </w:r>
      </w:hyperlink>
    </w:p>
    <w:p>
      <w:pPr>
        <w:pStyle w:val="BodyText"/>
        <w:rPr/>
      </w:pPr>
      <w:hyperlink r:id="rId104">
        <w:r>
          <w:rPr>
            <w:rStyle w:val="Hyperlink"/>
          </w:rPr>
          <w:t>[18]</w:t>
        </w:r>
      </w:hyperlink>
      <w:r>
        <w:rPr/>
        <w:t xml:space="preserve"> Adult friendship and wellbeing: A systematic review with ...</w:t>
      </w:r>
    </w:p>
    <w:p>
      <w:pPr>
        <w:pStyle w:val="BodyText"/>
        <w:rPr/>
      </w:pPr>
      <w:hyperlink r:id="rId105">
        <w:r>
          <w:rPr>
            <w:rStyle w:val="Hyperlink"/>
          </w:rPr>
          <w:t>https://pubmed.ncbi.nlm.nih.gov/36760434/?utm_source=chatgpt.com</w:t>
        </w:r>
      </w:hyperlink>
    </w:p>
    <w:p>
      <w:pPr>
        <w:pStyle w:val="BodyText"/>
        <w:rPr/>
      </w:pPr>
      <w:hyperlink r:id="rId106">
        <w:r>
          <w:rPr>
            <w:rStyle w:val="Hyperlink"/>
          </w:rPr>
          <w:t>[33]</w:t>
        </w:r>
      </w:hyperlink>
      <w:r>
        <w:rPr/>
        <w:t xml:space="preserve"> Triangles - The Bowen Center for the Study of the Family</w:t>
      </w:r>
    </w:p>
    <w:p>
      <w:pPr>
        <w:pStyle w:val="BodyText"/>
        <w:rPr/>
      </w:pPr>
      <w:hyperlink r:id="rId107">
        <w:r>
          <w:rPr>
            <w:rStyle w:val="Hyperlink"/>
          </w:rPr>
          <w:t>https://www.thebowencenter.org/triangles?utm_source=chatgpt.com</w:t>
        </w:r>
      </w:hyperlink>
    </w:p>
    <w:p>
      <w:pPr>
        <w:pStyle w:val="BodyText"/>
        <w:rPr/>
      </w:pPr>
      <w:hyperlink r:id="rId108">
        <w:r>
          <w:rPr>
            <w:rStyle w:val="Hyperlink"/>
          </w:rPr>
          <w:t>[35]</w:t>
        </w:r>
      </w:hyperlink>
      <w:r>
        <w:rPr/>
        <w:t xml:space="preserve"> Attachment, emotion regulation, and well‐being in couples</w:t>
      </w:r>
    </w:p>
    <w:p>
      <w:pPr>
        <w:pStyle w:val="BodyText"/>
        <w:rPr/>
      </w:pPr>
      <w:hyperlink r:id="rId109">
        <w:r>
          <w:rPr>
            <w:rStyle w:val="Hyperlink"/>
          </w:rPr>
          <w:t>https://pmc.ncbi.nlm.nih.gov/articles/PMC7383855/?utm_source=chatgpt.com</w:t>
        </w:r>
      </w:hyperlink>
    </w:p>
    <w:p>
      <w:pPr>
        <w:pStyle w:val="BodyText"/>
        <w:rPr/>
      </w:pPr>
      <w:hyperlink r:id="rId110">
        <w:r>
          <w:rPr>
            <w:rStyle w:val="Hyperlink"/>
          </w:rPr>
          <w:t>[37]</w:t>
        </w:r>
      </w:hyperlink>
      <w:r>
        <w:rPr/>
        <w:t xml:space="preserve"> The delusion of the disappearing self? Attachment avoidance and the experience of externally invisible self-loss in romantic relationships - PubMed</w:t>
      </w:r>
    </w:p>
    <w:p>
      <w:pPr>
        <w:pStyle w:val="BodyText"/>
        <w:rPr/>
      </w:pPr>
      <w:hyperlink r:id="rId111">
        <w:r>
          <w:rPr>
            <w:rStyle w:val="Hyperlink"/>
          </w:rPr>
          <w:t>https://pubmed.ncbi.nlm.nih.gov/39298249/</w:t>
        </w:r>
      </w:hyperlink>
    </w:p>
    <w:p>
      <w:pPr>
        <w:pStyle w:val="BodyText"/>
        <w:rPr/>
      </w:pPr>
      <w:hyperlink r:id="rId112">
        <w:r>
          <w:rPr>
            <w:rStyle w:val="Hyperlink"/>
          </w:rPr>
          <w:t>[38]</w:t>
        </w:r>
      </w:hyperlink>
      <w:r>
        <w:rPr/>
        <w:t xml:space="preserve"> How sacrifice impacts the giver and the recipient: insights from approach-avoidance motivational theory - PubMed</w:t>
      </w:r>
    </w:p>
    <w:p>
      <w:pPr>
        <w:pStyle w:val="BodyText"/>
        <w:rPr/>
      </w:pPr>
      <w:hyperlink r:id="rId113">
        <w:r>
          <w:rPr>
            <w:rStyle w:val="Hyperlink"/>
          </w:rPr>
          <w:t>https://pubmed.ncbi.nlm.nih.gov/24007506/</w:t>
        </w:r>
      </w:hyperlink>
    </w:p>
    <w:p>
      <w:pPr>
        <w:pStyle w:val="BodyText"/>
        <w:rPr/>
      </w:pPr>
      <w:hyperlink r:id="rId114">
        <w:r>
          <w:rPr>
            <w:rStyle w:val="Hyperlink"/>
          </w:rPr>
          <w:t>[40]</w:t>
        </w:r>
      </w:hyperlink>
      <w:r>
        <w:rPr/>
        <w:t xml:space="preserve"> psychiatriapolska.pl</w:t>
      </w:r>
    </w:p>
    <w:p>
      <w:pPr>
        <w:pStyle w:val="BodyText"/>
        <w:rPr/>
      </w:pPr>
      <w:hyperlink r:id="rId115">
        <w:r>
          <w:rPr>
            <w:rStyle w:val="Hyperlink"/>
          </w:rPr>
          <w:t>https://www.psychiatriapolska.pl/pdf-166172-95034?filename=95034.pdf</w:t>
        </w:r>
      </w:hyperlink>
    </w:p>
    <w:p>
      <w:pPr>
        <w:pStyle w:val="BodyText"/>
        <w:rPr/>
      </w:pPr>
      <w:hyperlink r:id="rId116">
        <w:r>
          <w:rPr>
            <w:rStyle w:val="Hyperlink"/>
          </w:rPr>
          <w:t>[41]</w:t>
        </w:r>
      </w:hyperlink>
      <w:r>
        <w:rPr/>
        <w:t xml:space="preserve"> A systematic review and meta-analysis on the efficacy of ...</w:t>
      </w:r>
    </w:p>
    <w:p>
      <w:pPr>
        <w:pStyle w:val="BodyText"/>
        <w:rPr/>
      </w:pPr>
      <w:hyperlink r:id="rId117">
        <w:r>
          <w:rPr>
            <w:rStyle w:val="Hyperlink"/>
          </w:rPr>
          <w:t>https://pubmed.ncbi.nlm.nih.gov/39351658/?utm_source=chatgpt.com</w:t>
        </w:r>
      </w:hyperlink>
    </w:p>
    <w:p>
      <w:pPr>
        <w:pStyle w:val="BodyText"/>
        <w:rPr/>
      </w:pPr>
      <w:hyperlink r:id="rId118">
        <w:r>
          <w:rPr>
            <w:rStyle w:val="Hyperlink"/>
          </w:rPr>
          <w:t>[42]</w:t>
        </w:r>
      </w:hyperlink>
      <w:r>
        <w:rPr/>
        <w:t xml:space="preserve"> The effectiveness of schema therapy for patients with anxiety ...</w:t>
      </w:r>
    </w:p>
    <w:p>
      <w:pPr>
        <w:pStyle w:val="BodyText"/>
        <w:rPr/>
      </w:pPr>
      <w:hyperlink r:id="rId119">
        <w:r>
          <w:rPr>
            <w:rStyle w:val="Hyperlink"/>
          </w:rPr>
          <w:t>https://pmc.ncbi.nlm.nih.gov/articles/PMC9544733/?utm_source=chatgpt.com</w:t>
        </w:r>
      </w:hyperlink>
    </w:p>
    <w:p>
      <w:pPr>
        <w:pStyle w:val="BodyText"/>
        <w:rPr/>
      </w:pPr>
      <w:hyperlink r:id="rId120">
        <w:r>
          <w:rPr>
            <w:rStyle w:val="Hyperlink"/>
          </w:rPr>
          <w:t>[43]</w:t>
        </w:r>
      </w:hyperlink>
      <w:r>
        <w:rPr/>
        <w:t xml:space="preserve"> Attachment injuries in couple relationships: a new ...</w:t>
      </w:r>
    </w:p>
    <w:p>
      <w:pPr>
        <w:pStyle w:val="BodyText"/>
        <w:rPr/>
      </w:pPr>
      <w:hyperlink r:id="rId121">
        <w:r>
          <w:rPr>
            <w:rStyle w:val="Hyperlink"/>
          </w:rPr>
          <w:t>https://pubmed.ncbi.nlm.nih.gov/11314548/?utm_source=chatgpt.com</w:t>
        </w:r>
      </w:hyperlink>
    </w:p>
    <w:p>
      <w:pPr>
        <w:pStyle w:val="BodyText"/>
        <w:rPr/>
      </w:pPr>
      <w:hyperlink r:id="rId122">
        <w:r>
          <w:rPr>
            <w:rStyle w:val="Hyperlink"/>
          </w:rPr>
          <w:t>[45]</w:t>
        </w:r>
      </w:hyperlink>
      <w:r>
        <w:rPr/>
        <w:t xml:space="preserve"> 116sos.pl | Pomoc psychologiczna dla osób dorosłych</w:t>
      </w:r>
    </w:p>
    <w:p>
      <w:pPr>
        <w:pStyle w:val="BodyText"/>
        <w:spacing w:before="227" w:after="227"/>
        <w:ind w:firstLine="454"/>
        <w:jc w:val="both"/>
        <w:rPr/>
      </w:pPr>
      <w:hyperlink r:id="rId123">
        <w:r>
          <w:rPr>
            <w:rStyle w:val="Hyperlink"/>
          </w:rPr>
          <w:t>https://116sos.pl/?utm_source=chatgpt.com</w:t>
        </w:r>
      </w:hyperlink>
      <w:bookmarkEnd w:id="1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l-PL"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b/>
      <w:bCs/>
      <w:color w:val="auto"/>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b/>
      <w:bCs/>
      <w:color w:val="000000"/>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Znakiprzypiswdolnych">
    <w:name w:val="Znaki przypisów dolnych"/>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227" w:after="227"/>
      <w:ind w:firstLine="454"/>
      <w:jc w:val="both"/>
    </w:pPr>
    <w:rPr>
      <w:sz w:val="22"/>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ks">
    <w:name w:val="Indeks"/>
    <w:basedOn w:val="Normal"/>
    <w:qFormat/>
    <w:pPr>
      <w:suppressLineNumbers/>
    </w:pPr>
    <w:rPr>
      <w:rFonts w:cs="Noto Sans Devanagari"/>
    </w:rPr>
  </w:style>
  <w:style w:type="paragraph" w:styleId="FirstParagraph" w:customStyle="1">
    <w:name w:val="First Paragraph"/>
    <w:basedOn w:val="BodyText"/>
    <w:next w:val="BodyText"/>
    <w:qFormat/>
    <w:pPr>
      <w:suppressAutoHyphens w:val="false"/>
      <w:spacing w:before="227" w:after="227"/>
      <w:ind w:firstLine="454"/>
      <w:jc w:val="both"/>
    </w:pPr>
    <w:rPr>
      <w:sz w:val="22"/>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Nagwek"/>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ho.int/news-room/fact-sheets/detail/child-maltreatment" TargetMode="External"/><Relationship Id="rId3" Type="http://schemas.openxmlformats.org/officeDocument/2006/relationships/hyperlink" Target="https://pubmed.ncbi.nlm.nih.gov/41025269/" TargetMode="External"/><Relationship Id="rId4" Type="http://schemas.openxmlformats.org/officeDocument/2006/relationships/hyperlink" Target="https://kcpu.gov.pl/przemoc/charakterystyka-zjawiska-przemocy-w-rodzinie/" TargetMode="External"/><Relationship Id="rId5" Type="http://schemas.openxmlformats.org/officeDocument/2006/relationships/hyperlink" Target="https://link.springer.com/article/10.1007/s42048-024-00192-3" TargetMode="External"/><Relationship Id="rId6" Type="http://schemas.openxmlformats.org/officeDocument/2006/relationships/hyperlink" Target="https://link.springer.com/article/10.1007/s42048-024-00192-3" TargetMode="External"/><Relationship Id="rId7" Type="http://schemas.openxmlformats.org/officeDocument/2006/relationships/hyperlink" Target="https://pubmed.ncbi.nlm.nih.gov/41025269/" TargetMode="External"/><Relationship Id="rId8" Type="http://schemas.openxmlformats.org/officeDocument/2006/relationships/hyperlink" Target="https://pubmed.ncbi.nlm.nih.gov/35008028/?utm_source=chatgpt.com" TargetMode="External"/><Relationship Id="rId9" Type="http://schemas.openxmlformats.org/officeDocument/2006/relationships/hyperlink" Target="https://pmc.ncbi.nlm.nih.gov/articles/PMC8469853/?utm_source=chatgpt.com" TargetMode="External"/><Relationship Id="rId10" Type="http://schemas.openxmlformats.org/officeDocument/2006/relationships/hyperlink" Target="https://www.who.int/news-room/fact-sheets/detail/child-maltreatment" TargetMode="External"/><Relationship Id="rId11" Type="http://schemas.openxmlformats.org/officeDocument/2006/relationships/hyperlink" Target="https://kcpu.gov.pl/przemoc/charakterystyka-zjawiska-przemocy-w-rodzinie/" TargetMode="External"/><Relationship Id="rId12" Type="http://schemas.openxmlformats.org/officeDocument/2006/relationships/hyperlink" Target="https://pubmed.ncbi.nlm.nih.gov/41025269/" TargetMode="External"/><Relationship Id="rId13" Type="http://schemas.openxmlformats.org/officeDocument/2006/relationships/hyperlink" Target="https://pubmed.ncbi.nlm.nih.gov/37526098/?utm_source=chatgpt.com" TargetMode="External"/><Relationship Id="rId14" Type="http://schemas.openxmlformats.org/officeDocument/2006/relationships/hyperlink" Target="https://www.cambridge.org/core/journals/development-and-psychopathology/article/do-insecure-adult-attachment-styles-mediate-the-relationship-between-childhood-maltreatment-and-violent-behavior/A24B958218FE760588001A849E463837" TargetMode="External"/><Relationship Id="rId15" Type="http://schemas.openxmlformats.org/officeDocument/2006/relationships/hyperlink" Target="https://pmc.ncbi.nlm.nih.gov/articles/PMC8666543/?utm_source=chatgpt.com" TargetMode="External"/><Relationship Id="rId16" Type="http://schemas.openxmlformats.org/officeDocument/2006/relationships/hyperlink" Target="https://kcpu.gov.pl/przemoc/charakterystyka-zjawiska-przemocy-w-rodzinie/" TargetMode="External"/><Relationship Id="rId17" Type="http://schemas.openxmlformats.org/officeDocument/2006/relationships/hyperlink" Target="https://onlinelibrary.wiley.com/doi/abs/10.1002/ejsp.1842?utm_source=chatgpt.com" TargetMode="External"/><Relationship Id="rId18" Type="http://schemas.openxmlformats.org/officeDocument/2006/relationships/hyperlink" Target="https://onlinelibrary.wiley.com/doi/abs/10.1002/ejsp.1842?utm_source=chatgpt.com" TargetMode="External"/><Relationship Id="rId19" Type="http://schemas.openxmlformats.org/officeDocument/2006/relationships/hyperlink" Target="https://www.sciencedirect.com/science/article/abs/pii/S0887618515300013?utm_source=chatgpt.com" TargetMode="External"/><Relationship Id="rId20" Type="http://schemas.openxmlformats.org/officeDocument/2006/relationships/hyperlink" Target="https://kcpu.gov.pl/przemoc/charakterystyka-zjawiska-przemocy-w-rodzinie/" TargetMode="External"/><Relationship Id="rId21" Type="http://schemas.openxmlformats.org/officeDocument/2006/relationships/hyperlink" Target="https://pubmed.ncbi.nlm.nih.gov/36760434/?utm_source=chatgpt.com" TargetMode="External"/><Relationship Id="rId22" Type="http://schemas.openxmlformats.org/officeDocument/2006/relationships/hyperlink" Target="https://link.springer.com/article/10.1007/s42048-024-00192-3" TargetMode="External"/><Relationship Id="rId23" Type="http://schemas.openxmlformats.org/officeDocument/2006/relationships/hyperlink" Target="https://pubmed.ncbi.nlm.nih.gov/35008028/?utm_source=chatgpt.com" TargetMode="External"/><Relationship Id="rId24" Type="http://schemas.openxmlformats.org/officeDocument/2006/relationships/hyperlink" Target="https://pubmed.ncbi.nlm.nih.gov/41025269/" TargetMode="External"/><Relationship Id="rId25" Type="http://schemas.openxmlformats.org/officeDocument/2006/relationships/hyperlink" Target="https://pmc.ncbi.nlm.nih.gov/articles/PMC8469853/?utm_source=chatgpt.com" TargetMode="External"/><Relationship Id="rId26" Type="http://schemas.openxmlformats.org/officeDocument/2006/relationships/hyperlink" Target="https://pubmed.ncbi.nlm.nih.gov/37526098/?utm_source=chatgpt.com" TargetMode="External"/><Relationship Id="rId27" Type="http://schemas.openxmlformats.org/officeDocument/2006/relationships/hyperlink" Target="https://pubmed.ncbi.nlm.nih.gov/41025269/" TargetMode="External"/><Relationship Id="rId28" Type="http://schemas.openxmlformats.org/officeDocument/2006/relationships/hyperlink" Target="https://onlinelibrary.wiley.com/doi/abs/10.1002/ejsp.1842?utm_source=chatgpt.com" TargetMode="External"/><Relationship Id="rId29" Type="http://schemas.openxmlformats.org/officeDocument/2006/relationships/hyperlink" Target="https://pubmed.ncbi.nlm.nih.gov/35008028/?utm_source=chatgpt.com" TargetMode="External"/><Relationship Id="rId30" Type="http://schemas.openxmlformats.org/officeDocument/2006/relationships/hyperlink" Target="https://pubmed.ncbi.nlm.nih.gov/41025269/" TargetMode="External"/><Relationship Id="rId31" Type="http://schemas.openxmlformats.org/officeDocument/2006/relationships/hyperlink" Target="https://pubmed.ncbi.nlm.nih.gov/41025269/" TargetMode="External"/><Relationship Id="rId32" Type="http://schemas.openxmlformats.org/officeDocument/2006/relationships/hyperlink" Target="https://kcpu.gov.pl/przemoc/charakterystyka-zjawiska-przemocy-w-rodzinie/" TargetMode="External"/><Relationship Id="rId33" Type="http://schemas.openxmlformats.org/officeDocument/2006/relationships/hyperlink" Target="https://kcpu.gov.pl/przemoc/charakterystyka-zjawiska-przemocy-w-rodzinie/" TargetMode="External"/><Relationship Id="rId34" Type="http://schemas.openxmlformats.org/officeDocument/2006/relationships/hyperlink" Target="https://pubmed.ncbi.nlm.nih.gov/37526098/?utm_source=chatgpt.com" TargetMode="External"/><Relationship Id="rId35" Type="http://schemas.openxmlformats.org/officeDocument/2006/relationships/hyperlink" Target="https://pubmed.ncbi.nlm.nih.gov/35008028/?utm_source=chatgpt.com" TargetMode="External"/><Relationship Id="rId36" Type="http://schemas.openxmlformats.org/officeDocument/2006/relationships/hyperlink" Target="https://pubmed.ncbi.nlm.nih.gov/36760434/?utm_source=chatgpt.com" TargetMode="External"/><Relationship Id="rId37" Type="http://schemas.openxmlformats.org/officeDocument/2006/relationships/hyperlink" Target="https://link.springer.com/article/10.1007/s42048-024-00192-3" TargetMode="External"/><Relationship Id="rId38" Type="http://schemas.openxmlformats.org/officeDocument/2006/relationships/hyperlink" Target="https://www.thebowencenter.org/triangles?utm_source=chatgpt.com" TargetMode="External"/><Relationship Id="rId39" Type="http://schemas.openxmlformats.org/officeDocument/2006/relationships/hyperlink" Target="https://www.thebowencenter.org/triangles?utm_source=chatgpt.com" TargetMode="External"/><Relationship Id="rId40" Type="http://schemas.openxmlformats.org/officeDocument/2006/relationships/hyperlink" Target="https://link.springer.com/article/10.1007/s42048-024-00192-3" TargetMode="External"/><Relationship Id="rId41" Type="http://schemas.openxmlformats.org/officeDocument/2006/relationships/hyperlink" Target="https://link.springer.com/article/10.1007/s42048-024-00192-3" TargetMode="External"/><Relationship Id="rId42" Type="http://schemas.openxmlformats.org/officeDocument/2006/relationships/hyperlink" Target="https://pmc.ncbi.nlm.nih.gov/articles/PMC7383855/?utm_source=chatgpt.com" TargetMode="External"/><Relationship Id="rId43" Type="http://schemas.openxmlformats.org/officeDocument/2006/relationships/hyperlink" Target="https://pubmed.ncbi.nlm.nih.gov/41025269/" TargetMode="External"/><Relationship Id="rId44" Type="http://schemas.openxmlformats.org/officeDocument/2006/relationships/hyperlink" Target="https://pubmed.ncbi.nlm.nih.gov/41025269/" TargetMode="External"/><Relationship Id="rId45" Type="http://schemas.openxmlformats.org/officeDocument/2006/relationships/hyperlink" Target="https://pubmed.ncbi.nlm.nih.gov/35008028/?utm_source=chatgpt.com" TargetMode="External"/><Relationship Id="rId46" Type="http://schemas.openxmlformats.org/officeDocument/2006/relationships/hyperlink" Target="https://pubmed.ncbi.nlm.nih.gov/39298249/" TargetMode="External"/><Relationship Id="rId47" Type="http://schemas.openxmlformats.org/officeDocument/2006/relationships/image" Target="media/image1.png"/><Relationship Id="rId48" Type="http://schemas.openxmlformats.org/officeDocument/2006/relationships/hyperlink" Target="https://pubmed.ncbi.nlm.nih.gov/24007506/" TargetMode="External"/><Relationship Id="rId49" Type="http://schemas.openxmlformats.org/officeDocument/2006/relationships/hyperlink" Target="https://kcpu.gov.pl/przemoc/charakterystyka-zjawiska-przemocy-w-rodzinie/" TargetMode="External"/><Relationship Id="rId50" Type="http://schemas.openxmlformats.org/officeDocument/2006/relationships/hyperlink" Target="https://www.psychiatriapolska.pl/pdf-166172-95034?filename=95034.pdf" TargetMode="External"/><Relationship Id="rId51" Type="http://schemas.openxmlformats.org/officeDocument/2006/relationships/hyperlink" Target="https://pubmed.ncbi.nlm.nih.gov/39351658/?utm_source=chatgpt.com" TargetMode="External"/><Relationship Id="rId52" Type="http://schemas.openxmlformats.org/officeDocument/2006/relationships/hyperlink" Target="https://pmc.ncbi.nlm.nih.gov/articles/PMC9544733/?utm_source=chatgpt.com" TargetMode="External"/><Relationship Id="rId53" Type="http://schemas.openxmlformats.org/officeDocument/2006/relationships/hyperlink" Target="https://pubmed.ncbi.nlm.nih.gov/11314548/?utm_source=chatgpt.com" TargetMode="External"/><Relationship Id="rId54" Type="http://schemas.openxmlformats.org/officeDocument/2006/relationships/hyperlink" Target="https://www.who.int/news-room/fact-sheets/detail/child-maltreatment" TargetMode="External"/><Relationship Id="rId55" Type="http://schemas.openxmlformats.org/officeDocument/2006/relationships/hyperlink" Target="https://116sos.pl/?utm_source=chatgpt.com" TargetMode="External"/><Relationship Id="rId56" Type="http://schemas.openxmlformats.org/officeDocument/2006/relationships/hyperlink" Target="https://pubmed.ncbi.nlm.nih.gov/41025269/" TargetMode="External"/><Relationship Id="rId57" Type="http://schemas.openxmlformats.org/officeDocument/2006/relationships/hyperlink" Target="https://www.who.int/news-room/fact-sheets/detail/child-maltreatment" TargetMode="External"/><Relationship Id="rId58" Type="http://schemas.openxmlformats.org/officeDocument/2006/relationships/hyperlink" Target="https://www.who.int/news-room/fact-sheets/detail/child-maltreatment" TargetMode="External"/><Relationship Id="rId59" Type="http://schemas.openxmlformats.org/officeDocument/2006/relationships/hyperlink" Target="https://www.who.int/news-room/fact-sheets/detail/child-maltreatment" TargetMode="External"/><Relationship Id="rId60" Type="http://schemas.openxmlformats.org/officeDocument/2006/relationships/hyperlink" Target="https://www.who.int/news-room/fact-sheets/detail/child-maltreatment" TargetMode="External"/><Relationship Id="rId61" Type="http://schemas.openxmlformats.org/officeDocument/2006/relationships/hyperlink" Target="https://pubmed.ncbi.nlm.nih.gov/41025269/" TargetMode="External"/><Relationship Id="rId62" Type="http://schemas.openxmlformats.org/officeDocument/2006/relationships/hyperlink" Target="https://pubmed.ncbi.nlm.nih.gov/41025269/" TargetMode="External"/><Relationship Id="rId63" Type="http://schemas.openxmlformats.org/officeDocument/2006/relationships/hyperlink" Target="https://pubmed.ncbi.nlm.nih.gov/41025269/" TargetMode="External"/><Relationship Id="rId64" Type="http://schemas.openxmlformats.org/officeDocument/2006/relationships/hyperlink" Target="https://pubmed.ncbi.nlm.nih.gov/41025269/" TargetMode="External"/><Relationship Id="rId65" Type="http://schemas.openxmlformats.org/officeDocument/2006/relationships/hyperlink" Target="https://pubmed.ncbi.nlm.nih.gov/41025269/" TargetMode="External"/><Relationship Id="rId66" Type="http://schemas.openxmlformats.org/officeDocument/2006/relationships/hyperlink" Target="https://pubmed.ncbi.nlm.nih.gov/41025269/" TargetMode="External"/><Relationship Id="rId67" Type="http://schemas.openxmlformats.org/officeDocument/2006/relationships/hyperlink" Target="https://pubmed.ncbi.nlm.nih.gov/41025269/" TargetMode="External"/><Relationship Id="rId68" Type="http://schemas.openxmlformats.org/officeDocument/2006/relationships/hyperlink" Target="https://pubmed.ncbi.nlm.nih.gov/41025269/" TargetMode="External"/><Relationship Id="rId69" Type="http://schemas.openxmlformats.org/officeDocument/2006/relationships/hyperlink" Target="https://kcpu.gov.pl/przemoc/charakterystyka-zjawiska-przemocy-w-rodzinie/" TargetMode="External"/><Relationship Id="rId70" Type="http://schemas.openxmlformats.org/officeDocument/2006/relationships/hyperlink" Target="https://kcpu.gov.pl/przemoc/charakterystyka-zjawiska-przemocy-w-rodzinie/" TargetMode="External"/><Relationship Id="rId71" Type="http://schemas.openxmlformats.org/officeDocument/2006/relationships/hyperlink" Target="https://kcpu.gov.pl/przemoc/charakterystyka-zjawiska-przemocy-w-rodzinie/" TargetMode="External"/><Relationship Id="rId72" Type="http://schemas.openxmlformats.org/officeDocument/2006/relationships/hyperlink" Target="https://kcpu.gov.pl/przemoc/charakterystyka-zjawiska-przemocy-w-rodzinie/" TargetMode="External"/><Relationship Id="rId73" Type="http://schemas.openxmlformats.org/officeDocument/2006/relationships/hyperlink" Target="https://kcpu.gov.pl/przemoc/charakterystyka-zjawiska-przemocy-w-rodzinie/" TargetMode="External"/><Relationship Id="rId74" Type="http://schemas.openxmlformats.org/officeDocument/2006/relationships/hyperlink" Target="https://kcpu.gov.pl/przemoc/charakterystyka-zjawiska-przemocy-w-rodzinie/" TargetMode="External"/><Relationship Id="rId75" Type="http://schemas.openxmlformats.org/officeDocument/2006/relationships/hyperlink" Target="https://kcpu.gov.pl/przemoc/charakterystyka-zjawiska-przemocy-w-rodzinie/" TargetMode="External"/><Relationship Id="rId76" Type="http://schemas.openxmlformats.org/officeDocument/2006/relationships/hyperlink" Target="https://kcpu.gov.pl/przemoc/charakterystyka-zjawiska-przemocy-w-rodzinie/" TargetMode="External"/><Relationship Id="rId77" Type="http://schemas.openxmlformats.org/officeDocument/2006/relationships/hyperlink" Target="https://link.springer.com/article/10.1007/s42048-024-00192-3" TargetMode="External"/><Relationship Id="rId78" Type="http://schemas.openxmlformats.org/officeDocument/2006/relationships/hyperlink" Target="https://link.springer.com/article/10.1007/s42048-024-00192-3" TargetMode="External"/><Relationship Id="rId79" Type="http://schemas.openxmlformats.org/officeDocument/2006/relationships/hyperlink" Target="https://link.springer.com/article/10.1007/s42048-024-00192-3" TargetMode="External"/><Relationship Id="rId80" Type="http://schemas.openxmlformats.org/officeDocument/2006/relationships/hyperlink" Target="https://link.springer.com/article/10.1007/s42048-024-00192-3" TargetMode="External"/><Relationship Id="rId81" Type="http://schemas.openxmlformats.org/officeDocument/2006/relationships/hyperlink" Target="https://link.springer.com/article/10.1007/s42048-024-00192-3" TargetMode="External"/><Relationship Id="rId82" Type="http://schemas.openxmlformats.org/officeDocument/2006/relationships/hyperlink" Target="https://link.springer.com/article/10.1007/s42048-024-00192-3" TargetMode="External"/><Relationship Id="rId83" Type="http://schemas.openxmlformats.org/officeDocument/2006/relationships/hyperlink" Target="https://pubmed.ncbi.nlm.nih.gov/35008028/?utm_source=chatgpt.com" TargetMode="External"/><Relationship Id="rId84" Type="http://schemas.openxmlformats.org/officeDocument/2006/relationships/hyperlink" Target="https://pubmed.ncbi.nlm.nih.gov/35008028/?utm_source=chatgpt.com" TargetMode="External"/><Relationship Id="rId85" Type="http://schemas.openxmlformats.org/officeDocument/2006/relationships/hyperlink" Target="https://pubmed.ncbi.nlm.nih.gov/35008028/?utm_source=chatgpt.com" TargetMode="External"/><Relationship Id="rId86" Type="http://schemas.openxmlformats.org/officeDocument/2006/relationships/hyperlink" Target="https://pubmed.ncbi.nlm.nih.gov/35008028/?utm_source=chatgpt.com" TargetMode="External"/><Relationship Id="rId87" Type="http://schemas.openxmlformats.org/officeDocument/2006/relationships/hyperlink" Target="https://pubmed.ncbi.nlm.nih.gov/35008028/?utm_source=chatgpt.com" TargetMode="External"/><Relationship Id="rId88" Type="http://schemas.openxmlformats.org/officeDocument/2006/relationships/hyperlink" Target="https://pmc.ncbi.nlm.nih.gov/articles/PMC8469853/?utm_source=chatgpt.com" TargetMode="External"/><Relationship Id="rId89" Type="http://schemas.openxmlformats.org/officeDocument/2006/relationships/hyperlink" Target="https://pmc.ncbi.nlm.nih.gov/articles/PMC8469853/?utm_source=chatgpt.com" TargetMode="External"/><Relationship Id="rId90" Type="http://schemas.openxmlformats.org/officeDocument/2006/relationships/hyperlink" Target="https://pmc.ncbi.nlm.nih.gov/articles/PMC8469853/?utm_source=chatgpt.com" TargetMode="External"/><Relationship Id="rId91" Type="http://schemas.openxmlformats.org/officeDocument/2006/relationships/hyperlink" Target="https://pubmed.ncbi.nlm.nih.gov/37526098/?utm_source=chatgpt.com" TargetMode="External"/><Relationship Id="rId92" Type="http://schemas.openxmlformats.org/officeDocument/2006/relationships/hyperlink" Target="https://pubmed.ncbi.nlm.nih.gov/37526098/?utm_source=chatgpt.com" TargetMode="External"/><Relationship Id="rId93" Type="http://schemas.openxmlformats.org/officeDocument/2006/relationships/hyperlink" Target="https://pubmed.ncbi.nlm.nih.gov/37526098/?utm_source=chatgpt.com" TargetMode="External"/><Relationship Id="rId94" Type="http://schemas.openxmlformats.org/officeDocument/2006/relationships/hyperlink" Target="https://pubmed.ncbi.nlm.nih.gov/37526098/?utm_source=chatgpt.com" TargetMode="External"/><Relationship Id="rId95" Type="http://schemas.openxmlformats.org/officeDocument/2006/relationships/hyperlink" Target="https://www.cambridge.org/core/journals/development-and-psychopathology/article/do-insecure-adult-attachment-styles-mediate-the-relationship-between-childhood-maltreatment-and-violent-behavior/A24B958218FE760588001A849E463837" TargetMode="External"/><Relationship Id="rId96" Type="http://schemas.openxmlformats.org/officeDocument/2006/relationships/hyperlink" Target="https://www.cambridge.org/core/journals/development-and-psychopathology/article/do-insecure-adult-attachment-styles-mediate-the-relationship-between-childhood-maltreatment-and-violent-behavior/A24B958218FE760588001A849E463837" TargetMode="External"/><Relationship Id="rId97" Type="http://schemas.openxmlformats.org/officeDocument/2006/relationships/hyperlink" Target="https://pmc.ncbi.nlm.nih.gov/articles/PMC8666543/?utm_source=chatgpt.com" TargetMode="External"/><Relationship Id="rId98" Type="http://schemas.openxmlformats.org/officeDocument/2006/relationships/hyperlink" Target="https://pmc.ncbi.nlm.nih.gov/articles/PMC8666543/?utm_source=chatgpt.com" TargetMode="External"/><Relationship Id="rId99" Type="http://schemas.openxmlformats.org/officeDocument/2006/relationships/hyperlink" Target="https://onlinelibrary.wiley.com/doi/abs/10.1002/ejsp.1842?utm_source=chatgpt.com" TargetMode="External"/><Relationship Id="rId100" Type="http://schemas.openxmlformats.org/officeDocument/2006/relationships/hyperlink" Target="https://onlinelibrary.wiley.com/doi/abs/10.1002/ejsp.1842?utm_source=chatgpt.com" TargetMode="External"/><Relationship Id="rId101" Type="http://schemas.openxmlformats.org/officeDocument/2006/relationships/hyperlink" Target="https://onlinelibrary.wiley.com/doi/abs/10.1002/ejsp.1842?utm_source=chatgpt.com" TargetMode="External"/><Relationship Id="rId102" Type="http://schemas.openxmlformats.org/officeDocument/2006/relationships/hyperlink" Target="https://www.sciencedirect.com/science/article/abs/pii/S0887618515300013?utm_source=chatgpt.com" TargetMode="External"/><Relationship Id="rId103" Type="http://schemas.openxmlformats.org/officeDocument/2006/relationships/hyperlink" Target="https://www.sciencedirect.com/science/article/abs/pii/S0887618515300013?utm_source=chatgpt.com" TargetMode="External"/><Relationship Id="rId104" Type="http://schemas.openxmlformats.org/officeDocument/2006/relationships/hyperlink" Target="https://pubmed.ncbi.nlm.nih.gov/36760434/?utm_source=chatgpt.com" TargetMode="External"/><Relationship Id="rId105" Type="http://schemas.openxmlformats.org/officeDocument/2006/relationships/hyperlink" Target="https://pubmed.ncbi.nlm.nih.gov/36760434/?utm_source=chatgpt.com" TargetMode="External"/><Relationship Id="rId106" Type="http://schemas.openxmlformats.org/officeDocument/2006/relationships/hyperlink" Target="https://www.thebowencenter.org/triangles?utm_source=chatgpt.com" TargetMode="External"/><Relationship Id="rId107" Type="http://schemas.openxmlformats.org/officeDocument/2006/relationships/hyperlink" Target="https://www.thebowencenter.org/triangles?utm_source=chatgpt.com" TargetMode="External"/><Relationship Id="rId108" Type="http://schemas.openxmlformats.org/officeDocument/2006/relationships/hyperlink" Target="https://pmc.ncbi.nlm.nih.gov/articles/PMC7383855/?utm_source=chatgpt.com" TargetMode="External"/><Relationship Id="rId109" Type="http://schemas.openxmlformats.org/officeDocument/2006/relationships/hyperlink" Target="https://pmc.ncbi.nlm.nih.gov/articles/PMC7383855/?utm_source=chatgpt.com" TargetMode="External"/><Relationship Id="rId110" Type="http://schemas.openxmlformats.org/officeDocument/2006/relationships/hyperlink" Target="https://pubmed.ncbi.nlm.nih.gov/39298249/" TargetMode="External"/><Relationship Id="rId111" Type="http://schemas.openxmlformats.org/officeDocument/2006/relationships/hyperlink" Target="https://pubmed.ncbi.nlm.nih.gov/39298249/" TargetMode="External"/><Relationship Id="rId112" Type="http://schemas.openxmlformats.org/officeDocument/2006/relationships/hyperlink" Target="https://pubmed.ncbi.nlm.nih.gov/24007506/" TargetMode="External"/><Relationship Id="rId113" Type="http://schemas.openxmlformats.org/officeDocument/2006/relationships/hyperlink" Target="https://pubmed.ncbi.nlm.nih.gov/24007506/" TargetMode="External"/><Relationship Id="rId114" Type="http://schemas.openxmlformats.org/officeDocument/2006/relationships/hyperlink" Target="https://www.psychiatriapolska.pl/pdf-166172-95034?filename=95034.pdf" TargetMode="External"/><Relationship Id="rId115" Type="http://schemas.openxmlformats.org/officeDocument/2006/relationships/hyperlink" Target="https://www.psychiatriapolska.pl/pdf-166172-95034?filename=95034.pdf" TargetMode="External"/><Relationship Id="rId116" Type="http://schemas.openxmlformats.org/officeDocument/2006/relationships/hyperlink" Target="https://pubmed.ncbi.nlm.nih.gov/39351658/?utm_source=chatgpt.com" TargetMode="External"/><Relationship Id="rId117" Type="http://schemas.openxmlformats.org/officeDocument/2006/relationships/hyperlink" Target="https://pubmed.ncbi.nlm.nih.gov/39351658/?utm_source=chatgpt.com" TargetMode="External"/><Relationship Id="rId118" Type="http://schemas.openxmlformats.org/officeDocument/2006/relationships/hyperlink" Target="https://pmc.ncbi.nlm.nih.gov/articles/PMC9544733/?utm_source=chatgpt.com" TargetMode="External"/><Relationship Id="rId119" Type="http://schemas.openxmlformats.org/officeDocument/2006/relationships/hyperlink" Target="https://pmc.ncbi.nlm.nih.gov/articles/PMC9544733/?utm_source=chatgpt.com" TargetMode="External"/><Relationship Id="rId120" Type="http://schemas.openxmlformats.org/officeDocument/2006/relationships/hyperlink" Target="https://pubmed.ncbi.nlm.nih.gov/11314548/?utm_source=chatgpt.com" TargetMode="External"/><Relationship Id="rId121" Type="http://schemas.openxmlformats.org/officeDocument/2006/relationships/hyperlink" Target="https://pubmed.ncbi.nlm.nih.gov/11314548/?utm_source=chatgpt.com" TargetMode="External"/><Relationship Id="rId122" Type="http://schemas.openxmlformats.org/officeDocument/2006/relationships/hyperlink" Target="https://116sos.pl/?utm_source=chatgpt.com" TargetMode="External"/><Relationship Id="rId123" Type="http://schemas.openxmlformats.org/officeDocument/2006/relationships/hyperlink" Target="https://116sos.pl/?utm_source=chatgpt.com" TargetMode="External"/><Relationship Id="rId124" Type="http://schemas.openxmlformats.org/officeDocument/2006/relationships/fontTable" Target="fontTable.xml"/><Relationship Id="rId125" Type="http://schemas.openxmlformats.org/officeDocument/2006/relationships/settings" Target="settings.xml"/><Relationship Id="rId1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LibreOffice/26.2.4.2$Linux_X86_64 LibreOffice_project/620$Build-2</Application>
  <AppVersion>15.0000</AppVersion>
  <Pages>11</Pages>
  <Words>3469</Words>
  <Characters>23419</Characters>
  <CharactersWithSpaces>26765</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2026-07-21T21:30:32Z</dcterms:created>
  <dc:creator/>
  <dc:description/>
  <dc:language>pl</dc:language>
  <cp:lastModifiedBy/>
  <dcterms:modified xsi:type="dcterms:W3CDTF">2026-07-21T23:42:49Z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